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02B61" w14:textId="2A08D48D" w:rsidR="00393761" w:rsidRPr="00F20063" w:rsidRDefault="00F20063" w:rsidP="00350CCF">
      <w:pPr>
        <w:pStyle w:val="tytuinformacji"/>
        <w:rPr>
          <w:noProof/>
          <w:spacing w:val="-2"/>
          <w:sz w:val="19"/>
          <w:szCs w:val="19"/>
          <w:lang w:val="en-US" w:eastAsia="pl-PL"/>
        </w:rPr>
      </w:pPr>
      <w:r>
        <w:rPr>
          <w:rFonts w:ascii="Fira Sans Condensed SemiBold" w:hAnsi="Fira Sans Condensed SemiBold"/>
          <w:bCs/>
          <w:lang w:val="en-GB"/>
        </w:rPr>
        <w:t>Housing economy in</w:t>
      </w:r>
      <w:r w:rsidR="00930BB2" w:rsidRPr="00F20063">
        <w:rPr>
          <w:rFonts w:cs="Fira Sans Extra Condensed SemiB"/>
          <w:bCs/>
          <w:szCs w:val="40"/>
          <w:lang w:val="en-US"/>
        </w:rPr>
        <w:t> 20</w:t>
      </w:r>
      <w:r w:rsidR="008954CD" w:rsidRPr="00F20063">
        <w:rPr>
          <w:rFonts w:cs="Fira Sans Extra Condensed SemiB"/>
          <w:bCs/>
          <w:szCs w:val="40"/>
          <w:lang w:val="en-US"/>
        </w:rPr>
        <w:t>2</w:t>
      </w:r>
      <w:r w:rsidR="00787FD4">
        <w:rPr>
          <w:rFonts w:cs="Fira Sans Extra Condensed SemiB"/>
          <w:bCs/>
          <w:szCs w:val="40"/>
          <w:lang w:val="en-US"/>
        </w:rPr>
        <w:t>3</w:t>
      </w:r>
    </w:p>
    <w:p w14:paraId="797CFDCE" w14:textId="77777777" w:rsidR="00E2731E" w:rsidRPr="00F20063" w:rsidRDefault="00E2731E" w:rsidP="00E2731E">
      <w:pPr>
        <w:pStyle w:val="tytuinformacji"/>
        <w:spacing w:before="0"/>
        <w:rPr>
          <w:sz w:val="32"/>
          <w:lang w:val="en-US"/>
        </w:rPr>
      </w:pPr>
    </w:p>
    <w:p w14:paraId="52C776F5" w14:textId="4D7C6169" w:rsidR="00F20063" w:rsidRPr="00F20063" w:rsidRDefault="002655AB" w:rsidP="00633014">
      <w:pPr>
        <w:pStyle w:val="LID"/>
        <w:rPr>
          <w:lang w:val="en-US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7C04FA80" wp14:editId="23B0D4BB">
                <wp:simplePos x="0" y="0"/>
                <wp:positionH relativeFrom="margin">
                  <wp:align>left</wp:align>
                </wp:positionH>
                <wp:positionV relativeFrom="paragraph">
                  <wp:posOffset>80115</wp:posOffset>
                </wp:positionV>
                <wp:extent cx="2204085" cy="1217295"/>
                <wp:effectExtent l="0" t="0" r="5715" b="1905"/>
                <wp:wrapSquare wrapText="bothSides"/>
                <wp:docPr id="6" name="Pole tekstowe 2" descr="1,3 % - The increase in the number of dwellings compared to the previous ye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21733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AB8D3" w14:textId="4704C816" w:rsidR="002655AB" w:rsidRPr="009B2A4A" w:rsidRDefault="002655AB" w:rsidP="002655AB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>
                              <w:rPr>
                                <w:rStyle w:val="WartowskanikaZnak"/>
                                <w:lang w:val="en-GB"/>
                              </w:rPr>
                              <w:t xml:space="preserve"> </w:t>
                            </w:r>
                            <w:r w:rsidRPr="009B2A4A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1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,</w:t>
                            </w:r>
                            <w:r w:rsidR="00787FD4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3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%</w:t>
                            </w:r>
                          </w:p>
                          <w:p w14:paraId="4EA4B9F8" w14:textId="7119D0BE" w:rsidR="002655AB" w:rsidRPr="002655AB" w:rsidRDefault="002655AB" w:rsidP="002655AB">
                            <w:pPr>
                              <w:pStyle w:val="tekstnaniebieskimtle"/>
                              <w:rPr>
                                <w:sz w:val="19"/>
                                <w:szCs w:val="19"/>
                                <w:lang w:val="en-GB"/>
                              </w:rPr>
                            </w:pPr>
                            <w:r w:rsidRPr="002655AB">
                              <w:rPr>
                                <w:sz w:val="19"/>
                                <w:szCs w:val="19"/>
                                <w:lang w:val="en-GB"/>
                              </w:rPr>
                              <w:t>The increase in the number of dwellings compared to the previous year</w:t>
                            </w:r>
                          </w:p>
                          <w:p w14:paraId="735116F2" w14:textId="4DB0178C" w:rsidR="002655AB" w:rsidRPr="009F5612" w:rsidRDefault="002655AB" w:rsidP="002655AB">
                            <w:pPr>
                              <w:pStyle w:val="Opiswskanika"/>
                              <w:spacing w:before="120"/>
                              <w:rPr>
                                <w:sz w:val="19"/>
                                <w:szCs w:val="19"/>
                              </w:rPr>
                            </w:pPr>
                            <w:proofErr w:type="spellStart"/>
                            <w:r w:rsidRPr="009F5612">
                              <w:rPr>
                                <w:sz w:val="19"/>
                                <w:szCs w:val="19"/>
                                <w:lang w:val="en-GB"/>
                              </w:rPr>
                              <w:t>okiem</w:t>
                            </w:r>
                            <w:proofErr w:type="spellEnd"/>
                            <w:r w:rsidRPr="009F5612">
                              <w:rPr>
                                <w:color w:val="FFFFFF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9F5612">
                              <w:rPr>
                                <w:sz w:val="19"/>
                                <w:szCs w:val="19"/>
                                <w:lang w:val="en-GB"/>
                              </w:rPr>
                              <w:t>ubiegłym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04FA80" id="Pole tekstowe 2" o:spid="_x0000_s1026" alt="1,3 % - The increase in the number of dwellings compared to the previous year" style="position:absolute;margin-left:0;margin-top:6.3pt;width:173.55pt;height:95.85pt;z-index:2517084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" fillcolor="#001d77" stroked="f">
                <v:stroke joinstyle="miter"/>
                <v:textbox>
                  <w:txbxContent>
                    <w:p w14:paraId="01BAB8D3" w14:textId="4704C816" w:rsidR="002655AB" w:rsidRPr="009B2A4A" w:rsidRDefault="002655AB" w:rsidP="002655AB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>
                        <w:rPr>
                          <w:rStyle w:val="WartowskanikaZnak"/>
                          <w:lang w:val="en-GB"/>
                        </w:rPr>
                        <w:t xml:space="preserve"> </w:t>
                      </w:r>
                      <w:r w:rsidRPr="009B2A4A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1</w:t>
                      </w:r>
                      <w:r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,</w:t>
                      </w:r>
                      <w:r w:rsidR="00787FD4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3</w:t>
                      </w:r>
                      <w:r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%</w:t>
                      </w:r>
                    </w:p>
                    <w:p w14:paraId="4EA4B9F8" w14:textId="7119D0BE" w:rsidR="002655AB" w:rsidRPr="002655AB" w:rsidRDefault="002655AB" w:rsidP="002655AB">
                      <w:pPr>
                        <w:pStyle w:val="tekstnaniebieskimtle"/>
                        <w:rPr>
                          <w:sz w:val="19"/>
                          <w:szCs w:val="19"/>
                          <w:lang w:val="en-GB"/>
                        </w:rPr>
                      </w:pPr>
                      <w:r w:rsidRPr="002655AB">
                        <w:rPr>
                          <w:sz w:val="19"/>
                          <w:szCs w:val="19"/>
                          <w:lang w:val="en-GB"/>
                        </w:rPr>
                        <w:t>The increase in the number of dwellings compared to the previous year</w:t>
                      </w:r>
                    </w:p>
                    <w:p w14:paraId="735116F2" w14:textId="4DB0178C" w:rsidR="002655AB" w:rsidRPr="009F5612" w:rsidRDefault="002655AB" w:rsidP="002655AB">
                      <w:pPr>
                        <w:pStyle w:val="Opiswskanika"/>
                        <w:spacing w:before="120"/>
                        <w:rPr>
                          <w:sz w:val="19"/>
                          <w:szCs w:val="19"/>
                        </w:rPr>
                      </w:pPr>
                      <w:proofErr w:type="spellStart"/>
                      <w:r w:rsidRPr="009F5612">
                        <w:rPr>
                          <w:sz w:val="19"/>
                          <w:szCs w:val="19"/>
                          <w:lang w:val="en-GB"/>
                        </w:rPr>
                        <w:t>okiem</w:t>
                      </w:r>
                      <w:proofErr w:type="spellEnd"/>
                      <w:r w:rsidRPr="009F5612">
                        <w:rPr>
                          <w:color w:val="FFFFFF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9F5612">
                        <w:rPr>
                          <w:sz w:val="19"/>
                          <w:szCs w:val="19"/>
                          <w:lang w:val="en-GB"/>
                        </w:rPr>
                        <w:t>ubiegłym</w:t>
                      </w:r>
                      <w:proofErr w:type="spellEnd"/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F20063" w:rsidRPr="00281994">
        <w:rPr>
          <w:lang w:val="en-GB"/>
        </w:rPr>
        <w:t>In Poland, as of the end of 20</w:t>
      </w:r>
      <w:r w:rsidR="00F20063">
        <w:rPr>
          <w:lang w:val="en-GB"/>
        </w:rPr>
        <w:t>2</w:t>
      </w:r>
      <w:r w:rsidR="00787FD4">
        <w:rPr>
          <w:lang w:val="en-GB"/>
        </w:rPr>
        <w:t>3</w:t>
      </w:r>
      <w:r w:rsidR="00F20063" w:rsidRPr="00281994">
        <w:rPr>
          <w:lang w:val="en-GB"/>
        </w:rPr>
        <w:t xml:space="preserve">, there were recorded </w:t>
      </w:r>
      <w:r w:rsidR="00F20063">
        <w:rPr>
          <w:lang w:val="en-GB"/>
        </w:rPr>
        <w:t>over 15.</w:t>
      </w:r>
      <w:r w:rsidR="00787FD4">
        <w:rPr>
          <w:lang w:val="en-GB"/>
        </w:rPr>
        <w:t>7</w:t>
      </w:r>
      <w:r w:rsidR="00F20063" w:rsidRPr="00281994">
        <w:rPr>
          <w:lang w:val="en-GB"/>
        </w:rPr>
        <w:t> million dwellings (an increase of 1.</w:t>
      </w:r>
      <w:r w:rsidR="00787FD4">
        <w:rPr>
          <w:lang w:val="en-GB"/>
        </w:rPr>
        <w:t>3</w:t>
      </w:r>
      <w:r w:rsidR="00F20063" w:rsidRPr="00281994">
        <w:rPr>
          <w:lang w:val="en-GB"/>
        </w:rPr>
        <w:t xml:space="preserve"> % compared </w:t>
      </w:r>
      <w:r w:rsidR="00F20063">
        <w:rPr>
          <w:lang w:val="en-GB"/>
        </w:rPr>
        <w:t>to</w:t>
      </w:r>
      <w:r w:rsidR="00F20063" w:rsidRPr="00281994">
        <w:rPr>
          <w:lang w:val="en-GB"/>
        </w:rPr>
        <w:t xml:space="preserve"> the end of 20</w:t>
      </w:r>
      <w:r w:rsidR="00F20063">
        <w:rPr>
          <w:lang w:val="en-GB"/>
        </w:rPr>
        <w:t>2</w:t>
      </w:r>
      <w:r w:rsidR="00787FD4">
        <w:rPr>
          <w:lang w:val="en-GB"/>
        </w:rPr>
        <w:t>2</w:t>
      </w:r>
      <w:r w:rsidR="00F20063" w:rsidRPr="00281994">
        <w:rPr>
          <w:lang w:val="en-GB"/>
        </w:rPr>
        <w:t>) with the total useful floor area</w:t>
      </w:r>
      <w:r w:rsidR="00F20063">
        <w:rPr>
          <w:lang w:val="en-GB"/>
        </w:rPr>
        <w:t xml:space="preserve"> </w:t>
      </w:r>
      <w:r w:rsidR="00787FD4">
        <w:rPr>
          <w:lang w:val="en-US"/>
        </w:rPr>
        <w:t>1 190,7</w:t>
      </w:r>
      <w:r w:rsidR="00F20063" w:rsidRPr="00F20063">
        <w:rPr>
          <w:lang w:val="en-US"/>
        </w:rPr>
        <w:t xml:space="preserve"> </w:t>
      </w:r>
      <w:r w:rsidR="00F20063" w:rsidRPr="00281994">
        <w:rPr>
          <w:lang w:val="en-GB"/>
        </w:rPr>
        <w:t>million m</w:t>
      </w:r>
      <w:r w:rsidR="00F20063" w:rsidRPr="00281994">
        <w:rPr>
          <w:vertAlign w:val="superscript"/>
          <w:lang w:val="en-GB"/>
        </w:rPr>
        <w:t>2</w:t>
      </w:r>
      <w:r w:rsidR="00F20063" w:rsidRPr="00281994">
        <w:rPr>
          <w:lang w:val="en-GB"/>
        </w:rPr>
        <w:t xml:space="preserve">, with </w:t>
      </w:r>
      <w:r w:rsidR="00787FD4">
        <w:rPr>
          <w:lang w:val="en-GB"/>
        </w:rPr>
        <w:t>60,5</w:t>
      </w:r>
      <w:r w:rsidR="00F20063" w:rsidRPr="00281994">
        <w:rPr>
          <w:lang w:val="en-GB"/>
        </w:rPr>
        <w:t xml:space="preserve"> million rooms</w:t>
      </w:r>
      <w:r w:rsidR="00F20063">
        <w:rPr>
          <w:lang w:val="en-GB"/>
        </w:rPr>
        <w:t>.</w:t>
      </w:r>
    </w:p>
    <w:p w14:paraId="66C25EE2" w14:textId="77777777" w:rsidR="00003437" w:rsidRPr="00F20063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49BEEA4E" w14:textId="77777777" w:rsidR="00C22105" w:rsidRPr="00F20063" w:rsidRDefault="00C22105" w:rsidP="00E2731E">
      <w:pPr>
        <w:pStyle w:val="Nagwek1"/>
        <w:spacing w:after="0"/>
        <w:rPr>
          <w:shd w:val="clear" w:color="auto" w:fill="FFFFFF"/>
          <w:lang w:val="en-US"/>
        </w:rPr>
      </w:pPr>
    </w:p>
    <w:p w14:paraId="6C7AF4D4" w14:textId="77777777" w:rsidR="00C11A08" w:rsidRPr="00F20063" w:rsidRDefault="00C11A08" w:rsidP="00E2731E">
      <w:pPr>
        <w:spacing w:before="0" w:after="0"/>
        <w:rPr>
          <w:rFonts w:eastAsia="Times New Roman" w:cs="Times New Roman"/>
          <w:bCs/>
          <w:color w:val="001D77"/>
          <w:sz w:val="12"/>
          <w:szCs w:val="12"/>
          <w:lang w:val="en-US" w:eastAsia="pl-PL"/>
        </w:rPr>
      </w:pPr>
    </w:p>
    <w:p w14:paraId="05BCFC0F" w14:textId="56686DCC" w:rsidR="00781CE2" w:rsidRPr="00C11A08" w:rsidRDefault="00C11A08" w:rsidP="00781CE2">
      <w:pPr>
        <w:spacing w:before="0" w:after="0"/>
        <w:rPr>
          <w:rFonts w:eastAsia="Times New Roman" w:cs="Times New Roman"/>
          <w:b/>
          <w:bCs/>
          <w:color w:val="001D77"/>
          <w:szCs w:val="19"/>
          <w:lang w:val="en-US" w:eastAsia="pl-PL"/>
        </w:rPr>
      </w:pPr>
      <w:r w:rsidRPr="00C11A08">
        <w:rPr>
          <w:rFonts w:eastAsia="Times New Roman" w:cs="Times New Roman"/>
          <w:b/>
          <w:bCs/>
          <w:color w:val="001D77"/>
          <w:szCs w:val="19"/>
          <w:lang w:val="en-US" w:eastAsia="pl-PL"/>
        </w:rPr>
        <w:t>Dwelling stocks</w:t>
      </w:r>
    </w:p>
    <w:p w14:paraId="3E1E8AC4" w14:textId="0BE613A1" w:rsidR="00781CE2" w:rsidRPr="00C11A08" w:rsidRDefault="00781CE2" w:rsidP="007802E6">
      <w:pPr>
        <w:spacing w:before="0" w:after="0"/>
        <w:rPr>
          <w:rFonts w:eastAsia="Times New Roman" w:cs="Times New Roman"/>
          <w:bCs/>
          <w:color w:val="000000" w:themeColor="text1"/>
          <w:szCs w:val="19"/>
          <w:lang w:val="en-US" w:eastAsia="pl-PL"/>
        </w:rPr>
      </w:pPr>
    </w:p>
    <w:p w14:paraId="582F3605" w14:textId="323DF8BE" w:rsidR="00C11A08" w:rsidRPr="00360FE5" w:rsidRDefault="00C11A08" w:rsidP="007802E6">
      <w:pPr>
        <w:spacing w:before="0" w:after="0"/>
        <w:rPr>
          <w:shd w:val="clear" w:color="auto" w:fill="FFFFFF"/>
          <w:lang w:val="en-GB"/>
        </w:rPr>
      </w:pPr>
      <w:r w:rsidRPr="00360FE5">
        <w:rPr>
          <w:shd w:val="clear" w:color="auto" w:fill="FFFFFF"/>
          <w:lang w:val="en-GB"/>
        </w:rPr>
        <w:t>As of 31 December 202</w:t>
      </w:r>
      <w:r w:rsidR="00624E3A">
        <w:rPr>
          <w:shd w:val="clear" w:color="auto" w:fill="FFFFFF"/>
          <w:lang w:val="en-GB"/>
        </w:rPr>
        <w:t>3</w:t>
      </w:r>
      <w:r w:rsidRPr="00360FE5">
        <w:rPr>
          <w:shd w:val="clear" w:color="auto" w:fill="FFFFFF"/>
          <w:lang w:val="en-GB"/>
        </w:rPr>
        <w:t>, dwelling stocks located on the territory of Poland amounted to over 15.</w:t>
      </w:r>
      <w:r w:rsidR="00624E3A">
        <w:rPr>
          <w:shd w:val="clear" w:color="auto" w:fill="FFFFFF"/>
          <w:lang w:val="en-GB"/>
        </w:rPr>
        <w:t>7</w:t>
      </w:r>
      <w:r w:rsidRPr="00360FE5">
        <w:rPr>
          <w:shd w:val="clear" w:color="auto" w:fill="FFFFFF"/>
          <w:lang w:val="en-GB"/>
        </w:rPr>
        <w:t xml:space="preserve"> million </w:t>
      </w:r>
      <w:r w:rsidR="00EB420D" w:rsidRPr="00360FE5">
        <w:rPr>
          <w:shd w:val="clear" w:color="auto" w:fill="FFFFFF"/>
          <w:lang w:val="en-GB"/>
        </w:rPr>
        <w:t>(an increase of 1.</w:t>
      </w:r>
      <w:r w:rsidR="00624E3A">
        <w:rPr>
          <w:shd w:val="clear" w:color="auto" w:fill="FFFFFF"/>
          <w:lang w:val="en-GB"/>
        </w:rPr>
        <w:t>3</w:t>
      </w:r>
      <w:r w:rsidR="00EB420D" w:rsidRPr="00360FE5">
        <w:rPr>
          <w:shd w:val="clear" w:color="auto" w:fill="FFFFFF"/>
          <w:lang w:val="en-GB"/>
        </w:rPr>
        <w:t xml:space="preserve"> %) </w:t>
      </w:r>
      <w:r w:rsidRPr="00360FE5">
        <w:rPr>
          <w:shd w:val="clear" w:color="auto" w:fill="FFFFFF"/>
          <w:lang w:val="en-GB"/>
        </w:rPr>
        <w:t>of dwellings with the total useful floor area of 1,</w:t>
      </w:r>
      <w:r w:rsidR="00624E3A">
        <w:rPr>
          <w:shd w:val="clear" w:color="auto" w:fill="FFFFFF"/>
          <w:lang w:val="en-GB"/>
        </w:rPr>
        <w:t>190.7</w:t>
      </w:r>
      <w:r w:rsidRPr="00360FE5">
        <w:rPr>
          <w:shd w:val="clear" w:color="auto" w:fill="FFFFFF"/>
          <w:lang w:val="en-GB"/>
        </w:rPr>
        <w:t xml:space="preserve"> million m</w:t>
      </w:r>
      <w:r w:rsidRPr="00360FE5">
        <w:rPr>
          <w:shd w:val="clear" w:color="auto" w:fill="FFFFFF"/>
          <w:vertAlign w:val="superscript"/>
          <w:lang w:val="en-GB"/>
        </w:rPr>
        <w:t>2</w:t>
      </w:r>
      <w:r w:rsidR="00EB420D" w:rsidRPr="00EB420D">
        <w:rPr>
          <w:shd w:val="clear" w:color="auto" w:fill="FFFFFF"/>
          <w:lang w:val="en-GB"/>
        </w:rPr>
        <w:t xml:space="preserve"> </w:t>
      </w:r>
      <w:r w:rsidR="00EB420D" w:rsidRPr="00360FE5">
        <w:rPr>
          <w:shd w:val="clear" w:color="auto" w:fill="FFFFFF"/>
          <w:lang w:val="en-GB"/>
        </w:rPr>
        <w:t>(an increase of 1.</w:t>
      </w:r>
      <w:r w:rsidR="00624E3A">
        <w:rPr>
          <w:shd w:val="clear" w:color="auto" w:fill="FFFFFF"/>
          <w:lang w:val="en-GB"/>
        </w:rPr>
        <w:t>5</w:t>
      </w:r>
      <w:r w:rsidR="00EB420D" w:rsidRPr="00360FE5">
        <w:rPr>
          <w:shd w:val="clear" w:color="auto" w:fill="FFFFFF"/>
          <w:lang w:val="en-GB"/>
        </w:rPr>
        <w:t xml:space="preserve"> %) </w:t>
      </w:r>
      <w:r w:rsidRPr="00360FE5">
        <w:rPr>
          <w:shd w:val="clear" w:color="auto" w:fill="FFFFFF"/>
          <w:lang w:val="en-GB"/>
        </w:rPr>
        <w:t xml:space="preserve">with </w:t>
      </w:r>
      <w:r w:rsidR="00624E3A">
        <w:rPr>
          <w:shd w:val="clear" w:color="auto" w:fill="FFFFFF"/>
          <w:lang w:val="en-GB"/>
        </w:rPr>
        <w:t>60.5</w:t>
      </w:r>
      <w:r w:rsidRPr="00360FE5">
        <w:rPr>
          <w:shd w:val="clear" w:color="auto" w:fill="FFFFFF"/>
          <w:lang w:val="en-GB"/>
        </w:rPr>
        <w:t xml:space="preserve"> million rooms</w:t>
      </w:r>
      <w:r w:rsidR="00EB420D">
        <w:rPr>
          <w:shd w:val="clear" w:color="auto" w:fill="FFFFFF"/>
          <w:lang w:val="en-GB"/>
        </w:rPr>
        <w:t xml:space="preserve"> </w:t>
      </w:r>
      <w:r w:rsidR="00EB420D" w:rsidRPr="00360FE5">
        <w:rPr>
          <w:shd w:val="clear" w:color="auto" w:fill="FFFFFF"/>
          <w:lang w:val="en-GB"/>
        </w:rPr>
        <w:t>(an increase of 1.</w:t>
      </w:r>
      <w:r w:rsidR="00624E3A">
        <w:rPr>
          <w:shd w:val="clear" w:color="auto" w:fill="FFFFFF"/>
          <w:lang w:val="en-GB"/>
        </w:rPr>
        <w:t>3</w:t>
      </w:r>
      <w:r w:rsidR="00EB420D" w:rsidRPr="00360FE5">
        <w:rPr>
          <w:shd w:val="clear" w:color="auto" w:fill="FFFFFF"/>
          <w:lang w:val="en-GB"/>
        </w:rPr>
        <w:t> %)</w:t>
      </w:r>
      <w:r w:rsidRPr="00360FE5">
        <w:rPr>
          <w:shd w:val="clear" w:color="auto" w:fill="FFFFFF"/>
          <w:lang w:val="en-GB"/>
        </w:rPr>
        <w:t xml:space="preserve">. </w:t>
      </w:r>
    </w:p>
    <w:p w14:paraId="046CABC8" w14:textId="77777777" w:rsidR="006612F9" w:rsidRPr="00360FE5" w:rsidRDefault="006612F9" w:rsidP="00781CE2">
      <w:pPr>
        <w:spacing w:before="0" w:after="0"/>
        <w:rPr>
          <w:rFonts w:eastAsia="Times New Roman" w:cs="Times New Roman"/>
          <w:bCs/>
          <w:szCs w:val="19"/>
          <w:lang w:val="en-US" w:eastAsia="pl-PL"/>
        </w:rPr>
      </w:pPr>
    </w:p>
    <w:p w14:paraId="1A046DFF" w14:textId="637A4AC7" w:rsidR="006612F9" w:rsidRPr="00360FE5" w:rsidRDefault="006612F9" w:rsidP="006612F9">
      <w:pPr>
        <w:spacing w:before="0"/>
        <w:rPr>
          <w:shd w:val="clear" w:color="auto" w:fill="FFFFFF"/>
          <w:lang w:val="en-GB"/>
        </w:rPr>
      </w:pPr>
      <w:r w:rsidRPr="00360FE5">
        <w:rPr>
          <w:shd w:val="clear" w:color="auto" w:fill="FFFFFF"/>
          <w:lang w:val="en-GB"/>
        </w:rPr>
        <w:t xml:space="preserve">Compared to the </w:t>
      </w:r>
      <w:r w:rsidR="00EB420D">
        <w:rPr>
          <w:shd w:val="clear" w:color="auto" w:fill="FFFFFF"/>
          <w:lang w:val="en-GB"/>
        </w:rPr>
        <w:t>202</w:t>
      </w:r>
      <w:r w:rsidR="003E6B2A">
        <w:rPr>
          <w:shd w:val="clear" w:color="auto" w:fill="FFFFFF"/>
          <w:lang w:val="en-GB"/>
        </w:rPr>
        <w:t>2</w:t>
      </w:r>
      <w:r w:rsidR="00EB420D">
        <w:rPr>
          <w:shd w:val="clear" w:color="auto" w:fill="FFFFFF"/>
          <w:lang w:val="en-GB"/>
        </w:rPr>
        <w:t xml:space="preserve"> </w:t>
      </w:r>
      <w:r w:rsidRPr="00360FE5">
        <w:rPr>
          <w:shd w:val="clear" w:color="auto" w:fill="FFFFFF"/>
          <w:lang w:val="en-GB"/>
        </w:rPr>
        <w:t xml:space="preserve">year, </w:t>
      </w:r>
      <w:r w:rsidR="003E6B2A">
        <w:rPr>
          <w:shd w:val="clear" w:color="auto" w:fill="FFFFFF"/>
          <w:lang w:val="en-GB"/>
        </w:rPr>
        <w:t>204.1</w:t>
      </w:r>
      <w:r w:rsidRPr="00360FE5">
        <w:rPr>
          <w:shd w:val="clear" w:color="auto" w:fill="FFFFFF"/>
          <w:lang w:val="en-GB"/>
        </w:rPr>
        <w:t xml:space="preserve"> thousand of dwellings </w:t>
      </w:r>
      <w:r w:rsidRPr="00C83AEE">
        <w:rPr>
          <w:shd w:val="clear" w:color="auto" w:fill="FFFFFF"/>
          <w:lang w:val="en-GB"/>
        </w:rPr>
        <w:t xml:space="preserve">were built with </w:t>
      </w:r>
      <w:r w:rsidRPr="00360FE5">
        <w:rPr>
          <w:shd w:val="clear" w:color="auto" w:fill="FFFFFF"/>
          <w:lang w:val="en-GB"/>
        </w:rPr>
        <w:t xml:space="preserve">the total useful floor area of </w:t>
      </w:r>
      <w:r w:rsidR="003E6B2A">
        <w:rPr>
          <w:shd w:val="clear" w:color="auto" w:fill="FFFFFF"/>
          <w:lang w:val="en-GB"/>
        </w:rPr>
        <w:t>17,748.4</w:t>
      </w:r>
      <w:r w:rsidRPr="00360FE5">
        <w:rPr>
          <w:shd w:val="clear" w:color="auto" w:fill="FFFFFF"/>
          <w:lang w:val="en-GB"/>
        </w:rPr>
        <w:t xml:space="preserve"> thousand m</w:t>
      </w:r>
      <w:r w:rsidRPr="00360FE5">
        <w:rPr>
          <w:shd w:val="clear" w:color="auto" w:fill="FFFFFF"/>
          <w:vertAlign w:val="superscript"/>
          <w:lang w:val="en-GB"/>
        </w:rPr>
        <w:t>2</w:t>
      </w:r>
      <w:r w:rsidRPr="00360FE5">
        <w:rPr>
          <w:shd w:val="clear" w:color="auto" w:fill="FFFFFF"/>
          <w:lang w:val="en-GB"/>
        </w:rPr>
        <w:t xml:space="preserve"> and </w:t>
      </w:r>
      <w:r w:rsidR="003E6B2A">
        <w:rPr>
          <w:shd w:val="clear" w:color="auto" w:fill="FFFFFF"/>
          <w:lang w:val="en-GB"/>
        </w:rPr>
        <w:t>753.3</w:t>
      </w:r>
      <w:r w:rsidRPr="00360FE5">
        <w:rPr>
          <w:shd w:val="clear" w:color="auto" w:fill="FFFFFF"/>
          <w:lang w:val="en-GB"/>
        </w:rPr>
        <w:t> thousand rooms.</w:t>
      </w:r>
    </w:p>
    <w:p w14:paraId="2A874987" w14:textId="21C31413" w:rsidR="007802E6" w:rsidRPr="00360FE5" w:rsidRDefault="00250127" w:rsidP="006612F9">
      <w:pPr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>Almost</w:t>
      </w:r>
      <w:r w:rsidR="006612F9" w:rsidRPr="00360FE5">
        <w:rPr>
          <w:shd w:val="clear" w:color="auto" w:fill="FFFFFF"/>
          <w:lang w:val="en-GB"/>
        </w:rPr>
        <w:t xml:space="preserve"> 10.</w:t>
      </w:r>
      <w:r w:rsidR="003C7357">
        <w:rPr>
          <w:shd w:val="clear" w:color="auto" w:fill="FFFFFF"/>
          <w:lang w:val="en-GB"/>
        </w:rPr>
        <w:t>7</w:t>
      </w:r>
      <w:r w:rsidR="006612F9" w:rsidRPr="00360FE5">
        <w:rPr>
          <w:shd w:val="clear" w:color="auto" w:fill="FFFFFF"/>
          <w:lang w:val="en-GB"/>
        </w:rPr>
        <w:t xml:space="preserve"> million dwellings with the useful floor area of </w:t>
      </w:r>
      <w:r w:rsidR="00775995">
        <w:rPr>
          <w:shd w:val="clear" w:color="auto" w:fill="FFFFFF"/>
          <w:lang w:val="en-GB"/>
        </w:rPr>
        <w:t>694.4</w:t>
      </w:r>
      <w:r w:rsidR="006612F9" w:rsidRPr="00360FE5">
        <w:rPr>
          <w:shd w:val="clear" w:color="auto" w:fill="FFFFFF"/>
          <w:lang w:val="en-GB"/>
        </w:rPr>
        <w:t xml:space="preserve"> million m</w:t>
      </w:r>
      <w:r w:rsidR="006612F9" w:rsidRPr="00360FE5">
        <w:rPr>
          <w:shd w:val="clear" w:color="auto" w:fill="FFFFFF"/>
          <w:vertAlign w:val="superscript"/>
          <w:lang w:val="en-GB"/>
        </w:rPr>
        <w:t>2</w:t>
      </w:r>
      <w:r w:rsidR="006612F9" w:rsidRPr="00360FE5">
        <w:rPr>
          <w:shd w:val="clear" w:color="auto" w:fill="FFFFFF"/>
          <w:lang w:val="en-GB"/>
        </w:rPr>
        <w:t xml:space="preserve"> and 37.</w:t>
      </w:r>
      <w:r w:rsidR="00775995">
        <w:rPr>
          <w:shd w:val="clear" w:color="auto" w:fill="FFFFFF"/>
          <w:lang w:val="en-GB"/>
        </w:rPr>
        <w:t>5</w:t>
      </w:r>
      <w:r w:rsidR="006612F9" w:rsidRPr="00360FE5">
        <w:rPr>
          <w:shd w:val="clear" w:color="auto" w:fill="FFFFFF"/>
          <w:lang w:val="en-GB"/>
        </w:rPr>
        <w:t xml:space="preserve"> million rooms were located in urban areas. </w:t>
      </w:r>
      <w:r>
        <w:rPr>
          <w:shd w:val="clear" w:color="auto" w:fill="FFFFFF"/>
          <w:lang w:val="en-GB"/>
        </w:rPr>
        <w:t>More than</w:t>
      </w:r>
      <w:r w:rsidR="006612F9" w:rsidRPr="00360FE5">
        <w:rPr>
          <w:shd w:val="clear" w:color="auto" w:fill="FFFFFF"/>
          <w:lang w:val="en-GB"/>
        </w:rPr>
        <w:t xml:space="preserve"> 5.0 million dwellings with the</w:t>
      </w:r>
      <w:r w:rsidR="006612F9" w:rsidRPr="00360FE5">
        <w:rPr>
          <w:lang w:val="en-GB"/>
        </w:rPr>
        <w:t xml:space="preserve"> </w:t>
      </w:r>
      <w:r w:rsidR="006612F9" w:rsidRPr="00360FE5">
        <w:rPr>
          <w:shd w:val="clear" w:color="auto" w:fill="FFFFFF"/>
          <w:lang w:val="en-GB"/>
        </w:rPr>
        <w:t xml:space="preserve">useful floor area of </w:t>
      </w:r>
      <w:r w:rsidR="00775995">
        <w:rPr>
          <w:shd w:val="clear" w:color="auto" w:fill="FFFFFF"/>
          <w:lang w:val="en-GB"/>
        </w:rPr>
        <w:t>496.2</w:t>
      </w:r>
      <w:r w:rsidR="006612F9" w:rsidRPr="00360FE5">
        <w:rPr>
          <w:shd w:val="clear" w:color="auto" w:fill="FFFFFF"/>
          <w:lang w:val="en-GB"/>
        </w:rPr>
        <w:t xml:space="preserve"> million m</w:t>
      </w:r>
      <w:r w:rsidR="006612F9" w:rsidRPr="00360FE5">
        <w:rPr>
          <w:shd w:val="clear" w:color="auto" w:fill="FFFFFF"/>
          <w:vertAlign w:val="superscript"/>
          <w:lang w:val="en-GB"/>
        </w:rPr>
        <w:t>2</w:t>
      </w:r>
      <w:r w:rsidR="006612F9" w:rsidRPr="00360FE5">
        <w:rPr>
          <w:shd w:val="clear" w:color="auto" w:fill="FFFFFF"/>
          <w:lang w:val="en-GB"/>
        </w:rPr>
        <w:t xml:space="preserve"> and </w:t>
      </w:r>
      <w:r w:rsidR="00775995">
        <w:rPr>
          <w:shd w:val="clear" w:color="auto" w:fill="FFFFFF"/>
          <w:lang w:val="en-GB"/>
        </w:rPr>
        <w:t>22.9</w:t>
      </w:r>
      <w:r w:rsidR="006612F9" w:rsidRPr="00360FE5">
        <w:rPr>
          <w:shd w:val="clear" w:color="auto" w:fill="FFFFFF"/>
          <w:lang w:val="en-GB"/>
        </w:rPr>
        <w:t xml:space="preserve"> million rooms were in rural areas. In urban areas the number of dwellings increased by </w:t>
      </w:r>
      <w:r w:rsidR="00CE26E5">
        <w:rPr>
          <w:shd w:val="clear" w:color="auto" w:fill="FFFFFF"/>
          <w:lang w:val="en-GB"/>
        </w:rPr>
        <w:t>144.1</w:t>
      </w:r>
      <w:r w:rsidR="006612F9" w:rsidRPr="00360FE5">
        <w:rPr>
          <w:shd w:val="clear" w:color="auto" w:fill="FFFFFF"/>
          <w:lang w:val="en-GB"/>
        </w:rPr>
        <w:t xml:space="preserve"> thousand (by 1.4 %), while in rural areas the increase was </w:t>
      </w:r>
      <w:r w:rsidR="00CE26E5">
        <w:rPr>
          <w:shd w:val="clear" w:color="auto" w:fill="FFFFFF"/>
          <w:lang w:val="en-GB"/>
        </w:rPr>
        <w:t>59.9</w:t>
      </w:r>
      <w:r w:rsidR="006612F9" w:rsidRPr="00360FE5">
        <w:rPr>
          <w:shd w:val="clear" w:color="auto" w:fill="FFFFFF"/>
          <w:lang w:val="en-GB"/>
        </w:rPr>
        <w:t xml:space="preserve"> thousand (</w:t>
      </w:r>
      <w:r w:rsidR="00571F48">
        <w:rPr>
          <w:shd w:val="clear" w:color="auto" w:fill="FFFFFF"/>
          <w:lang w:val="en-GB"/>
        </w:rPr>
        <w:t>by</w:t>
      </w:r>
      <w:r w:rsidR="00192C99" w:rsidRPr="00360FE5">
        <w:rPr>
          <w:shd w:val="clear" w:color="auto" w:fill="FFFFFF"/>
          <w:lang w:val="en-GB"/>
        </w:rPr>
        <w:t xml:space="preserve"> </w:t>
      </w:r>
      <w:r w:rsidR="006612F9" w:rsidRPr="00360FE5">
        <w:rPr>
          <w:shd w:val="clear" w:color="auto" w:fill="FFFFFF"/>
          <w:lang w:val="en-GB"/>
        </w:rPr>
        <w:t>1.</w:t>
      </w:r>
      <w:r w:rsidR="006E3DBA">
        <w:rPr>
          <w:shd w:val="clear" w:color="auto" w:fill="FFFFFF"/>
          <w:lang w:val="en-GB"/>
        </w:rPr>
        <w:t>2</w:t>
      </w:r>
      <w:r w:rsidR="006612F9" w:rsidRPr="00360FE5">
        <w:rPr>
          <w:shd w:val="clear" w:color="auto" w:fill="FFFFFF"/>
          <w:lang w:val="en-GB"/>
        </w:rPr>
        <w:t> %).</w:t>
      </w:r>
    </w:p>
    <w:p w14:paraId="59397021" w14:textId="18DEA77F" w:rsidR="00B02EAA" w:rsidRPr="00EC2D62" w:rsidRDefault="000300FB" w:rsidP="000300FB">
      <w:pPr>
        <w:spacing w:before="0" w:after="0"/>
        <w:rPr>
          <w:b/>
          <w:spacing w:val="-2"/>
          <w:sz w:val="18"/>
          <w:lang w:val="en-US"/>
        </w:rPr>
      </w:pPr>
      <w:r w:rsidRPr="00EC2D62">
        <w:rPr>
          <w:b/>
          <w:spacing w:val="-2"/>
          <w:sz w:val="18"/>
          <w:lang w:val="en-US"/>
        </w:rPr>
        <w:t>Tabl</w:t>
      </w:r>
      <w:r w:rsidR="007A5FB7">
        <w:rPr>
          <w:b/>
          <w:spacing w:val="-2"/>
          <w:sz w:val="18"/>
          <w:lang w:val="en-US"/>
        </w:rPr>
        <w:t>e</w:t>
      </w:r>
      <w:r w:rsidRPr="00EC2D62">
        <w:rPr>
          <w:b/>
          <w:spacing w:val="-2"/>
          <w:sz w:val="18"/>
          <w:lang w:val="en-US"/>
        </w:rPr>
        <w:t xml:space="preserve"> 1. </w:t>
      </w:r>
      <w:r w:rsidR="00133C04" w:rsidRPr="00EC2D62">
        <w:rPr>
          <w:b/>
          <w:spacing w:val="-2"/>
          <w:sz w:val="18"/>
          <w:lang w:val="en-US"/>
        </w:rPr>
        <w:t xml:space="preserve">Dwelling stocks </w:t>
      </w:r>
      <w:r w:rsidRPr="00EC2D62">
        <w:rPr>
          <w:b/>
          <w:spacing w:val="-2"/>
          <w:sz w:val="18"/>
          <w:lang w:val="en-US"/>
        </w:rPr>
        <w:t>(</w:t>
      </w:r>
      <w:r w:rsidR="00133C04" w:rsidRPr="00EC2D62">
        <w:rPr>
          <w:b/>
          <w:spacing w:val="-2"/>
          <w:sz w:val="18"/>
          <w:lang w:val="en-US"/>
        </w:rPr>
        <w:t>as of</w:t>
      </w:r>
      <w:r w:rsidR="00DF3119" w:rsidRPr="00EC2D62">
        <w:rPr>
          <w:b/>
          <w:spacing w:val="-2"/>
          <w:sz w:val="18"/>
          <w:lang w:val="en-US"/>
        </w:rPr>
        <w:t xml:space="preserve"> 31</w:t>
      </w:r>
      <w:r w:rsidR="002655AB">
        <w:rPr>
          <w:b/>
          <w:spacing w:val="-2"/>
          <w:sz w:val="18"/>
          <w:lang w:val="en-US"/>
        </w:rPr>
        <w:t xml:space="preserve"> December</w:t>
      </w:r>
      <w:r w:rsidRPr="00EC2D62">
        <w:rPr>
          <w:b/>
          <w:spacing w:val="-2"/>
          <w:sz w:val="18"/>
          <w:lang w:val="en-US"/>
        </w:rPr>
        <w:t>)</w:t>
      </w:r>
    </w:p>
    <w:tbl>
      <w:tblPr>
        <w:tblW w:w="7967" w:type="dxa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e 1"/>
        <w:tblDescription w:val="Dwelling stocks (as of 31 December)"/>
      </w:tblPr>
      <w:tblGrid>
        <w:gridCol w:w="2127"/>
        <w:gridCol w:w="917"/>
        <w:gridCol w:w="833"/>
        <w:gridCol w:w="850"/>
        <w:gridCol w:w="881"/>
        <w:gridCol w:w="654"/>
        <w:gridCol w:w="850"/>
        <w:gridCol w:w="855"/>
      </w:tblGrid>
      <w:tr w:rsidR="00285BC1" w:rsidRPr="00781CE2" w14:paraId="6ECC1226" w14:textId="77777777" w:rsidTr="00F16DC6">
        <w:trPr>
          <w:trHeight w:val="397"/>
        </w:trPr>
        <w:tc>
          <w:tcPr>
            <w:tcW w:w="2127" w:type="dxa"/>
            <w:vMerge w:val="restart"/>
            <w:shd w:val="clear" w:color="auto" w:fill="auto"/>
            <w:noWrap/>
            <w:vAlign w:val="center"/>
            <w:hideMark/>
          </w:tcPr>
          <w:p w14:paraId="0B8F91C9" w14:textId="4F0EC3FD" w:rsidR="00285BC1" w:rsidRPr="00781CE2" w:rsidRDefault="00133C04" w:rsidP="00133C04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bookmarkStart w:id="0" w:name="_Hlk50551191"/>
            <w:proofErr w:type="spellStart"/>
            <w:r>
              <w:rPr>
                <w:rFonts w:eastAsia="Times New Roman" w:cs="Calibri"/>
                <w:sz w:val="16"/>
                <w:szCs w:val="16"/>
                <w:lang w:eastAsia="pl-PL"/>
              </w:rPr>
              <w:t>Specification</w:t>
            </w:r>
            <w:proofErr w:type="spellEnd"/>
          </w:p>
        </w:tc>
        <w:tc>
          <w:tcPr>
            <w:tcW w:w="2600" w:type="dxa"/>
            <w:gridSpan w:val="3"/>
            <w:vAlign w:val="center"/>
          </w:tcPr>
          <w:p w14:paraId="1DD87FCC" w14:textId="6AA2F473" w:rsidR="00285BC1" w:rsidRPr="00781CE2" w:rsidRDefault="00285BC1" w:rsidP="005D741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20</w:t>
            </w:r>
            <w:r w:rsidR="004423D9">
              <w:rPr>
                <w:rFonts w:eastAsia="Times New Roman" w:cs="Calibri"/>
                <w:sz w:val="16"/>
                <w:szCs w:val="16"/>
                <w:lang w:eastAsia="pl-PL"/>
              </w:rPr>
              <w:t>2</w:t>
            </w:r>
            <w:r w:rsidR="00E62BE9">
              <w:rPr>
                <w:rFonts w:eastAsia="Times New Roman" w:cs="Calibr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240" w:type="dxa"/>
            <w:gridSpan w:val="4"/>
            <w:vAlign w:val="center"/>
          </w:tcPr>
          <w:p w14:paraId="15AB7C4B" w14:textId="01372936" w:rsidR="00285BC1" w:rsidRPr="00781CE2" w:rsidRDefault="00285BC1" w:rsidP="005D741F">
            <w:pPr>
              <w:spacing w:before="0" w:after="0" w:line="240" w:lineRule="auto"/>
              <w:jc w:val="center"/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20</w:t>
            </w:r>
            <w:r w:rsidR="008954CD">
              <w:rPr>
                <w:rFonts w:eastAsia="Times New Roman" w:cs="Calibri"/>
                <w:sz w:val="16"/>
                <w:szCs w:val="16"/>
                <w:lang w:eastAsia="pl-PL"/>
              </w:rPr>
              <w:t>2</w:t>
            </w:r>
            <w:r w:rsidR="00E62BE9">
              <w:rPr>
                <w:rFonts w:eastAsia="Times New Roman" w:cs="Calibri"/>
                <w:sz w:val="16"/>
                <w:szCs w:val="16"/>
                <w:lang w:eastAsia="pl-PL"/>
              </w:rPr>
              <w:t>3</w:t>
            </w:r>
          </w:p>
        </w:tc>
      </w:tr>
      <w:tr w:rsidR="00133C04" w:rsidRPr="00781CE2" w14:paraId="0D0DC2B8" w14:textId="77777777" w:rsidTr="00F16DC6">
        <w:trPr>
          <w:trHeight w:val="516"/>
        </w:trPr>
        <w:tc>
          <w:tcPr>
            <w:tcW w:w="2127" w:type="dxa"/>
            <w:vMerge/>
            <w:shd w:val="clear" w:color="auto" w:fill="auto"/>
            <w:noWrap/>
            <w:vAlign w:val="bottom"/>
          </w:tcPr>
          <w:p w14:paraId="25E131E5" w14:textId="77777777" w:rsidR="00133C04" w:rsidRPr="00B02EAA" w:rsidRDefault="00133C04" w:rsidP="00133C04">
            <w:pPr>
              <w:spacing w:after="0" w:line="240" w:lineRule="auto"/>
              <w:jc w:val="center"/>
              <w:rPr>
                <w:spacing w:val="-2"/>
                <w:sz w:val="18"/>
              </w:rPr>
            </w:pPr>
          </w:p>
        </w:tc>
        <w:tc>
          <w:tcPr>
            <w:tcW w:w="917" w:type="dxa"/>
            <w:vAlign w:val="center"/>
          </w:tcPr>
          <w:p w14:paraId="4B43DBDB" w14:textId="3FCA2E70" w:rsidR="00133C04" w:rsidRDefault="00133C04" w:rsidP="00133C04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Total</w:t>
            </w:r>
          </w:p>
        </w:tc>
        <w:tc>
          <w:tcPr>
            <w:tcW w:w="833" w:type="dxa"/>
            <w:vAlign w:val="center"/>
          </w:tcPr>
          <w:p w14:paraId="05564D35" w14:textId="07A7B914" w:rsidR="00133C04" w:rsidRDefault="00133C04" w:rsidP="00133C04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Urban </w:t>
            </w:r>
            <w:proofErr w:type="spellStart"/>
            <w:r>
              <w:rPr>
                <w:rFonts w:eastAsia="Times New Roman" w:cs="Calibri"/>
                <w:sz w:val="16"/>
                <w:szCs w:val="16"/>
                <w:lang w:eastAsia="pl-PL"/>
              </w:rPr>
              <w:t>areas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ADCAC44" w14:textId="2365A07D" w:rsidR="00133C04" w:rsidRPr="00781CE2" w:rsidRDefault="00133C04" w:rsidP="00133C04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>
              <w:rPr>
                <w:rFonts w:eastAsia="Times New Roman" w:cs="Calibri"/>
                <w:sz w:val="16"/>
                <w:szCs w:val="16"/>
                <w:lang w:eastAsia="pl-PL"/>
              </w:rPr>
              <w:t>Rural</w:t>
            </w:r>
            <w:proofErr w:type="spellEnd"/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16"/>
                <w:szCs w:val="16"/>
                <w:lang w:eastAsia="pl-PL"/>
              </w:rPr>
              <w:t>areas</w:t>
            </w:r>
            <w:proofErr w:type="spellEnd"/>
          </w:p>
        </w:tc>
        <w:tc>
          <w:tcPr>
            <w:tcW w:w="881" w:type="dxa"/>
            <w:vAlign w:val="center"/>
          </w:tcPr>
          <w:p w14:paraId="5EC98784" w14:textId="53FA9390" w:rsidR="00133C04" w:rsidRPr="00781CE2" w:rsidRDefault="00133C04" w:rsidP="00133C04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Total</w:t>
            </w:r>
          </w:p>
        </w:tc>
        <w:tc>
          <w:tcPr>
            <w:tcW w:w="654" w:type="dxa"/>
            <w:vAlign w:val="center"/>
          </w:tcPr>
          <w:p w14:paraId="7460B27C" w14:textId="4C209CB8" w:rsidR="00133C04" w:rsidRDefault="00133C04" w:rsidP="00133C04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20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2</w:t>
            </w:r>
            <w:r w:rsidR="00E62BE9">
              <w:rPr>
                <w:rFonts w:eastAsia="Times New Roman" w:cs="Calibri"/>
                <w:sz w:val="16"/>
                <w:szCs w:val="16"/>
                <w:lang w:eastAsia="pl-PL"/>
              </w:rPr>
              <w:t>2</w:t>
            </w: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 xml:space="preserve"> =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br/>
              <w:t>=</w:t>
            </w: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 xml:space="preserve"> 100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CAC2F97" w14:textId="68E98EE7" w:rsidR="00133C04" w:rsidRDefault="00133C04" w:rsidP="00133C04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Urban </w:t>
            </w:r>
            <w:proofErr w:type="spellStart"/>
            <w:r>
              <w:rPr>
                <w:rFonts w:eastAsia="Times New Roman" w:cs="Calibri"/>
                <w:sz w:val="16"/>
                <w:szCs w:val="16"/>
                <w:lang w:eastAsia="pl-PL"/>
              </w:rPr>
              <w:t>areas</w:t>
            </w:r>
            <w:proofErr w:type="spellEnd"/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34AA871A" w14:textId="46C9F754" w:rsidR="00133C04" w:rsidRDefault="00133C04" w:rsidP="00133C04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>
              <w:rPr>
                <w:rFonts w:eastAsia="Times New Roman" w:cs="Calibri"/>
                <w:sz w:val="16"/>
                <w:szCs w:val="16"/>
                <w:lang w:eastAsia="pl-PL"/>
              </w:rPr>
              <w:t>Rural</w:t>
            </w:r>
            <w:proofErr w:type="spellEnd"/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16"/>
                <w:szCs w:val="16"/>
                <w:lang w:eastAsia="pl-PL"/>
              </w:rPr>
              <w:t>areas</w:t>
            </w:r>
            <w:proofErr w:type="spellEnd"/>
          </w:p>
        </w:tc>
      </w:tr>
      <w:tr w:rsidR="00716EE5" w:rsidRPr="00781CE2" w14:paraId="446D1682" w14:textId="77777777" w:rsidTr="00F16DC6">
        <w:trPr>
          <w:trHeight w:val="30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63F3D140" w14:textId="10A5E425" w:rsidR="00716EE5" w:rsidRPr="00781CE2" w:rsidRDefault="00716EE5" w:rsidP="00716EE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314CA0">
              <w:rPr>
                <w:rFonts w:eastAsia="Times New Roman" w:cs="Calibri"/>
                <w:sz w:val="16"/>
                <w:szCs w:val="16"/>
                <w:lang w:eastAsia="pl-PL"/>
              </w:rPr>
              <w:t>Dwellings</w:t>
            </w:r>
            <w:proofErr w:type="spellEnd"/>
            <w:r w:rsidRPr="00314CA0">
              <w:rPr>
                <w:rFonts w:eastAsia="Times New Roman" w:cs="Calibri"/>
                <w:sz w:val="16"/>
                <w:szCs w:val="16"/>
                <w:lang w:eastAsia="pl-PL"/>
              </w:rPr>
              <w:t xml:space="preserve"> in </w:t>
            </w:r>
            <w:proofErr w:type="spellStart"/>
            <w:r w:rsidRPr="00314CA0">
              <w:rPr>
                <w:rFonts w:eastAsia="Times New Roman" w:cs="Calibri"/>
                <w:sz w:val="16"/>
                <w:szCs w:val="16"/>
                <w:lang w:eastAsia="pl-PL"/>
              </w:rPr>
              <w:t>thousand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s</w:t>
            </w:r>
            <w:proofErr w:type="spellEnd"/>
          </w:p>
        </w:tc>
        <w:tc>
          <w:tcPr>
            <w:tcW w:w="917" w:type="dxa"/>
            <w:shd w:val="clear" w:color="auto" w:fill="auto"/>
            <w:vAlign w:val="center"/>
          </w:tcPr>
          <w:p w14:paraId="1BAF7E3C" w14:textId="172E376C" w:rsidR="00716EE5" w:rsidRPr="00716EE5" w:rsidRDefault="00716EE5" w:rsidP="00716EE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15</w:t>
            </w: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  <w:r w:rsidRPr="00716EE5">
              <w:rPr>
                <w:rFonts w:cs="Calibri"/>
                <w:color w:val="000000"/>
                <w:sz w:val="16"/>
                <w:szCs w:val="16"/>
              </w:rPr>
              <w:t>575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16EE5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68A928C" w14:textId="25A54E00" w:rsidR="00716EE5" w:rsidRPr="00716EE5" w:rsidRDefault="00716EE5" w:rsidP="00716EE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10</w:t>
            </w: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  <w:r w:rsidRPr="00716EE5">
              <w:rPr>
                <w:rFonts w:cs="Calibri"/>
                <w:color w:val="000000"/>
                <w:sz w:val="16"/>
                <w:szCs w:val="16"/>
              </w:rPr>
              <w:t>561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16EE5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D24DB06" w14:textId="20B6DD16" w:rsidR="00716EE5" w:rsidRPr="00716EE5" w:rsidRDefault="00716EE5" w:rsidP="00716EE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  <w:r w:rsidRPr="00716EE5">
              <w:rPr>
                <w:rFonts w:cs="Calibri"/>
                <w:color w:val="000000"/>
                <w:sz w:val="16"/>
                <w:szCs w:val="16"/>
              </w:rPr>
              <w:t>014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16EE5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09F3710A" w14:textId="1F19CF59" w:rsidR="00716EE5" w:rsidRPr="00716EE5" w:rsidRDefault="00716EE5" w:rsidP="00716EE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15</w:t>
            </w: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  <w:r w:rsidRPr="00716EE5">
              <w:rPr>
                <w:rFonts w:cs="Calibri"/>
                <w:color w:val="000000"/>
                <w:sz w:val="16"/>
                <w:szCs w:val="16"/>
              </w:rPr>
              <w:t>779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16EE5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4" w:type="dxa"/>
            <w:shd w:val="clear" w:color="auto" w:fill="auto"/>
            <w:vAlign w:val="center"/>
          </w:tcPr>
          <w:p w14:paraId="5B4449D9" w14:textId="3D6387F9" w:rsidR="00716EE5" w:rsidRPr="00716EE5" w:rsidRDefault="00716EE5" w:rsidP="00716EE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101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16EE5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5D1F308" w14:textId="2D28A12F" w:rsidR="00716EE5" w:rsidRPr="00716EE5" w:rsidRDefault="00716EE5" w:rsidP="00716EE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10</w:t>
            </w: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  <w:r w:rsidRPr="00716EE5">
              <w:rPr>
                <w:rFonts w:cs="Calibri"/>
                <w:color w:val="000000"/>
                <w:sz w:val="16"/>
                <w:szCs w:val="16"/>
              </w:rPr>
              <w:t>705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16EE5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426554A5" w14:textId="74398B64" w:rsidR="00716EE5" w:rsidRPr="00716EE5" w:rsidRDefault="00716EE5" w:rsidP="00716EE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5074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16EE5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716EE5" w:rsidRPr="00781CE2" w14:paraId="1630A9EC" w14:textId="77777777" w:rsidTr="00F16DC6">
        <w:trPr>
          <w:trHeight w:val="30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28054787" w14:textId="4DD7D032" w:rsidR="00716EE5" w:rsidRPr="00133C04" w:rsidRDefault="00716EE5" w:rsidP="00716EE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US" w:eastAsia="pl-PL"/>
              </w:rPr>
            </w:pPr>
            <w:r w:rsidRPr="00281994">
              <w:rPr>
                <w:rFonts w:eastAsia="Times New Roman" w:cs="Calibri"/>
                <w:sz w:val="16"/>
                <w:szCs w:val="16"/>
                <w:lang w:val="en-GB" w:eastAsia="pl-PL"/>
              </w:rPr>
              <w:t>Rooms in dwellings in thousand</w:t>
            </w:r>
            <w:r>
              <w:rPr>
                <w:rFonts w:eastAsia="Times New Roman" w:cs="Calibri"/>
                <w:sz w:val="16"/>
                <w:szCs w:val="16"/>
                <w:lang w:val="en-GB" w:eastAsia="pl-PL"/>
              </w:rPr>
              <w:t>s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D95D8C3" w14:textId="0AE3A293" w:rsidR="00716EE5" w:rsidRPr="00716EE5" w:rsidRDefault="00716EE5" w:rsidP="00716EE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59</w:t>
            </w: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  <w:r w:rsidRPr="00716EE5">
              <w:rPr>
                <w:rFonts w:cs="Calibri"/>
                <w:color w:val="000000"/>
                <w:sz w:val="16"/>
                <w:szCs w:val="16"/>
              </w:rPr>
              <w:t>728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16EE5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8A99F10" w14:textId="229E1206" w:rsidR="00716EE5" w:rsidRPr="00716EE5" w:rsidRDefault="00716EE5" w:rsidP="00716EE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37</w:t>
            </w: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  <w:r w:rsidRPr="00716EE5">
              <w:rPr>
                <w:rFonts w:cs="Calibri"/>
                <w:color w:val="000000"/>
                <w:sz w:val="16"/>
                <w:szCs w:val="16"/>
              </w:rPr>
              <w:t>031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16EE5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E47E3C9" w14:textId="0D91FC38" w:rsidR="00716EE5" w:rsidRPr="00716EE5" w:rsidRDefault="00716EE5" w:rsidP="00716EE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22</w:t>
            </w: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  <w:r w:rsidRPr="00716EE5">
              <w:rPr>
                <w:rFonts w:cs="Calibri"/>
                <w:color w:val="000000"/>
                <w:sz w:val="16"/>
                <w:szCs w:val="16"/>
              </w:rPr>
              <w:t>696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16EE5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76FA479E" w14:textId="420744CC" w:rsidR="00716EE5" w:rsidRPr="00716EE5" w:rsidRDefault="00716EE5" w:rsidP="00716EE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60</w:t>
            </w: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  <w:r w:rsidRPr="00716EE5">
              <w:rPr>
                <w:rFonts w:cs="Calibri"/>
                <w:color w:val="000000"/>
                <w:sz w:val="16"/>
                <w:szCs w:val="16"/>
              </w:rPr>
              <w:t>481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16EE5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54" w:type="dxa"/>
            <w:shd w:val="clear" w:color="auto" w:fill="auto"/>
            <w:vAlign w:val="center"/>
          </w:tcPr>
          <w:p w14:paraId="7A9A820A" w14:textId="27ABDB67" w:rsidR="00716EE5" w:rsidRPr="00716EE5" w:rsidRDefault="00716EE5" w:rsidP="00716EE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101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16EE5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47BAD66" w14:textId="3889F2F6" w:rsidR="00716EE5" w:rsidRPr="00716EE5" w:rsidRDefault="00716EE5" w:rsidP="00716EE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37</w:t>
            </w: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  <w:r w:rsidRPr="00716EE5">
              <w:rPr>
                <w:rFonts w:cs="Calibri"/>
                <w:color w:val="000000"/>
                <w:sz w:val="16"/>
                <w:szCs w:val="16"/>
              </w:rPr>
              <w:t>485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16EE5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67B7EDF4" w14:textId="34859C07" w:rsidR="00716EE5" w:rsidRPr="00716EE5" w:rsidRDefault="00716EE5" w:rsidP="00716EE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22</w:t>
            </w:r>
            <w:r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 w:rsidRPr="00716EE5">
              <w:rPr>
                <w:rFonts w:cs="Calibri"/>
                <w:color w:val="000000"/>
                <w:sz w:val="16"/>
                <w:szCs w:val="16"/>
              </w:rPr>
              <w:t>99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16EE5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716EE5" w:rsidRPr="00781CE2" w14:paraId="52DD4F9F" w14:textId="77777777" w:rsidTr="00F16DC6">
        <w:trPr>
          <w:trHeight w:val="30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63F37502" w14:textId="1D1B16A7" w:rsidR="00716EE5" w:rsidRPr="00133C04" w:rsidRDefault="00716EE5" w:rsidP="00716EE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US" w:eastAsia="pl-PL"/>
              </w:rPr>
            </w:pPr>
            <w:r w:rsidRPr="00281994">
              <w:rPr>
                <w:rFonts w:eastAsia="Times New Roman" w:cs="Calibri"/>
                <w:sz w:val="16"/>
                <w:szCs w:val="16"/>
                <w:lang w:val="en-GB" w:eastAsia="pl-PL"/>
              </w:rPr>
              <w:t>Useful floor area of dwellings in thousand m</w:t>
            </w:r>
            <w:r w:rsidRPr="00281994">
              <w:rPr>
                <w:rFonts w:eastAsia="Times New Roman" w:cs="Calibri"/>
                <w:sz w:val="16"/>
                <w:szCs w:val="16"/>
                <w:vertAlign w:val="superscript"/>
                <w:lang w:val="en-GB" w:eastAsia="pl-PL"/>
              </w:rPr>
              <w:t>2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DDCC95D" w14:textId="4AF0450A" w:rsidR="00716EE5" w:rsidRPr="00716EE5" w:rsidRDefault="00716EE5" w:rsidP="00716EE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 w:rsidRPr="00716EE5">
              <w:rPr>
                <w:rFonts w:cs="Calibri"/>
                <w:color w:val="000000"/>
                <w:sz w:val="16"/>
                <w:szCs w:val="16"/>
              </w:rPr>
              <w:t>172</w:t>
            </w: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  <w:r w:rsidRPr="00716EE5">
              <w:rPr>
                <w:rFonts w:cs="Calibri"/>
                <w:color w:val="000000"/>
                <w:sz w:val="16"/>
                <w:szCs w:val="16"/>
              </w:rPr>
              <w:t>919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16EE5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A259D05" w14:textId="00A0B1F0" w:rsidR="00716EE5" w:rsidRPr="00716EE5" w:rsidRDefault="00716EE5" w:rsidP="00716EE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684</w:t>
            </w: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  <w:r w:rsidRPr="00716EE5">
              <w:rPr>
                <w:rFonts w:cs="Calibri"/>
                <w:color w:val="000000"/>
                <w:sz w:val="16"/>
                <w:szCs w:val="16"/>
              </w:rPr>
              <w:t>342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16EE5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005B769" w14:textId="48F7EBC4" w:rsidR="00716EE5" w:rsidRPr="00716EE5" w:rsidRDefault="00716EE5" w:rsidP="00716EE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488</w:t>
            </w: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  <w:r w:rsidRPr="00716EE5">
              <w:rPr>
                <w:rFonts w:cs="Calibri"/>
                <w:color w:val="000000"/>
                <w:sz w:val="16"/>
                <w:szCs w:val="16"/>
              </w:rPr>
              <w:t>576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16EE5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365A14E1" w14:textId="0B735BE8" w:rsidR="00716EE5" w:rsidRPr="00716EE5" w:rsidRDefault="00716EE5" w:rsidP="00716EE5">
            <w:pPr>
              <w:spacing w:after="0" w:line="240" w:lineRule="auto"/>
              <w:jc w:val="right"/>
              <w:rPr>
                <w:rFonts w:eastAsia="Times New Roman" w:cs="Calibri"/>
                <w:sz w:val="15"/>
                <w:szCs w:val="15"/>
                <w:lang w:eastAsia="pl-PL"/>
              </w:rPr>
            </w:pPr>
            <w:r w:rsidRPr="00716EE5">
              <w:rPr>
                <w:rFonts w:cs="Calibri"/>
                <w:color w:val="000000"/>
                <w:sz w:val="15"/>
                <w:szCs w:val="15"/>
              </w:rPr>
              <w:t>1 190</w:t>
            </w:r>
            <w:r>
              <w:rPr>
                <w:rFonts w:cs="Calibri"/>
                <w:color w:val="000000"/>
                <w:sz w:val="15"/>
                <w:szCs w:val="15"/>
              </w:rPr>
              <w:t> </w:t>
            </w:r>
            <w:r w:rsidRPr="00716EE5">
              <w:rPr>
                <w:rFonts w:cs="Calibri"/>
                <w:color w:val="000000"/>
                <w:sz w:val="15"/>
                <w:szCs w:val="15"/>
              </w:rPr>
              <w:t>667</w:t>
            </w:r>
            <w:r>
              <w:rPr>
                <w:rFonts w:cs="Calibri"/>
                <w:color w:val="000000"/>
                <w:sz w:val="15"/>
                <w:szCs w:val="15"/>
              </w:rPr>
              <w:t>.</w:t>
            </w:r>
            <w:r w:rsidRPr="00716EE5">
              <w:rPr>
                <w:rFonts w:cs="Calibri"/>
                <w:color w:val="000000"/>
                <w:sz w:val="15"/>
                <w:szCs w:val="15"/>
              </w:rPr>
              <w:t>9</w:t>
            </w:r>
          </w:p>
        </w:tc>
        <w:tc>
          <w:tcPr>
            <w:tcW w:w="654" w:type="dxa"/>
            <w:shd w:val="clear" w:color="auto" w:fill="auto"/>
            <w:vAlign w:val="center"/>
          </w:tcPr>
          <w:p w14:paraId="38DFDE7F" w14:textId="035EA864" w:rsidR="00716EE5" w:rsidRPr="00716EE5" w:rsidRDefault="00716EE5" w:rsidP="00716EE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101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16EE5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F67710B" w14:textId="3494A085" w:rsidR="00716EE5" w:rsidRPr="00716EE5" w:rsidRDefault="00716EE5" w:rsidP="00716EE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694</w:t>
            </w: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  <w:r w:rsidRPr="00716EE5">
              <w:rPr>
                <w:rFonts w:cs="Calibri"/>
                <w:color w:val="000000"/>
                <w:sz w:val="16"/>
                <w:szCs w:val="16"/>
              </w:rPr>
              <w:t>424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16EE5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3E68BB11" w14:textId="28410CC5" w:rsidR="00716EE5" w:rsidRPr="00716EE5" w:rsidRDefault="00716EE5" w:rsidP="00716EE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496</w:t>
            </w: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  <w:r w:rsidRPr="00716EE5">
              <w:rPr>
                <w:rFonts w:cs="Calibri"/>
                <w:color w:val="000000"/>
                <w:sz w:val="16"/>
                <w:szCs w:val="16"/>
              </w:rPr>
              <w:t>243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16EE5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716EE5" w:rsidRPr="00781CE2" w14:paraId="4D9E55E1" w14:textId="77777777" w:rsidTr="00E46549">
        <w:trPr>
          <w:trHeight w:val="300"/>
        </w:trPr>
        <w:tc>
          <w:tcPr>
            <w:tcW w:w="2127" w:type="dxa"/>
            <w:tcBorders>
              <w:bottom w:val="single" w:sz="4" w:space="0" w:color="001D77"/>
            </w:tcBorders>
            <w:shd w:val="clear" w:color="auto" w:fill="auto"/>
            <w:noWrap/>
            <w:vAlign w:val="bottom"/>
            <w:hideMark/>
          </w:tcPr>
          <w:p w14:paraId="0F445571" w14:textId="58718C3F" w:rsidR="00716EE5" w:rsidRPr="00781CE2" w:rsidRDefault="00716EE5" w:rsidP="00716EE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>
              <w:rPr>
                <w:rFonts w:eastAsia="Times New Roman" w:cs="Calibri"/>
                <w:sz w:val="16"/>
                <w:szCs w:val="16"/>
                <w:lang w:eastAsia="pl-PL"/>
              </w:rPr>
              <w:t>Dwellings</w:t>
            </w:r>
            <w:proofErr w:type="spellEnd"/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 per</w:t>
            </w:r>
            <w:r w:rsidRPr="0097136B">
              <w:rPr>
                <w:rFonts w:eastAsia="Times New Roman" w:cs="Calibri"/>
                <w:sz w:val="16"/>
                <w:szCs w:val="16"/>
                <w:lang w:eastAsia="pl-PL"/>
              </w:rPr>
              <w:t xml:space="preserve"> 1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  <w:r w:rsidRPr="0097136B">
              <w:rPr>
                <w:rFonts w:eastAsia="Times New Roman" w:cs="Calibri"/>
                <w:sz w:val="16"/>
                <w:szCs w:val="16"/>
                <w:lang w:eastAsia="pl-PL"/>
              </w:rPr>
              <w:t xml:space="preserve">000 </w:t>
            </w:r>
            <w:proofErr w:type="spellStart"/>
            <w:r>
              <w:rPr>
                <w:rFonts w:eastAsia="Times New Roman" w:cs="Calibri"/>
                <w:sz w:val="16"/>
                <w:szCs w:val="16"/>
                <w:lang w:eastAsia="pl-PL"/>
              </w:rPr>
              <w:t>population</w:t>
            </w:r>
            <w:proofErr w:type="spellEnd"/>
          </w:p>
        </w:tc>
        <w:tc>
          <w:tcPr>
            <w:tcW w:w="917" w:type="dxa"/>
            <w:tcBorders>
              <w:bottom w:val="single" w:sz="4" w:space="0" w:color="001D77"/>
            </w:tcBorders>
            <w:shd w:val="clear" w:color="auto" w:fill="auto"/>
            <w:vAlign w:val="center"/>
          </w:tcPr>
          <w:p w14:paraId="4B8E78E3" w14:textId="42E38F7F" w:rsidR="00716EE5" w:rsidRPr="00716EE5" w:rsidRDefault="00716EE5" w:rsidP="00716EE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412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16EE5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33" w:type="dxa"/>
            <w:tcBorders>
              <w:bottom w:val="single" w:sz="4" w:space="0" w:color="001D77"/>
            </w:tcBorders>
            <w:shd w:val="clear" w:color="auto" w:fill="auto"/>
            <w:vAlign w:val="center"/>
          </w:tcPr>
          <w:p w14:paraId="33C07615" w14:textId="6468EF26" w:rsidR="00716EE5" w:rsidRPr="00716EE5" w:rsidRDefault="00716EE5" w:rsidP="00716EE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469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16EE5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4" w:space="0" w:color="001D77"/>
            </w:tcBorders>
            <w:shd w:val="clear" w:color="auto" w:fill="auto"/>
            <w:noWrap/>
            <w:vAlign w:val="center"/>
          </w:tcPr>
          <w:p w14:paraId="797EC064" w14:textId="55D2BE24" w:rsidR="00716EE5" w:rsidRPr="00716EE5" w:rsidRDefault="00716EE5" w:rsidP="00716EE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328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16EE5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81" w:type="dxa"/>
            <w:tcBorders>
              <w:bottom w:val="single" w:sz="4" w:space="0" w:color="001D77"/>
            </w:tcBorders>
            <w:shd w:val="clear" w:color="auto" w:fill="auto"/>
            <w:vAlign w:val="center"/>
          </w:tcPr>
          <w:p w14:paraId="0EA7C873" w14:textId="25A5C486" w:rsidR="00716EE5" w:rsidRPr="00716EE5" w:rsidRDefault="00716EE5" w:rsidP="00716EE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419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16EE5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bottom w:val="single" w:sz="4" w:space="0" w:color="001D77"/>
            </w:tcBorders>
            <w:shd w:val="clear" w:color="auto" w:fill="auto"/>
            <w:vAlign w:val="center"/>
          </w:tcPr>
          <w:p w14:paraId="55C18AAA" w14:textId="0412B357" w:rsidR="00716EE5" w:rsidRPr="00716EE5" w:rsidRDefault="00716EE5" w:rsidP="00716EE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101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16EE5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bottom w:val="single" w:sz="4" w:space="0" w:color="001D77"/>
            </w:tcBorders>
            <w:shd w:val="clear" w:color="auto" w:fill="auto"/>
            <w:noWrap/>
            <w:vAlign w:val="center"/>
          </w:tcPr>
          <w:p w14:paraId="7CF18002" w14:textId="538C6874" w:rsidR="00716EE5" w:rsidRPr="00716EE5" w:rsidRDefault="00716EE5" w:rsidP="00716EE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478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16EE5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5" w:type="dxa"/>
            <w:tcBorders>
              <w:bottom w:val="single" w:sz="4" w:space="0" w:color="001D77"/>
            </w:tcBorders>
            <w:shd w:val="clear" w:color="auto" w:fill="auto"/>
            <w:noWrap/>
            <w:vAlign w:val="center"/>
          </w:tcPr>
          <w:p w14:paraId="57C8CE47" w14:textId="4F8D5C78" w:rsidR="00716EE5" w:rsidRPr="00716EE5" w:rsidRDefault="00716EE5" w:rsidP="00716EE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332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16EE5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3D25FD" w:rsidRPr="00781CE2" w14:paraId="2580E281" w14:textId="77777777" w:rsidTr="00E46549">
        <w:trPr>
          <w:trHeight w:val="300"/>
        </w:trPr>
        <w:tc>
          <w:tcPr>
            <w:tcW w:w="212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E517BA5" w14:textId="7AFFBC65" w:rsidR="003D25FD" w:rsidRPr="00781CE2" w:rsidRDefault="003D25FD" w:rsidP="003D25F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>
              <w:rPr>
                <w:rFonts w:eastAsia="Times New Roman" w:cs="Calibri"/>
                <w:sz w:val="16"/>
                <w:szCs w:val="16"/>
                <w:lang w:eastAsia="pl-PL"/>
              </w:rPr>
              <w:t>Dwelling</w:t>
            </w:r>
            <w:proofErr w:type="spellEnd"/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16"/>
                <w:szCs w:val="16"/>
                <w:lang w:eastAsia="pl-PL"/>
              </w:rPr>
              <w:t>stocks</w:t>
            </w:r>
            <w:proofErr w:type="spellEnd"/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, the </w:t>
            </w:r>
            <w:proofErr w:type="spellStart"/>
            <w:r>
              <w:rPr>
                <w:rFonts w:eastAsia="Times New Roman" w:cs="Calibri"/>
                <w:sz w:val="16"/>
                <w:szCs w:val="16"/>
                <w:lang w:eastAsia="pl-PL"/>
              </w:rPr>
              <w:t>average</w:t>
            </w:r>
            <w:proofErr w:type="spellEnd"/>
            <w:r>
              <w:rPr>
                <w:rFonts w:eastAsia="Times New Roman" w:cs="Calibri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917" w:type="dxa"/>
            <w:tcBorders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270139CA" w14:textId="345641DE" w:rsidR="003D25FD" w:rsidRPr="00716EE5" w:rsidRDefault="003D25FD" w:rsidP="003D25F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33" w:type="dxa"/>
            <w:tcBorders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7512D3D8" w14:textId="1863C122" w:rsidR="003D25FD" w:rsidRPr="00716EE5" w:rsidRDefault="003D25FD" w:rsidP="003D25F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6E560106" w14:textId="45F4FD5C" w:rsidR="003D25FD" w:rsidRPr="00716EE5" w:rsidRDefault="003D25FD" w:rsidP="003D25F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1" w:type="dxa"/>
            <w:tcBorders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7472313F" w14:textId="62A87B40" w:rsidR="003D25FD" w:rsidRPr="00716EE5" w:rsidRDefault="003D25FD" w:rsidP="003D25F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5BD837A5" w14:textId="748D355E" w:rsidR="003D25FD" w:rsidRPr="00716EE5" w:rsidRDefault="003D25FD" w:rsidP="003D25F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10DB953A" w14:textId="0FD2A753" w:rsidR="003D25FD" w:rsidRPr="00716EE5" w:rsidRDefault="003D25FD" w:rsidP="003D25F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5" w:type="dxa"/>
            <w:tcBorders>
              <w:left w:val="single" w:sz="4" w:space="0" w:color="001D77"/>
              <w:bottom w:val="nil"/>
            </w:tcBorders>
            <w:shd w:val="clear" w:color="auto" w:fill="auto"/>
            <w:noWrap/>
            <w:vAlign w:val="center"/>
          </w:tcPr>
          <w:p w14:paraId="52F89535" w14:textId="439A3308" w:rsidR="003D25FD" w:rsidRPr="00716EE5" w:rsidRDefault="003D25FD" w:rsidP="003D25F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D25FD" w:rsidRPr="00781CE2" w14:paraId="2B619F8B" w14:textId="77777777" w:rsidTr="00E46549">
        <w:trPr>
          <w:trHeight w:val="300"/>
        </w:trPr>
        <w:tc>
          <w:tcPr>
            <w:tcW w:w="2127" w:type="dxa"/>
            <w:tcBorders>
              <w:top w:val="nil"/>
              <w:bottom w:val="single" w:sz="4" w:space="0" w:color="001D77"/>
            </w:tcBorders>
            <w:shd w:val="clear" w:color="auto" w:fill="auto"/>
            <w:noWrap/>
            <w:vAlign w:val="bottom"/>
            <w:hideMark/>
          </w:tcPr>
          <w:p w14:paraId="5C7E36F1" w14:textId="43E231C5" w:rsidR="003D25FD" w:rsidRPr="00133C04" w:rsidRDefault="003D25FD" w:rsidP="003D25FD">
            <w:pPr>
              <w:spacing w:after="0" w:line="240" w:lineRule="auto"/>
              <w:ind w:left="176"/>
              <w:rPr>
                <w:rFonts w:eastAsia="Times New Roman" w:cs="Calibri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sz w:val="16"/>
                <w:szCs w:val="16"/>
                <w:lang w:val="en-GB" w:eastAsia="pl-PL"/>
              </w:rPr>
              <w:t>n</w:t>
            </w:r>
            <w:r w:rsidRPr="00281994">
              <w:rPr>
                <w:rFonts w:eastAsia="Times New Roman" w:cs="Calibri"/>
                <w:sz w:val="16"/>
                <w:szCs w:val="16"/>
                <w:lang w:val="en-GB" w:eastAsia="pl-PL"/>
              </w:rPr>
              <w:t>umber of rooms in a</w:t>
            </w:r>
            <w:r>
              <w:rPr>
                <w:rFonts w:eastAsia="Times New Roman" w:cs="Calibri"/>
                <w:sz w:val="16"/>
                <w:szCs w:val="16"/>
                <w:lang w:val="en-GB" w:eastAsia="pl-PL"/>
              </w:rPr>
              <w:t> </w:t>
            </w:r>
            <w:r w:rsidRPr="00281994">
              <w:rPr>
                <w:rFonts w:eastAsia="Times New Roman" w:cs="Calibri"/>
                <w:sz w:val="16"/>
                <w:szCs w:val="16"/>
                <w:lang w:val="en-GB" w:eastAsia="pl-PL"/>
              </w:rPr>
              <w:t>dwelling</w:t>
            </w:r>
          </w:p>
        </w:tc>
        <w:tc>
          <w:tcPr>
            <w:tcW w:w="917" w:type="dxa"/>
            <w:tcBorders>
              <w:top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10EB1B6" w14:textId="05F16678" w:rsidR="003D25FD" w:rsidRPr="00716EE5" w:rsidRDefault="003D25FD" w:rsidP="003D25F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16EE5">
              <w:rPr>
                <w:rFonts w:cs="Calibri"/>
                <w:color w:val="000000"/>
                <w:sz w:val="16"/>
                <w:szCs w:val="16"/>
              </w:rPr>
              <w:t>8</w:t>
            </w:r>
            <w:r w:rsidR="007802E6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33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BC47E1D" w14:textId="18F4BECC" w:rsidR="003D25FD" w:rsidRPr="00716EE5" w:rsidRDefault="003D25FD" w:rsidP="003D25F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16EE5">
              <w:rPr>
                <w:rFonts w:cs="Calibri"/>
                <w:color w:val="000000"/>
                <w:sz w:val="16"/>
                <w:szCs w:val="16"/>
              </w:rPr>
              <w:t>5</w:t>
            </w:r>
            <w:r w:rsidR="007802E6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1C270710" w14:textId="005C319F" w:rsidR="003D25FD" w:rsidRPr="00716EE5" w:rsidRDefault="003D25FD" w:rsidP="003D25F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16EE5">
              <w:rPr>
                <w:rFonts w:cs="Calibri"/>
                <w:color w:val="000000"/>
                <w:sz w:val="16"/>
                <w:szCs w:val="16"/>
              </w:rPr>
              <w:t>5</w:t>
            </w:r>
            <w:r w:rsidR="007802E6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8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046B334" w14:textId="6BE85057" w:rsidR="003D25FD" w:rsidRPr="00716EE5" w:rsidRDefault="003D25FD" w:rsidP="003D25F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16EE5">
              <w:rPr>
                <w:rFonts w:cs="Calibri"/>
                <w:color w:val="000000"/>
                <w:sz w:val="16"/>
                <w:szCs w:val="16"/>
              </w:rPr>
              <w:t>8</w:t>
            </w:r>
            <w:r w:rsidR="007802E6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35582D1" w14:textId="1514932C" w:rsidR="003D25FD" w:rsidRPr="00716EE5" w:rsidRDefault="003D25FD" w:rsidP="003D25F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16EE5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12887D38" w14:textId="4A5F008F" w:rsidR="003D25FD" w:rsidRPr="00716EE5" w:rsidRDefault="003D25FD" w:rsidP="003D25F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16EE5">
              <w:rPr>
                <w:rFonts w:cs="Calibri"/>
                <w:color w:val="000000"/>
                <w:sz w:val="16"/>
                <w:szCs w:val="16"/>
              </w:rPr>
              <w:t>5</w:t>
            </w:r>
            <w:r w:rsidR="007802E6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14:paraId="19389966" w14:textId="39A545D7" w:rsidR="003D25FD" w:rsidRPr="00716EE5" w:rsidRDefault="003D25FD" w:rsidP="003D25F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16EE5">
              <w:rPr>
                <w:rFonts w:cs="Calibri"/>
                <w:color w:val="000000"/>
                <w:sz w:val="16"/>
                <w:szCs w:val="16"/>
              </w:rPr>
              <w:t>5</w:t>
            </w:r>
            <w:r w:rsidR="007802E6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3D25FD" w:rsidRPr="00763BDC" w14:paraId="2F03F948" w14:textId="77777777" w:rsidTr="00E46549">
        <w:trPr>
          <w:trHeight w:val="300"/>
        </w:trPr>
        <w:tc>
          <w:tcPr>
            <w:tcW w:w="2127" w:type="dxa"/>
            <w:tcBorders>
              <w:top w:val="single" w:sz="4" w:space="0" w:color="001D77"/>
              <w:bottom w:val="nil"/>
            </w:tcBorders>
            <w:shd w:val="clear" w:color="auto" w:fill="auto"/>
            <w:noWrap/>
            <w:vAlign w:val="bottom"/>
            <w:hideMark/>
          </w:tcPr>
          <w:p w14:paraId="5B3267E5" w14:textId="69ABC974" w:rsidR="003D25FD" w:rsidRPr="00B761CA" w:rsidRDefault="003D25FD" w:rsidP="003D25FD">
            <w:pPr>
              <w:spacing w:after="0" w:line="240" w:lineRule="auto"/>
              <w:ind w:left="176"/>
              <w:rPr>
                <w:rFonts w:eastAsia="Times New Roman" w:cs="Calibri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sz w:val="16"/>
                <w:szCs w:val="16"/>
                <w:lang w:val="en-GB" w:eastAsia="pl-PL"/>
              </w:rPr>
              <w:t>u</w:t>
            </w:r>
            <w:r w:rsidRPr="00281994">
              <w:rPr>
                <w:rFonts w:eastAsia="Times New Roman" w:cs="Calibri"/>
                <w:sz w:val="16"/>
                <w:szCs w:val="16"/>
                <w:lang w:val="en-GB" w:eastAsia="pl-PL"/>
              </w:rPr>
              <w:t>seful floor area in m</w:t>
            </w:r>
            <w:r w:rsidRPr="00281994">
              <w:rPr>
                <w:rFonts w:eastAsia="Times New Roman" w:cs="Calibri"/>
                <w:sz w:val="16"/>
                <w:szCs w:val="16"/>
                <w:vertAlign w:val="superscript"/>
                <w:lang w:val="en-GB" w:eastAsia="pl-PL"/>
              </w:rPr>
              <w:t>2</w:t>
            </w:r>
            <w:r>
              <w:rPr>
                <w:rFonts w:eastAsia="Times New Roman" w:cs="Calibri"/>
                <w:sz w:val="16"/>
                <w:szCs w:val="16"/>
                <w:lang w:val="en-GB" w:eastAsia="pl-PL"/>
              </w:rPr>
              <w:t>:</w:t>
            </w:r>
          </w:p>
        </w:tc>
        <w:tc>
          <w:tcPr>
            <w:tcW w:w="917" w:type="dxa"/>
            <w:tcBorders>
              <w:top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37C89236" w14:textId="4C53D29C" w:rsidR="003D25FD" w:rsidRPr="00716EE5" w:rsidRDefault="003D25FD" w:rsidP="003D25F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US"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249DE92D" w14:textId="46C38ABB" w:rsidR="003D25FD" w:rsidRPr="00716EE5" w:rsidRDefault="003D25FD" w:rsidP="003D25F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US"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590728BB" w14:textId="56ADFC87" w:rsidR="003D25FD" w:rsidRPr="00716EE5" w:rsidRDefault="003D25FD" w:rsidP="003D25F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US"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02B26F6B" w14:textId="6BBDA3A7" w:rsidR="003D25FD" w:rsidRPr="00716EE5" w:rsidRDefault="003D25FD" w:rsidP="003D25F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US"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12691B6A" w14:textId="653C2AFD" w:rsidR="003D25FD" w:rsidRPr="00716EE5" w:rsidRDefault="003D25FD" w:rsidP="003D25F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US"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654D662F" w14:textId="504A0659" w:rsidR="003D25FD" w:rsidRPr="00716EE5" w:rsidRDefault="003D25FD" w:rsidP="003D25F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US"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5" w:type="dxa"/>
            <w:tcBorders>
              <w:top w:val="single" w:sz="4" w:space="0" w:color="001D77"/>
              <w:left w:val="single" w:sz="4" w:space="0" w:color="001D77"/>
              <w:bottom w:val="nil"/>
            </w:tcBorders>
            <w:shd w:val="clear" w:color="auto" w:fill="auto"/>
            <w:noWrap/>
            <w:vAlign w:val="center"/>
          </w:tcPr>
          <w:p w14:paraId="6555FE27" w14:textId="42E26763" w:rsidR="003D25FD" w:rsidRPr="00716EE5" w:rsidRDefault="003D25FD" w:rsidP="003D25F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US"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D25FD" w:rsidRPr="00781CE2" w14:paraId="7B7E31BB" w14:textId="77777777" w:rsidTr="00E46549">
        <w:trPr>
          <w:trHeight w:val="300"/>
        </w:trPr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67F1433" w14:textId="2E567458" w:rsidR="003D25FD" w:rsidRPr="00781CE2" w:rsidRDefault="003D25FD" w:rsidP="003D25FD">
            <w:pPr>
              <w:spacing w:after="0" w:line="240" w:lineRule="auto"/>
              <w:ind w:firstLineChars="177" w:firstLine="283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per</w:t>
            </w:r>
            <w:r w:rsidRPr="0097136B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16"/>
                <w:szCs w:val="16"/>
                <w:lang w:eastAsia="pl-PL"/>
              </w:rPr>
              <w:t>dwelling</w:t>
            </w:r>
            <w:proofErr w:type="spellEnd"/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36C897" w14:textId="2DA03B5D" w:rsidR="003D25FD" w:rsidRPr="00716EE5" w:rsidRDefault="003D25FD" w:rsidP="003D25F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75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16EE5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B9F717" w14:textId="59264460" w:rsidR="003D25FD" w:rsidRPr="00716EE5" w:rsidRDefault="003D25FD" w:rsidP="003D25F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64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16EE5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D48E39B" w14:textId="27C5AF58" w:rsidR="003D25FD" w:rsidRPr="00716EE5" w:rsidRDefault="003D25FD" w:rsidP="003D25F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97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16EE5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507844" w14:textId="3CEFCF58" w:rsidR="003D25FD" w:rsidRPr="00716EE5" w:rsidRDefault="003D25FD" w:rsidP="003D25F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75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16EE5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22A312" w14:textId="0C58220D" w:rsidR="003D25FD" w:rsidRPr="00716EE5" w:rsidRDefault="003D25FD" w:rsidP="003D25F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16EE5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DD69F43" w14:textId="3D1101DD" w:rsidR="003D25FD" w:rsidRPr="00716EE5" w:rsidRDefault="003D25FD" w:rsidP="003D25F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64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16EE5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DA8B03E" w14:textId="151E27C7" w:rsidR="003D25FD" w:rsidRPr="00716EE5" w:rsidRDefault="003D25FD" w:rsidP="003D25F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97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16EE5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3D25FD" w:rsidRPr="00781CE2" w14:paraId="7D822B2A" w14:textId="77777777" w:rsidTr="00E46549">
        <w:trPr>
          <w:trHeight w:val="300"/>
        </w:trPr>
        <w:tc>
          <w:tcPr>
            <w:tcW w:w="2127" w:type="dxa"/>
            <w:tcBorders>
              <w:top w:val="nil"/>
              <w:bottom w:val="single" w:sz="4" w:space="0" w:color="001D77"/>
            </w:tcBorders>
            <w:shd w:val="clear" w:color="auto" w:fill="auto"/>
            <w:noWrap/>
            <w:vAlign w:val="bottom"/>
            <w:hideMark/>
          </w:tcPr>
          <w:p w14:paraId="3346D2D6" w14:textId="0E4C001D" w:rsidR="003D25FD" w:rsidRPr="00781CE2" w:rsidRDefault="003D25FD" w:rsidP="003D25FD">
            <w:pPr>
              <w:spacing w:after="0" w:line="240" w:lineRule="auto"/>
              <w:ind w:firstLineChars="177" w:firstLine="283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per</w:t>
            </w:r>
            <w:r w:rsidRPr="0097136B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person</w:t>
            </w:r>
          </w:p>
        </w:tc>
        <w:tc>
          <w:tcPr>
            <w:tcW w:w="917" w:type="dxa"/>
            <w:tcBorders>
              <w:top w:val="nil"/>
              <w:bottom w:val="single" w:sz="4" w:space="0" w:color="001D77"/>
            </w:tcBorders>
            <w:shd w:val="clear" w:color="auto" w:fill="auto"/>
            <w:vAlign w:val="center"/>
          </w:tcPr>
          <w:p w14:paraId="3F1337FB" w14:textId="0CBD95B8" w:rsidR="003D25FD" w:rsidRPr="00716EE5" w:rsidRDefault="003D25FD" w:rsidP="003D25F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31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16EE5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33" w:type="dxa"/>
            <w:tcBorders>
              <w:top w:val="nil"/>
              <w:bottom w:val="single" w:sz="4" w:space="0" w:color="001D77"/>
            </w:tcBorders>
            <w:shd w:val="clear" w:color="auto" w:fill="auto"/>
            <w:vAlign w:val="center"/>
          </w:tcPr>
          <w:p w14:paraId="5F5762A9" w14:textId="18946876" w:rsidR="003D25FD" w:rsidRPr="00716EE5" w:rsidRDefault="003D25FD" w:rsidP="003D25F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30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16EE5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bottom w:val="single" w:sz="4" w:space="0" w:color="001D77"/>
            </w:tcBorders>
            <w:shd w:val="clear" w:color="auto" w:fill="auto"/>
            <w:noWrap/>
            <w:vAlign w:val="center"/>
          </w:tcPr>
          <w:p w14:paraId="3670DC5D" w14:textId="6D5EFF3E" w:rsidR="003D25FD" w:rsidRPr="00716EE5" w:rsidRDefault="003D25FD" w:rsidP="003D25F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32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16EE5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1" w:type="dxa"/>
            <w:tcBorders>
              <w:top w:val="nil"/>
              <w:bottom w:val="single" w:sz="4" w:space="0" w:color="001D77"/>
            </w:tcBorders>
            <w:shd w:val="clear" w:color="auto" w:fill="auto"/>
            <w:vAlign w:val="center"/>
          </w:tcPr>
          <w:p w14:paraId="22C2B600" w14:textId="0045764B" w:rsidR="003D25FD" w:rsidRPr="00716EE5" w:rsidRDefault="003D25FD" w:rsidP="003D25F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31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16EE5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54" w:type="dxa"/>
            <w:tcBorders>
              <w:top w:val="nil"/>
              <w:bottom w:val="single" w:sz="4" w:space="0" w:color="001D77"/>
            </w:tcBorders>
            <w:shd w:val="clear" w:color="auto" w:fill="auto"/>
            <w:vAlign w:val="center"/>
          </w:tcPr>
          <w:p w14:paraId="22CCEC27" w14:textId="0761F50F" w:rsidR="003D25FD" w:rsidRPr="00716EE5" w:rsidRDefault="003D25FD" w:rsidP="003D25F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101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16EE5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bottom w:val="single" w:sz="4" w:space="0" w:color="001D77"/>
            </w:tcBorders>
            <w:shd w:val="clear" w:color="auto" w:fill="auto"/>
            <w:noWrap/>
            <w:vAlign w:val="center"/>
          </w:tcPr>
          <w:p w14:paraId="2A8C58F4" w14:textId="11064AC6" w:rsidR="003D25FD" w:rsidRPr="00716EE5" w:rsidRDefault="003D25FD" w:rsidP="003D25F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31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16EE5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5" w:type="dxa"/>
            <w:tcBorders>
              <w:top w:val="nil"/>
              <w:bottom w:val="single" w:sz="4" w:space="0" w:color="001D77"/>
            </w:tcBorders>
            <w:shd w:val="clear" w:color="auto" w:fill="auto"/>
            <w:noWrap/>
            <w:vAlign w:val="center"/>
          </w:tcPr>
          <w:p w14:paraId="653D58BD" w14:textId="7E1E4E14" w:rsidR="003D25FD" w:rsidRPr="00716EE5" w:rsidRDefault="003D25FD" w:rsidP="003D25F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32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16EE5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3D25FD" w:rsidRPr="00781CE2" w14:paraId="0F89D8A4" w14:textId="77777777" w:rsidTr="00E46549">
        <w:trPr>
          <w:trHeight w:val="300"/>
        </w:trPr>
        <w:tc>
          <w:tcPr>
            <w:tcW w:w="2127" w:type="dxa"/>
            <w:tcBorders>
              <w:top w:val="single" w:sz="4" w:space="0" w:color="001D77"/>
              <w:bottom w:val="nil"/>
            </w:tcBorders>
            <w:shd w:val="clear" w:color="auto" w:fill="auto"/>
            <w:noWrap/>
            <w:vAlign w:val="bottom"/>
            <w:hideMark/>
          </w:tcPr>
          <w:p w14:paraId="05BEE8AA" w14:textId="3CEC55F7" w:rsidR="003D25FD" w:rsidRPr="00781CE2" w:rsidRDefault="003D25FD" w:rsidP="003D25FD">
            <w:pPr>
              <w:spacing w:after="0" w:line="240" w:lineRule="auto"/>
              <w:ind w:left="176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>
              <w:rPr>
                <w:rFonts w:eastAsia="Times New Roman" w:cs="Calibri"/>
                <w:sz w:val="16"/>
                <w:szCs w:val="16"/>
                <w:lang w:eastAsia="pl-PL"/>
              </w:rPr>
              <w:t>number</w:t>
            </w:r>
            <w:proofErr w:type="spellEnd"/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 of </w:t>
            </w:r>
            <w:proofErr w:type="spellStart"/>
            <w:r>
              <w:rPr>
                <w:rFonts w:eastAsia="Times New Roman" w:cs="Calibri"/>
                <w:sz w:val="16"/>
                <w:szCs w:val="16"/>
                <w:lang w:eastAsia="pl-PL"/>
              </w:rPr>
              <w:t>persons</w:t>
            </w:r>
            <w:proofErr w:type="spellEnd"/>
            <w:r>
              <w:rPr>
                <w:rFonts w:eastAsia="Times New Roman" w:cs="Calibri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917" w:type="dxa"/>
            <w:tcBorders>
              <w:top w:val="single" w:sz="4" w:space="0" w:color="001D77"/>
              <w:bottom w:val="nil"/>
            </w:tcBorders>
            <w:shd w:val="clear" w:color="auto" w:fill="auto"/>
            <w:vAlign w:val="center"/>
          </w:tcPr>
          <w:p w14:paraId="07F085B9" w14:textId="235C636C" w:rsidR="003D25FD" w:rsidRPr="00716EE5" w:rsidRDefault="003D25FD" w:rsidP="003D25F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4" w:space="0" w:color="001D77"/>
              <w:bottom w:val="nil"/>
            </w:tcBorders>
            <w:shd w:val="clear" w:color="auto" w:fill="auto"/>
            <w:vAlign w:val="center"/>
          </w:tcPr>
          <w:p w14:paraId="3146B405" w14:textId="2A5EF044" w:rsidR="003D25FD" w:rsidRPr="00716EE5" w:rsidRDefault="003D25FD" w:rsidP="003D25F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001D77"/>
              <w:bottom w:val="nil"/>
            </w:tcBorders>
            <w:shd w:val="clear" w:color="auto" w:fill="auto"/>
            <w:noWrap/>
            <w:vAlign w:val="center"/>
          </w:tcPr>
          <w:p w14:paraId="0074E4EF" w14:textId="173425DD" w:rsidR="003D25FD" w:rsidRPr="00716EE5" w:rsidRDefault="003D25FD" w:rsidP="003D25F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1" w:type="dxa"/>
            <w:tcBorders>
              <w:top w:val="single" w:sz="4" w:space="0" w:color="001D77"/>
              <w:bottom w:val="nil"/>
            </w:tcBorders>
            <w:shd w:val="clear" w:color="auto" w:fill="auto"/>
            <w:vAlign w:val="center"/>
          </w:tcPr>
          <w:p w14:paraId="1F7F5262" w14:textId="469D5BDD" w:rsidR="003D25FD" w:rsidRPr="00716EE5" w:rsidRDefault="003D25FD" w:rsidP="003D25F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single" w:sz="4" w:space="0" w:color="001D77"/>
              <w:bottom w:val="nil"/>
            </w:tcBorders>
            <w:shd w:val="clear" w:color="auto" w:fill="auto"/>
            <w:vAlign w:val="center"/>
          </w:tcPr>
          <w:p w14:paraId="72883DDC" w14:textId="1DD9F931" w:rsidR="003D25FD" w:rsidRPr="00716EE5" w:rsidRDefault="003D25FD" w:rsidP="003D25F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001D77"/>
              <w:bottom w:val="nil"/>
            </w:tcBorders>
            <w:shd w:val="clear" w:color="auto" w:fill="auto"/>
            <w:noWrap/>
            <w:vAlign w:val="center"/>
          </w:tcPr>
          <w:p w14:paraId="6FBA1878" w14:textId="4E39805A" w:rsidR="003D25FD" w:rsidRPr="00716EE5" w:rsidRDefault="003D25FD" w:rsidP="003D25F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5" w:type="dxa"/>
            <w:tcBorders>
              <w:top w:val="single" w:sz="4" w:space="0" w:color="001D77"/>
              <w:bottom w:val="nil"/>
            </w:tcBorders>
            <w:shd w:val="clear" w:color="auto" w:fill="auto"/>
            <w:noWrap/>
            <w:vAlign w:val="center"/>
          </w:tcPr>
          <w:p w14:paraId="51499945" w14:textId="0EFDD557" w:rsidR="003D25FD" w:rsidRPr="00716EE5" w:rsidRDefault="003D25FD" w:rsidP="003D25F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D25FD" w:rsidRPr="00781CE2" w14:paraId="34243D54" w14:textId="77777777" w:rsidTr="00E46549">
        <w:trPr>
          <w:trHeight w:val="300"/>
        </w:trPr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648C69F" w14:textId="590EE58A" w:rsidR="003D25FD" w:rsidRPr="00781CE2" w:rsidRDefault="003D25FD" w:rsidP="003D25FD">
            <w:pPr>
              <w:spacing w:after="0" w:line="240" w:lineRule="auto"/>
              <w:ind w:firstLineChars="177" w:firstLine="283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per</w:t>
            </w:r>
            <w:r w:rsidRPr="0097136B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16"/>
                <w:szCs w:val="16"/>
                <w:lang w:eastAsia="pl-PL"/>
              </w:rPr>
              <w:t>dwelling</w:t>
            </w:r>
            <w:proofErr w:type="spellEnd"/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F8A0B3" w14:textId="1475256C" w:rsidR="003D25FD" w:rsidRPr="00716EE5" w:rsidRDefault="003D25FD" w:rsidP="003D25F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16EE5">
              <w:rPr>
                <w:rFonts w:cs="Calibri"/>
                <w:color w:val="000000"/>
                <w:sz w:val="16"/>
                <w:szCs w:val="16"/>
              </w:rPr>
              <w:t>4</w:t>
            </w:r>
            <w:r w:rsidR="007802E6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39ABD2" w14:textId="6D294B51" w:rsidR="003D25FD" w:rsidRPr="00716EE5" w:rsidRDefault="003D25FD" w:rsidP="003D25F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16EE5">
              <w:rPr>
                <w:rFonts w:cs="Calibri"/>
                <w:color w:val="000000"/>
                <w:sz w:val="16"/>
                <w:szCs w:val="16"/>
              </w:rPr>
              <w:t>1</w:t>
            </w:r>
            <w:r w:rsidR="007802E6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8818B5B" w14:textId="5706B72F" w:rsidR="003D25FD" w:rsidRPr="00716EE5" w:rsidRDefault="003D25FD" w:rsidP="003D25F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="007802E6">
              <w:rPr>
                <w:rFonts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CBE379" w14:textId="229BB276" w:rsidR="003D25FD" w:rsidRPr="00716EE5" w:rsidRDefault="003D25FD" w:rsidP="003D25F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="007802E6">
              <w:rPr>
                <w:rFonts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6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E26264" w14:textId="42282BCA" w:rsidR="003D25FD" w:rsidRPr="00716EE5" w:rsidRDefault="003D25FD" w:rsidP="003D25F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98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16EE5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BE54A1A" w14:textId="52482924" w:rsidR="003D25FD" w:rsidRPr="00716EE5" w:rsidRDefault="003D25FD" w:rsidP="003D25F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="007802E6">
              <w:rPr>
                <w:rFonts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85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658B4FE" w14:textId="355F3D65" w:rsidR="003D25FD" w:rsidRPr="00716EE5" w:rsidRDefault="003D25FD" w:rsidP="003D25F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16EE5">
              <w:rPr>
                <w:rFonts w:cs="Calibri"/>
                <w:color w:val="000000"/>
                <w:sz w:val="16"/>
                <w:szCs w:val="16"/>
              </w:rPr>
              <w:t>0</w:t>
            </w:r>
            <w:r w:rsidR="007802E6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3D25FD" w:rsidRPr="00781CE2" w14:paraId="7B60C967" w14:textId="77777777" w:rsidTr="00E46549">
        <w:trPr>
          <w:trHeight w:val="300"/>
        </w:trPr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D519D2C" w14:textId="3701DC12" w:rsidR="003D25FD" w:rsidRPr="00781CE2" w:rsidRDefault="003D25FD" w:rsidP="003D25FD">
            <w:pPr>
              <w:spacing w:after="0" w:line="240" w:lineRule="auto"/>
              <w:ind w:firstLineChars="177" w:firstLine="283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per </w:t>
            </w:r>
            <w:proofErr w:type="spellStart"/>
            <w:r>
              <w:rPr>
                <w:rFonts w:eastAsia="Times New Roman" w:cs="Calibri"/>
                <w:sz w:val="16"/>
                <w:szCs w:val="16"/>
                <w:lang w:eastAsia="pl-PL"/>
              </w:rPr>
              <w:t>room</w:t>
            </w:r>
            <w:proofErr w:type="spellEnd"/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7A322" w14:textId="3F478360" w:rsidR="003D25FD" w:rsidRPr="00716EE5" w:rsidRDefault="003D25FD" w:rsidP="003D25F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16EE5">
              <w:rPr>
                <w:rFonts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8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0A3CD3" w14:textId="378F9C9E" w:rsidR="003D25FD" w:rsidRPr="00716EE5" w:rsidRDefault="003D25FD" w:rsidP="003D25F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16EE5">
              <w:rPr>
                <w:rFonts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ACC2CAB" w14:textId="6CBD038E" w:rsidR="003D25FD" w:rsidRPr="00716EE5" w:rsidRDefault="003D25FD" w:rsidP="003D25F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16EE5">
              <w:rPr>
                <w:rFonts w:cs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DA5092" w14:textId="33549953" w:rsidR="003D25FD" w:rsidRPr="00716EE5" w:rsidRDefault="003D25FD" w:rsidP="003D25F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16EE5">
              <w:rPr>
                <w:rFonts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6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51D093" w14:textId="54B45189" w:rsidR="003D25FD" w:rsidRPr="00565D94" w:rsidRDefault="003D25FD" w:rsidP="003D25F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highlight w:val="green"/>
                <w:lang w:eastAsia="pl-PL"/>
              </w:rPr>
            </w:pPr>
            <w:r w:rsidRPr="0062502F">
              <w:rPr>
                <w:rFonts w:cs="Calibri"/>
                <w:color w:val="000000"/>
                <w:sz w:val="16"/>
                <w:szCs w:val="16"/>
              </w:rPr>
              <w:t>98.4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4BB6194" w14:textId="5D8DEBC7" w:rsidR="003D25FD" w:rsidRPr="00716EE5" w:rsidRDefault="003D25FD" w:rsidP="003D25F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16EE5">
              <w:rPr>
                <w:rFonts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5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39B643A" w14:textId="5F09C8E4" w:rsidR="003D25FD" w:rsidRPr="00716EE5" w:rsidRDefault="003D25FD" w:rsidP="003D25F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6EE5">
              <w:rPr>
                <w:rFonts w:cs="Calibri"/>
                <w:color w:val="000000"/>
                <w:sz w:val="16"/>
                <w:szCs w:val="16"/>
              </w:rPr>
              <w:t>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16EE5">
              <w:rPr>
                <w:rFonts w:cs="Calibri"/>
                <w:color w:val="000000"/>
                <w:sz w:val="16"/>
                <w:szCs w:val="16"/>
              </w:rPr>
              <w:t>66</w:t>
            </w:r>
          </w:p>
        </w:tc>
      </w:tr>
    </w:tbl>
    <w:bookmarkEnd w:id="0"/>
    <w:p w14:paraId="29660FFA" w14:textId="3E0931BF" w:rsidR="00B8637A" w:rsidRDefault="00B8637A" w:rsidP="002655AB">
      <w:pPr>
        <w:spacing w:before="0" w:after="0"/>
        <w:rPr>
          <w:shd w:val="clear" w:color="auto" w:fill="FFFFFF"/>
          <w:lang w:val="en-GB"/>
        </w:rPr>
      </w:pPr>
      <w:r w:rsidRPr="0097136B">
        <w:rPr>
          <w:noProof/>
          <w:color w:val="FF0000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7ECAE27C" wp14:editId="59D93CDD">
                <wp:simplePos x="0" y="0"/>
                <wp:positionH relativeFrom="rightMargin">
                  <wp:posOffset>100965</wp:posOffset>
                </wp:positionH>
                <wp:positionV relativeFrom="paragraph">
                  <wp:posOffset>17780</wp:posOffset>
                </wp:positionV>
                <wp:extent cx="1666875" cy="651510"/>
                <wp:effectExtent l="0" t="0" r="0" b="0"/>
                <wp:wrapTight wrapText="bothSides">
                  <wp:wrapPolygon edited="0">
                    <wp:start x="741" y="0"/>
                    <wp:lineTo x="741" y="20842"/>
                    <wp:lineTo x="20736" y="20842"/>
                    <wp:lineTo x="20736" y="0"/>
                    <wp:lineTo x="741" y="0"/>
                  </wp:wrapPolygon>
                </wp:wrapTight>
                <wp:docPr id="7" name="Pole tekstowe 2" descr="In Poland housing conditions slightly improve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651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C6D0D" w14:textId="3FEC5975" w:rsidR="000558C2" w:rsidRPr="00F67844" w:rsidRDefault="000558C2" w:rsidP="00B455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F67844">
                              <w:rPr>
                                <w:lang w:val="en-US"/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In Poland housing conditions slightly improved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CAE27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In Poland housing conditions slightly improved" style="position:absolute;margin-left:7.95pt;margin-top:1.4pt;width:131.25pt;height:51.3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" filled="f" stroked="f">
                <v:textbox>
                  <w:txbxContent>
                    <w:p w14:paraId="688C6D0D" w14:textId="3FEC5975" w:rsidR="000558C2" w:rsidRPr="00F67844" w:rsidRDefault="000558C2" w:rsidP="00B45508">
                      <w:pPr>
                        <w:pStyle w:val="tekstzboku"/>
                        <w:rPr>
                          <w:lang w:val="en-US"/>
                        </w:rPr>
                      </w:pPr>
                      <w:r w:rsidRPr="00F67844">
                        <w:rPr>
                          <w:lang w:val="en-US"/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In Poland housing conditions slightly improved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25CAA30" w14:textId="5ADBD1B7" w:rsidR="00133C04" w:rsidRPr="00360FE5" w:rsidRDefault="00133C04" w:rsidP="002655AB">
      <w:pPr>
        <w:spacing w:before="0" w:after="0"/>
        <w:rPr>
          <w:shd w:val="clear" w:color="auto" w:fill="FFFFFF"/>
          <w:lang w:val="en-GB"/>
        </w:rPr>
      </w:pPr>
      <w:r w:rsidRPr="00360FE5">
        <w:rPr>
          <w:shd w:val="clear" w:color="auto" w:fill="FFFFFF"/>
          <w:lang w:val="en-GB"/>
        </w:rPr>
        <w:t>In 202</w:t>
      </w:r>
      <w:r w:rsidR="008C57D3">
        <w:rPr>
          <w:shd w:val="clear" w:color="auto" w:fill="FFFFFF"/>
          <w:lang w:val="en-GB"/>
        </w:rPr>
        <w:t>3</w:t>
      </w:r>
      <w:r w:rsidRPr="00360FE5">
        <w:rPr>
          <w:shd w:val="clear" w:color="auto" w:fill="FFFFFF"/>
          <w:lang w:val="en-GB"/>
        </w:rPr>
        <w:t xml:space="preserve"> housing conditions in Poland </w:t>
      </w:r>
      <w:r w:rsidRPr="008C7BFC">
        <w:rPr>
          <w:shd w:val="clear" w:color="auto" w:fill="FFFFFF"/>
          <w:lang w:val="en-GB"/>
        </w:rPr>
        <w:t>slightly improved</w:t>
      </w:r>
      <w:r w:rsidRPr="00360FE5">
        <w:rPr>
          <w:shd w:val="clear" w:color="auto" w:fill="FFFFFF"/>
          <w:lang w:val="en-GB"/>
        </w:rPr>
        <w:t>. The average dwelling size amounted to 7</w:t>
      </w:r>
      <w:r w:rsidR="00F92147" w:rsidRPr="00360FE5">
        <w:rPr>
          <w:shd w:val="clear" w:color="auto" w:fill="FFFFFF"/>
          <w:lang w:val="en-GB"/>
        </w:rPr>
        <w:t>5</w:t>
      </w:r>
      <w:r w:rsidRPr="00360FE5">
        <w:rPr>
          <w:shd w:val="clear" w:color="auto" w:fill="FFFFFF"/>
          <w:lang w:val="en-GB"/>
        </w:rPr>
        <w:t>.</w:t>
      </w:r>
      <w:r w:rsidR="00C53020">
        <w:rPr>
          <w:shd w:val="clear" w:color="auto" w:fill="FFFFFF"/>
          <w:lang w:val="en-GB"/>
        </w:rPr>
        <w:t>5</w:t>
      </w:r>
      <w:r w:rsidRPr="00360FE5">
        <w:rPr>
          <w:shd w:val="clear" w:color="auto" w:fill="FFFFFF"/>
          <w:lang w:val="en-GB"/>
        </w:rPr>
        <w:t> m</w:t>
      </w:r>
      <w:r w:rsidRPr="00360FE5">
        <w:rPr>
          <w:shd w:val="clear" w:color="auto" w:fill="FFFFFF"/>
          <w:vertAlign w:val="superscript"/>
          <w:lang w:val="en-GB"/>
        </w:rPr>
        <w:t>2</w:t>
      </w:r>
      <w:r w:rsidRPr="00360FE5">
        <w:rPr>
          <w:shd w:val="clear" w:color="auto" w:fill="FFFFFF"/>
          <w:lang w:val="en-GB"/>
        </w:rPr>
        <w:t xml:space="preserve"> and increased by 0</w:t>
      </w:r>
      <w:r w:rsidR="00F92147" w:rsidRPr="00360FE5">
        <w:rPr>
          <w:shd w:val="clear" w:color="auto" w:fill="FFFFFF"/>
          <w:lang w:val="en-GB"/>
        </w:rPr>
        <w:t>.</w:t>
      </w:r>
      <w:r w:rsidR="008C7BFC">
        <w:rPr>
          <w:shd w:val="clear" w:color="auto" w:fill="FFFFFF"/>
          <w:lang w:val="en-GB"/>
        </w:rPr>
        <w:t>2</w:t>
      </w:r>
      <w:r w:rsidRPr="00360FE5">
        <w:rPr>
          <w:shd w:val="clear" w:color="auto" w:fill="FFFFFF"/>
          <w:lang w:val="en-GB"/>
        </w:rPr>
        <w:t xml:space="preserve"> m</w:t>
      </w:r>
      <w:r w:rsidRPr="00360FE5">
        <w:rPr>
          <w:shd w:val="clear" w:color="auto" w:fill="FFFFFF"/>
          <w:vertAlign w:val="superscript"/>
          <w:lang w:val="en-GB"/>
        </w:rPr>
        <w:t>2</w:t>
      </w:r>
      <w:r w:rsidR="00181E90">
        <w:rPr>
          <w:shd w:val="clear" w:color="auto" w:fill="FFFFFF"/>
          <w:lang w:val="en-GB"/>
        </w:rPr>
        <w:t xml:space="preserve"> in comparison with</w:t>
      </w:r>
      <w:r w:rsidRPr="00360FE5">
        <w:rPr>
          <w:shd w:val="clear" w:color="auto" w:fill="FFFFFF"/>
          <w:lang w:val="en-GB"/>
        </w:rPr>
        <w:t xml:space="preserve"> the previous year</w:t>
      </w:r>
      <w:r w:rsidR="00F92147" w:rsidRPr="00360FE5">
        <w:rPr>
          <w:shd w:val="clear" w:color="auto" w:fill="FFFFFF"/>
          <w:lang w:val="en-GB"/>
        </w:rPr>
        <w:t xml:space="preserve">. The average useful floor area per 1 person increased by </w:t>
      </w:r>
      <w:r w:rsidR="00EB57BA">
        <w:rPr>
          <w:shd w:val="clear" w:color="auto" w:fill="FFFFFF"/>
          <w:lang w:val="en-GB"/>
        </w:rPr>
        <w:t>0.5</w:t>
      </w:r>
      <w:r w:rsidR="00F92147" w:rsidRPr="00360FE5">
        <w:rPr>
          <w:shd w:val="clear" w:color="auto" w:fill="FFFFFF"/>
          <w:lang w:val="en-GB"/>
        </w:rPr>
        <w:t xml:space="preserve"> m</w:t>
      </w:r>
      <w:r w:rsidR="00F92147" w:rsidRPr="00360FE5">
        <w:rPr>
          <w:shd w:val="clear" w:color="auto" w:fill="FFFFFF"/>
          <w:vertAlign w:val="superscript"/>
          <w:lang w:val="en-GB"/>
        </w:rPr>
        <w:t>2</w:t>
      </w:r>
      <w:r w:rsidR="00F92147" w:rsidRPr="00360FE5">
        <w:rPr>
          <w:shd w:val="clear" w:color="auto" w:fill="FFFFFF"/>
          <w:lang w:val="en-GB"/>
        </w:rPr>
        <w:t xml:space="preserve"> and amounted to 31.</w:t>
      </w:r>
      <w:r w:rsidR="004C2834">
        <w:rPr>
          <w:shd w:val="clear" w:color="auto" w:fill="FFFFFF"/>
          <w:lang w:val="en-GB"/>
        </w:rPr>
        <w:t>6</w:t>
      </w:r>
      <w:r w:rsidR="00F92147" w:rsidRPr="00360FE5">
        <w:rPr>
          <w:shd w:val="clear" w:color="auto" w:fill="FFFFFF"/>
          <w:lang w:val="en-GB"/>
        </w:rPr>
        <w:t xml:space="preserve"> m</w:t>
      </w:r>
      <w:r w:rsidR="00F92147" w:rsidRPr="00360FE5">
        <w:rPr>
          <w:shd w:val="clear" w:color="auto" w:fill="FFFFFF"/>
          <w:vertAlign w:val="superscript"/>
          <w:lang w:val="en-GB"/>
        </w:rPr>
        <w:t>2</w:t>
      </w:r>
      <w:r w:rsidR="00F92147" w:rsidRPr="00360FE5">
        <w:rPr>
          <w:shd w:val="clear" w:color="auto" w:fill="FFFFFF"/>
          <w:lang w:val="en-GB"/>
        </w:rPr>
        <w:t xml:space="preserve"> (in urban areas increased from </w:t>
      </w:r>
      <w:r w:rsidR="004C2834">
        <w:rPr>
          <w:shd w:val="clear" w:color="auto" w:fill="FFFFFF"/>
          <w:lang w:val="en-GB"/>
        </w:rPr>
        <w:t>30.4</w:t>
      </w:r>
      <w:r w:rsidR="00F92147" w:rsidRPr="00360FE5">
        <w:rPr>
          <w:shd w:val="clear" w:color="auto" w:fill="FFFFFF"/>
          <w:lang w:val="en-GB"/>
        </w:rPr>
        <w:t xml:space="preserve"> m</w:t>
      </w:r>
      <w:r w:rsidR="00F92147" w:rsidRPr="00360FE5">
        <w:rPr>
          <w:shd w:val="clear" w:color="auto" w:fill="FFFFFF"/>
          <w:vertAlign w:val="superscript"/>
          <w:lang w:val="en-GB"/>
        </w:rPr>
        <w:t>2</w:t>
      </w:r>
      <w:r w:rsidR="00F92147" w:rsidRPr="00360FE5">
        <w:rPr>
          <w:shd w:val="clear" w:color="auto" w:fill="FFFFFF"/>
          <w:lang w:val="en-GB"/>
        </w:rPr>
        <w:t xml:space="preserve"> to </w:t>
      </w:r>
      <w:r w:rsidR="004C2834">
        <w:rPr>
          <w:shd w:val="clear" w:color="auto" w:fill="FFFFFF"/>
          <w:lang w:val="en-GB"/>
        </w:rPr>
        <w:t>31.0</w:t>
      </w:r>
      <w:r w:rsidR="00F92147" w:rsidRPr="00360FE5">
        <w:rPr>
          <w:shd w:val="clear" w:color="auto" w:fill="FFFFFF"/>
          <w:lang w:val="en-GB"/>
        </w:rPr>
        <w:t> m</w:t>
      </w:r>
      <w:r w:rsidR="00F92147" w:rsidRPr="00360FE5">
        <w:rPr>
          <w:shd w:val="clear" w:color="auto" w:fill="FFFFFF"/>
          <w:vertAlign w:val="superscript"/>
          <w:lang w:val="en-GB"/>
        </w:rPr>
        <w:t>2</w:t>
      </w:r>
      <w:r w:rsidR="00F92147" w:rsidRPr="00360FE5">
        <w:rPr>
          <w:shd w:val="clear" w:color="auto" w:fill="FFFFFF"/>
          <w:lang w:val="en-GB"/>
        </w:rPr>
        <w:t xml:space="preserve">, and in rural areas from </w:t>
      </w:r>
      <w:r w:rsidR="004C2834">
        <w:rPr>
          <w:shd w:val="clear" w:color="auto" w:fill="FFFFFF"/>
          <w:lang w:val="en-GB"/>
        </w:rPr>
        <w:t>32.0</w:t>
      </w:r>
      <w:r w:rsidR="00F92147" w:rsidRPr="00360FE5">
        <w:rPr>
          <w:shd w:val="clear" w:color="auto" w:fill="FFFFFF"/>
          <w:lang w:val="en-GB"/>
        </w:rPr>
        <w:t xml:space="preserve"> m</w:t>
      </w:r>
      <w:r w:rsidR="00F92147" w:rsidRPr="00360FE5">
        <w:rPr>
          <w:shd w:val="clear" w:color="auto" w:fill="FFFFFF"/>
          <w:vertAlign w:val="superscript"/>
          <w:lang w:val="en-GB"/>
        </w:rPr>
        <w:t>2</w:t>
      </w:r>
      <w:r w:rsidR="00F92147" w:rsidRPr="00360FE5">
        <w:rPr>
          <w:shd w:val="clear" w:color="auto" w:fill="FFFFFF"/>
          <w:lang w:val="en-GB"/>
        </w:rPr>
        <w:t xml:space="preserve"> to 32.</w:t>
      </w:r>
      <w:r w:rsidR="004C2834">
        <w:rPr>
          <w:shd w:val="clear" w:color="auto" w:fill="FFFFFF"/>
          <w:lang w:val="en-GB"/>
        </w:rPr>
        <w:t>5</w:t>
      </w:r>
      <w:r w:rsidR="00F92147" w:rsidRPr="00360FE5">
        <w:rPr>
          <w:shd w:val="clear" w:color="auto" w:fill="FFFFFF"/>
          <w:lang w:val="en-GB"/>
        </w:rPr>
        <w:t xml:space="preserve"> m</w:t>
      </w:r>
      <w:r w:rsidR="00F92147" w:rsidRPr="00360FE5">
        <w:rPr>
          <w:shd w:val="clear" w:color="auto" w:fill="FFFFFF"/>
          <w:vertAlign w:val="superscript"/>
          <w:lang w:val="en-GB"/>
        </w:rPr>
        <w:t>2</w:t>
      </w:r>
      <w:r w:rsidR="00F92147" w:rsidRPr="00360FE5">
        <w:rPr>
          <w:shd w:val="clear" w:color="auto" w:fill="FFFFFF"/>
          <w:lang w:val="en-GB"/>
        </w:rPr>
        <w:t>).</w:t>
      </w:r>
    </w:p>
    <w:p w14:paraId="3F88C951" w14:textId="4CC6AAC9" w:rsidR="00EB72BA" w:rsidRPr="00360FE5" w:rsidRDefault="00F92147" w:rsidP="00EB72BA">
      <w:pPr>
        <w:spacing w:after="0"/>
        <w:rPr>
          <w:rFonts w:eastAsia="Times New Roman" w:cs="Times New Roman"/>
          <w:bCs/>
          <w:szCs w:val="19"/>
          <w:lang w:val="en-US" w:eastAsia="pl-PL"/>
        </w:rPr>
      </w:pPr>
      <w:r w:rsidRPr="00360FE5">
        <w:rPr>
          <w:shd w:val="clear" w:color="auto" w:fill="FFFFFF"/>
          <w:lang w:val="en-GB"/>
        </w:rPr>
        <w:lastRenderedPageBreak/>
        <w:t>In rural areas, dwellings were on average 3</w:t>
      </w:r>
      <w:r w:rsidR="00927392" w:rsidRPr="00360FE5">
        <w:rPr>
          <w:shd w:val="clear" w:color="auto" w:fill="FFFFFF"/>
          <w:lang w:val="en-GB"/>
        </w:rPr>
        <w:t>2</w:t>
      </w:r>
      <w:r w:rsidRPr="00360FE5">
        <w:rPr>
          <w:shd w:val="clear" w:color="auto" w:fill="FFFFFF"/>
          <w:lang w:val="en-GB"/>
        </w:rPr>
        <w:t>.</w:t>
      </w:r>
      <w:r w:rsidR="00AB7F34">
        <w:rPr>
          <w:shd w:val="clear" w:color="auto" w:fill="FFFFFF"/>
          <w:lang w:val="en-GB"/>
        </w:rPr>
        <w:t>9</w:t>
      </w:r>
      <w:r w:rsidRPr="00360FE5">
        <w:rPr>
          <w:shd w:val="clear" w:color="auto" w:fill="FFFFFF"/>
          <w:lang w:val="en-GB"/>
        </w:rPr>
        <w:t xml:space="preserve"> m</w:t>
      </w:r>
      <w:r w:rsidRPr="00360FE5">
        <w:rPr>
          <w:shd w:val="clear" w:color="auto" w:fill="FFFFFF"/>
          <w:vertAlign w:val="superscript"/>
          <w:lang w:val="en-GB"/>
        </w:rPr>
        <w:t>2</w:t>
      </w:r>
      <w:r w:rsidRPr="00360FE5">
        <w:rPr>
          <w:shd w:val="clear" w:color="auto" w:fill="FFFFFF"/>
          <w:lang w:val="en-GB"/>
        </w:rPr>
        <w:t xml:space="preserve"> larger than in urban areas (relevant indicators were 9</w:t>
      </w:r>
      <w:r w:rsidR="00927392" w:rsidRPr="00360FE5">
        <w:rPr>
          <w:shd w:val="clear" w:color="auto" w:fill="FFFFFF"/>
          <w:lang w:val="en-GB"/>
        </w:rPr>
        <w:t>7</w:t>
      </w:r>
      <w:r w:rsidRPr="00360FE5">
        <w:rPr>
          <w:shd w:val="clear" w:color="auto" w:fill="FFFFFF"/>
          <w:lang w:val="en-GB"/>
        </w:rPr>
        <w:t>.</w:t>
      </w:r>
      <w:r w:rsidR="00AB7F34">
        <w:rPr>
          <w:shd w:val="clear" w:color="auto" w:fill="FFFFFF"/>
          <w:lang w:val="en-GB"/>
        </w:rPr>
        <w:t>8</w:t>
      </w:r>
      <w:r w:rsidRPr="00360FE5">
        <w:rPr>
          <w:shd w:val="clear" w:color="auto" w:fill="FFFFFF"/>
          <w:lang w:val="en-GB"/>
        </w:rPr>
        <w:t> m</w:t>
      </w:r>
      <w:r w:rsidRPr="00360FE5">
        <w:rPr>
          <w:shd w:val="clear" w:color="auto" w:fill="FFFFFF"/>
          <w:vertAlign w:val="superscript"/>
          <w:lang w:val="en-GB"/>
        </w:rPr>
        <w:t>2</w:t>
      </w:r>
      <w:r w:rsidRPr="00360FE5">
        <w:rPr>
          <w:shd w:val="clear" w:color="auto" w:fill="FFFFFF"/>
          <w:lang w:val="en-GB"/>
        </w:rPr>
        <w:t xml:space="preserve"> for rural areas, and 64.</w:t>
      </w:r>
      <w:r w:rsidR="00AB7F34">
        <w:rPr>
          <w:shd w:val="clear" w:color="auto" w:fill="FFFFFF"/>
          <w:lang w:val="en-GB"/>
        </w:rPr>
        <w:t>9</w:t>
      </w:r>
      <w:r w:rsidRPr="00360FE5">
        <w:rPr>
          <w:shd w:val="clear" w:color="auto" w:fill="FFFFFF"/>
          <w:lang w:val="en-GB"/>
        </w:rPr>
        <w:t xml:space="preserve"> m</w:t>
      </w:r>
      <w:r w:rsidRPr="00360FE5">
        <w:rPr>
          <w:shd w:val="clear" w:color="auto" w:fill="FFFFFF"/>
          <w:vertAlign w:val="superscript"/>
          <w:lang w:val="en-GB"/>
        </w:rPr>
        <w:t>2</w:t>
      </w:r>
      <w:r w:rsidRPr="00360FE5">
        <w:rPr>
          <w:shd w:val="clear" w:color="auto" w:fill="FFFFFF"/>
          <w:lang w:val="en-GB"/>
        </w:rPr>
        <w:t xml:space="preserve"> for urban areas).</w:t>
      </w:r>
      <w:r w:rsidR="00250127">
        <w:rPr>
          <w:shd w:val="clear" w:color="auto" w:fill="FFFFFF"/>
          <w:lang w:val="en-GB"/>
        </w:rPr>
        <w:t xml:space="preserve"> </w:t>
      </w:r>
      <w:r w:rsidR="00F67844" w:rsidRPr="00360FE5">
        <w:rPr>
          <w:shd w:val="clear" w:color="auto" w:fill="FFFFFF"/>
          <w:lang w:val="en-US"/>
        </w:rPr>
        <w:t>As of 31 December 202</w:t>
      </w:r>
      <w:r w:rsidR="00AB7F34">
        <w:rPr>
          <w:shd w:val="clear" w:color="auto" w:fill="FFFFFF"/>
          <w:lang w:val="en-US"/>
        </w:rPr>
        <w:t>3</w:t>
      </w:r>
      <w:r w:rsidR="00F67844" w:rsidRPr="00360FE5">
        <w:rPr>
          <w:shd w:val="clear" w:color="auto" w:fill="FFFFFF"/>
          <w:lang w:val="en-US"/>
        </w:rPr>
        <w:t>,</w:t>
      </w:r>
      <w:r w:rsidR="009E1972" w:rsidRPr="00360FE5">
        <w:rPr>
          <w:rFonts w:eastAsia="Times New Roman" w:cs="Times New Roman"/>
          <w:bCs/>
          <w:szCs w:val="19"/>
          <w:lang w:val="en-US" w:eastAsia="pl-PL"/>
        </w:rPr>
        <w:t xml:space="preserve"> </w:t>
      </w:r>
      <w:r w:rsidR="00F67844" w:rsidRPr="00360FE5">
        <w:rPr>
          <w:shd w:val="clear" w:color="auto" w:fill="FFFFFF"/>
          <w:lang w:val="en-GB"/>
        </w:rPr>
        <w:t xml:space="preserve">the average number of rooms per 1 dwelling </w:t>
      </w:r>
      <w:r w:rsidR="008E3A31" w:rsidRPr="00360FE5">
        <w:rPr>
          <w:shd w:val="clear" w:color="auto" w:fill="FFFFFF"/>
          <w:lang w:val="en-GB"/>
        </w:rPr>
        <w:t xml:space="preserve">reached </w:t>
      </w:r>
      <w:r w:rsidR="009E1972" w:rsidRPr="00360FE5">
        <w:rPr>
          <w:rFonts w:eastAsia="Times New Roman" w:cs="Times New Roman"/>
          <w:bCs/>
          <w:szCs w:val="19"/>
          <w:lang w:val="en-US" w:eastAsia="pl-PL"/>
        </w:rPr>
        <w:t xml:space="preserve">3,83. </w:t>
      </w:r>
      <w:r w:rsidR="009A101D" w:rsidRPr="00360FE5">
        <w:rPr>
          <w:rFonts w:eastAsia="Times New Roman" w:cs="Times New Roman"/>
          <w:bCs/>
          <w:szCs w:val="19"/>
          <w:lang w:val="en-US" w:eastAsia="pl-PL"/>
        </w:rPr>
        <w:t>In rural areas it</w:t>
      </w:r>
      <w:r w:rsidR="002828E5" w:rsidRPr="00360FE5">
        <w:rPr>
          <w:rFonts w:eastAsia="Times New Roman" w:cs="Times New Roman"/>
          <w:bCs/>
          <w:szCs w:val="19"/>
          <w:lang w:val="en-US" w:eastAsia="pl-PL"/>
        </w:rPr>
        <w:t xml:space="preserve"> amounted to</w:t>
      </w:r>
      <w:r w:rsidR="009A101D" w:rsidRPr="00360FE5">
        <w:rPr>
          <w:rFonts w:eastAsia="Times New Roman" w:cs="Times New Roman"/>
          <w:bCs/>
          <w:szCs w:val="19"/>
          <w:lang w:val="en-US" w:eastAsia="pl-PL"/>
        </w:rPr>
        <w:t xml:space="preserve"> </w:t>
      </w:r>
      <w:r w:rsidR="009E1972" w:rsidRPr="00360FE5">
        <w:rPr>
          <w:rFonts w:eastAsia="Times New Roman" w:cs="Times New Roman"/>
          <w:bCs/>
          <w:szCs w:val="19"/>
          <w:lang w:val="en-US" w:eastAsia="pl-PL"/>
        </w:rPr>
        <w:t>4</w:t>
      </w:r>
      <w:r w:rsidR="009A101D" w:rsidRPr="00360FE5">
        <w:rPr>
          <w:rFonts w:eastAsia="Times New Roman" w:cs="Times New Roman"/>
          <w:bCs/>
          <w:szCs w:val="19"/>
          <w:lang w:val="en-US" w:eastAsia="pl-PL"/>
        </w:rPr>
        <w:t>.</w:t>
      </w:r>
      <w:r w:rsidR="009E1972" w:rsidRPr="00360FE5">
        <w:rPr>
          <w:rFonts w:eastAsia="Times New Roman" w:cs="Times New Roman"/>
          <w:bCs/>
          <w:szCs w:val="19"/>
          <w:lang w:val="en-US" w:eastAsia="pl-PL"/>
        </w:rPr>
        <w:t>53</w:t>
      </w:r>
      <w:r w:rsidR="009A101D" w:rsidRPr="00360FE5">
        <w:rPr>
          <w:rFonts w:eastAsia="Times New Roman" w:cs="Times New Roman"/>
          <w:bCs/>
          <w:szCs w:val="19"/>
          <w:lang w:val="en-US" w:eastAsia="pl-PL"/>
        </w:rPr>
        <w:t>,</w:t>
      </w:r>
      <w:r w:rsidR="002828E5" w:rsidRPr="00360FE5">
        <w:rPr>
          <w:rFonts w:eastAsia="Times New Roman" w:cs="Times New Roman"/>
          <w:bCs/>
          <w:szCs w:val="19"/>
          <w:lang w:val="en-US" w:eastAsia="pl-PL"/>
        </w:rPr>
        <w:t xml:space="preserve"> and</w:t>
      </w:r>
      <w:r w:rsidR="00EB72BA" w:rsidRPr="00360FE5">
        <w:rPr>
          <w:rFonts w:eastAsia="Times New Roman" w:cs="Times New Roman"/>
          <w:bCs/>
          <w:szCs w:val="19"/>
          <w:lang w:val="en-US" w:eastAsia="pl-PL"/>
        </w:rPr>
        <w:t xml:space="preserve"> </w:t>
      </w:r>
      <w:r w:rsidR="009A101D" w:rsidRPr="00360FE5">
        <w:rPr>
          <w:rFonts w:eastAsia="Times New Roman" w:cs="Times New Roman"/>
          <w:bCs/>
          <w:szCs w:val="19"/>
          <w:lang w:val="en-US" w:eastAsia="pl-PL"/>
        </w:rPr>
        <w:t xml:space="preserve">it was significantly </w:t>
      </w:r>
      <w:r w:rsidR="009E1972" w:rsidRPr="00360FE5">
        <w:rPr>
          <w:rFonts w:eastAsia="Times New Roman" w:cs="Times New Roman"/>
          <w:bCs/>
          <w:szCs w:val="19"/>
          <w:lang w:val="en-US" w:eastAsia="pl-PL"/>
        </w:rPr>
        <w:t>(</w:t>
      </w:r>
      <w:r w:rsidR="00EB57BA">
        <w:rPr>
          <w:rFonts w:eastAsia="Times New Roman" w:cs="Times New Roman"/>
          <w:bCs/>
          <w:szCs w:val="19"/>
          <w:lang w:val="en-US" w:eastAsia="pl-PL"/>
        </w:rPr>
        <w:t>by</w:t>
      </w:r>
      <w:r w:rsidR="009A101D" w:rsidRPr="00360FE5">
        <w:rPr>
          <w:rFonts w:eastAsia="Times New Roman" w:cs="Times New Roman"/>
          <w:bCs/>
          <w:szCs w:val="19"/>
          <w:lang w:val="en-US" w:eastAsia="pl-PL"/>
        </w:rPr>
        <w:t xml:space="preserve"> </w:t>
      </w:r>
      <w:r w:rsidR="009E1972" w:rsidRPr="00360FE5">
        <w:rPr>
          <w:rFonts w:eastAsia="Times New Roman" w:cs="Times New Roman"/>
          <w:bCs/>
          <w:szCs w:val="19"/>
          <w:lang w:val="en-US" w:eastAsia="pl-PL"/>
        </w:rPr>
        <w:t>29</w:t>
      </w:r>
      <w:r w:rsidR="00AB7F34">
        <w:rPr>
          <w:rFonts w:eastAsia="Times New Roman" w:cs="Times New Roman"/>
          <w:bCs/>
          <w:szCs w:val="19"/>
          <w:lang w:val="en-US" w:eastAsia="pl-PL"/>
        </w:rPr>
        <w:t>.4</w:t>
      </w:r>
      <w:r w:rsidR="00004CA6" w:rsidRPr="00360FE5">
        <w:rPr>
          <w:rFonts w:eastAsia="Times New Roman" w:cs="Times New Roman"/>
          <w:bCs/>
          <w:szCs w:val="19"/>
          <w:lang w:val="en-US" w:eastAsia="pl-PL"/>
        </w:rPr>
        <w:t xml:space="preserve"> </w:t>
      </w:r>
      <w:r w:rsidR="009E1972" w:rsidRPr="00360FE5">
        <w:rPr>
          <w:rFonts w:eastAsia="Times New Roman" w:cs="Times New Roman"/>
          <w:bCs/>
          <w:szCs w:val="19"/>
          <w:lang w:val="en-US" w:eastAsia="pl-PL"/>
        </w:rPr>
        <w:t xml:space="preserve">%) </w:t>
      </w:r>
      <w:r w:rsidR="00CD3A82" w:rsidRPr="00360FE5">
        <w:rPr>
          <w:rFonts w:eastAsia="Times New Roman" w:cs="Times New Roman"/>
          <w:bCs/>
          <w:szCs w:val="19"/>
          <w:lang w:val="en-US" w:eastAsia="pl-PL"/>
        </w:rPr>
        <w:t xml:space="preserve">higher </w:t>
      </w:r>
      <w:r w:rsidR="009A101D" w:rsidRPr="00360FE5">
        <w:rPr>
          <w:rFonts w:eastAsia="Times New Roman" w:cs="Times New Roman"/>
          <w:bCs/>
          <w:szCs w:val="19"/>
          <w:lang w:val="en-US" w:eastAsia="pl-PL"/>
        </w:rPr>
        <w:t xml:space="preserve">than in urban areas </w:t>
      </w:r>
      <w:r w:rsidR="009E1972" w:rsidRPr="00360FE5">
        <w:rPr>
          <w:rFonts w:eastAsia="Times New Roman" w:cs="Times New Roman"/>
          <w:bCs/>
          <w:szCs w:val="19"/>
          <w:lang w:val="en-US" w:eastAsia="pl-PL"/>
        </w:rPr>
        <w:t>(3</w:t>
      </w:r>
      <w:r w:rsidR="009A101D" w:rsidRPr="00360FE5">
        <w:rPr>
          <w:rFonts w:eastAsia="Times New Roman" w:cs="Times New Roman"/>
          <w:bCs/>
          <w:szCs w:val="19"/>
          <w:lang w:val="en-US" w:eastAsia="pl-PL"/>
        </w:rPr>
        <w:t>.</w:t>
      </w:r>
      <w:r w:rsidR="009E1972" w:rsidRPr="00360FE5">
        <w:rPr>
          <w:rFonts w:eastAsia="Times New Roman" w:cs="Times New Roman"/>
          <w:bCs/>
          <w:szCs w:val="19"/>
          <w:lang w:val="en-US" w:eastAsia="pl-PL"/>
        </w:rPr>
        <w:t>5</w:t>
      </w:r>
      <w:r w:rsidR="00232FAA">
        <w:rPr>
          <w:rFonts w:eastAsia="Times New Roman" w:cs="Times New Roman"/>
          <w:bCs/>
          <w:szCs w:val="19"/>
          <w:lang w:val="en-US" w:eastAsia="pl-PL"/>
        </w:rPr>
        <w:t>0</w:t>
      </w:r>
      <w:r w:rsidR="009E1972" w:rsidRPr="00360FE5">
        <w:rPr>
          <w:rFonts w:eastAsia="Times New Roman" w:cs="Times New Roman"/>
          <w:bCs/>
          <w:szCs w:val="19"/>
          <w:lang w:val="en-US" w:eastAsia="pl-PL"/>
        </w:rPr>
        <w:t>).</w:t>
      </w:r>
      <w:r w:rsidR="00EB72BA" w:rsidRPr="00360FE5">
        <w:rPr>
          <w:rFonts w:eastAsia="Times New Roman" w:cs="Times New Roman"/>
          <w:bCs/>
          <w:szCs w:val="19"/>
          <w:lang w:val="en-US" w:eastAsia="pl-PL"/>
        </w:rPr>
        <w:t xml:space="preserve"> </w:t>
      </w:r>
    </w:p>
    <w:p w14:paraId="7FDA62BF" w14:textId="2C663D0A" w:rsidR="00C33615" w:rsidRPr="00360FE5" w:rsidRDefault="00884808" w:rsidP="000558C2">
      <w:pPr>
        <w:spacing w:after="0"/>
        <w:rPr>
          <w:shd w:val="clear" w:color="auto" w:fill="FFFFFF"/>
          <w:lang w:val="en-GB"/>
        </w:rPr>
      </w:pPr>
      <w:r w:rsidRPr="00360FE5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5920" behindDoc="1" locked="0" layoutInCell="1" allowOverlap="1" wp14:anchorId="16636393" wp14:editId="08EC58B5">
                <wp:simplePos x="0" y="0"/>
                <wp:positionH relativeFrom="rightMargin">
                  <wp:posOffset>21590</wp:posOffset>
                </wp:positionH>
                <wp:positionV relativeFrom="paragraph">
                  <wp:posOffset>787400</wp:posOffset>
                </wp:positionV>
                <wp:extent cx="1666875" cy="1031875"/>
                <wp:effectExtent l="0" t="0" r="0" b="0"/>
                <wp:wrapTight wrapText="bothSides">
                  <wp:wrapPolygon edited="0">
                    <wp:start x="741" y="0"/>
                    <wp:lineTo x="741" y="21135"/>
                    <wp:lineTo x="20736" y="21135"/>
                    <wp:lineTo x="20736" y="0"/>
                    <wp:lineTo x="741" y="0"/>
                  </wp:wrapPolygon>
                </wp:wrapTight>
                <wp:docPr id="195" name="Pole tekstowe 2" descr="In 2023, there were disproportions between urban and rural areas in dwellings fitted with basic installations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031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C9CBB" w14:textId="66E2DDB2" w:rsidR="000558C2" w:rsidRPr="002B7098" w:rsidRDefault="002B7098" w:rsidP="00781CE2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2B7098">
                              <w:rPr>
                                <w:lang w:val="en-US"/>
                              </w:rPr>
                              <w:t xml:space="preserve">In </w:t>
                            </w:r>
                            <w:r w:rsidR="000558C2" w:rsidRPr="002B7098">
                              <w:rPr>
                                <w:lang w:val="en-US"/>
                              </w:rPr>
                              <w:t>202</w:t>
                            </w:r>
                            <w:r w:rsidR="00ED651B">
                              <w:rPr>
                                <w:lang w:val="en-US"/>
                              </w:rPr>
                              <w:t>3</w:t>
                            </w:r>
                            <w:r w:rsidRPr="002B7098">
                              <w:rPr>
                                <w:lang w:val="en-US"/>
                              </w:rPr>
                              <w:t>, there were disproportions</w:t>
                            </w:r>
                            <w:r>
                              <w:rPr>
                                <w:lang w:val="en-US"/>
                              </w:rPr>
                              <w:t xml:space="preserve"> between urban and rural areas</w:t>
                            </w:r>
                            <w:r w:rsidRPr="002B7098">
                              <w:rPr>
                                <w:lang w:val="en-US"/>
                              </w:rPr>
                              <w:t xml:space="preserve"> in dwellings fitted with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2B7098">
                              <w:rPr>
                                <w:lang w:val="en-US"/>
                              </w:rPr>
                              <w:t xml:space="preserve">basic installations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36393" id="_x0000_s1028" type="#_x0000_t202" alt="In 2023, there were disproportions between urban and rural areas in dwellings fitted with basic installations " style="position:absolute;margin-left:1.7pt;margin-top:62pt;width:131.25pt;height:81.25pt;z-index:-25165056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" filled="f" stroked="f">
                <v:textbox>
                  <w:txbxContent>
                    <w:p w14:paraId="39CC9CBB" w14:textId="66E2DDB2" w:rsidR="000558C2" w:rsidRPr="002B7098" w:rsidRDefault="002B7098" w:rsidP="00781CE2">
                      <w:pPr>
                        <w:pStyle w:val="tekstzboku"/>
                        <w:rPr>
                          <w:lang w:val="en-US"/>
                        </w:rPr>
                      </w:pPr>
                      <w:r w:rsidRPr="002B7098">
                        <w:rPr>
                          <w:lang w:val="en-US"/>
                        </w:rPr>
                        <w:t xml:space="preserve">In </w:t>
                      </w:r>
                      <w:r w:rsidR="000558C2" w:rsidRPr="002B7098">
                        <w:rPr>
                          <w:lang w:val="en-US"/>
                        </w:rPr>
                        <w:t>202</w:t>
                      </w:r>
                      <w:r w:rsidR="00ED651B">
                        <w:rPr>
                          <w:lang w:val="en-US"/>
                        </w:rPr>
                        <w:t>3</w:t>
                      </w:r>
                      <w:r w:rsidRPr="002B7098">
                        <w:rPr>
                          <w:lang w:val="en-US"/>
                        </w:rPr>
                        <w:t>, there were disproportions</w:t>
                      </w:r>
                      <w:r>
                        <w:rPr>
                          <w:lang w:val="en-US"/>
                        </w:rPr>
                        <w:t xml:space="preserve"> between urban and rural areas</w:t>
                      </w:r>
                      <w:r w:rsidRPr="002B7098">
                        <w:rPr>
                          <w:lang w:val="en-US"/>
                        </w:rPr>
                        <w:t xml:space="preserve"> in dwellings fitted with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2B7098">
                        <w:rPr>
                          <w:lang w:val="en-US"/>
                        </w:rPr>
                        <w:t xml:space="preserve">basic installations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202DF" w:rsidRPr="00360FE5">
        <w:rPr>
          <w:shd w:val="clear" w:color="auto" w:fill="FFFFFF"/>
          <w:lang w:val="en-GB"/>
        </w:rPr>
        <w:t>There were 47</w:t>
      </w:r>
      <w:r w:rsidR="00B138F8">
        <w:rPr>
          <w:shd w:val="clear" w:color="auto" w:fill="FFFFFF"/>
          <w:lang w:val="en-GB"/>
        </w:rPr>
        <w:t>8</w:t>
      </w:r>
      <w:r w:rsidR="008202DF" w:rsidRPr="00360FE5">
        <w:rPr>
          <w:shd w:val="clear" w:color="auto" w:fill="FFFFFF"/>
          <w:lang w:val="en-GB"/>
        </w:rPr>
        <w:t xml:space="preserve"> dwellings per 1000 residents in urban areas, </w:t>
      </w:r>
      <w:r w:rsidR="0020226E" w:rsidRPr="00360FE5">
        <w:rPr>
          <w:shd w:val="clear" w:color="auto" w:fill="FFFFFF"/>
          <w:lang w:val="en-GB"/>
        </w:rPr>
        <w:t xml:space="preserve">while </w:t>
      </w:r>
      <w:r w:rsidR="008202DF" w:rsidRPr="00360FE5">
        <w:rPr>
          <w:shd w:val="clear" w:color="auto" w:fill="FFFFFF"/>
          <w:lang w:val="en-GB"/>
        </w:rPr>
        <w:t xml:space="preserve">in rural areas </w:t>
      </w:r>
      <w:r w:rsidR="008202DF" w:rsidRPr="00341722">
        <w:rPr>
          <w:shd w:val="clear" w:color="auto" w:fill="FFFFFF"/>
          <w:lang w:val="en-GB"/>
        </w:rPr>
        <w:t xml:space="preserve">only </w:t>
      </w:r>
      <w:r w:rsidR="008202DF" w:rsidRPr="00360FE5">
        <w:rPr>
          <w:shd w:val="clear" w:color="auto" w:fill="FFFFFF"/>
          <w:lang w:val="en-GB"/>
        </w:rPr>
        <w:t>3</w:t>
      </w:r>
      <w:r w:rsidR="00B138F8">
        <w:rPr>
          <w:shd w:val="clear" w:color="auto" w:fill="FFFFFF"/>
          <w:lang w:val="en-GB"/>
        </w:rPr>
        <w:t>32</w:t>
      </w:r>
      <w:r w:rsidR="008202DF" w:rsidRPr="00360FE5">
        <w:rPr>
          <w:shd w:val="clear" w:color="auto" w:fill="FFFFFF"/>
          <w:lang w:val="en-GB"/>
        </w:rPr>
        <w:t xml:space="preserve">. </w:t>
      </w:r>
      <w:r w:rsidR="0020226E" w:rsidRPr="00360FE5">
        <w:rPr>
          <w:shd w:val="clear" w:color="auto" w:fill="FFFFFF"/>
          <w:lang w:val="en-GB"/>
        </w:rPr>
        <w:t xml:space="preserve">Disproportions between urban and rural areas also concerned the density of population </w:t>
      </w:r>
      <w:r w:rsidR="00EC2D62" w:rsidRPr="00360FE5">
        <w:rPr>
          <w:shd w:val="clear" w:color="auto" w:fill="FFFFFF"/>
          <w:lang w:val="en-GB"/>
        </w:rPr>
        <w:t>in</w:t>
      </w:r>
      <w:r w:rsidR="0020226E" w:rsidRPr="00360FE5">
        <w:rPr>
          <w:shd w:val="clear" w:color="auto" w:fill="FFFFFF"/>
          <w:lang w:val="en-GB"/>
        </w:rPr>
        <w:t xml:space="preserve"> dwellings.  T</w:t>
      </w:r>
      <w:r w:rsidR="0020226E" w:rsidRPr="00360FE5">
        <w:rPr>
          <w:shd w:val="clear" w:color="auto" w:fill="FFFFFF"/>
          <w:lang w:val="en-US"/>
        </w:rPr>
        <w:t>here were 2</w:t>
      </w:r>
      <w:r w:rsidR="00B138F8">
        <w:rPr>
          <w:shd w:val="clear" w:color="auto" w:fill="FFFFFF"/>
          <w:lang w:val="en-US"/>
        </w:rPr>
        <w:t>09</w:t>
      </w:r>
      <w:r w:rsidR="0020226E" w:rsidRPr="00360FE5">
        <w:rPr>
          <w:shd w:val="clear" w:color="auto" w:fill="FFFFFF"/>
          <w:lang w:val="en-US"/>
        </w:rPr>
        <w:t xml:space="preserve"> persons per 100 dwellings in urban areas, whereas in rural areas 30</w:t>
      </w:r>
      <w:r w:rsidR="00B138F8">
        <w:rPr>
          <w:shd w:val="clear" w:color="auto" w:fill="FFFFFF"/>
          <w:lang w:val="en-US"/>
        </w:rPr>
        <w:t>1</w:t>
      </w:r>
      <w:r w:rsidR="0020226E" w:rsidRPr="00360FE5">
        <w:rPr>
          <w:shd w:val="clear" w:color="auto" w:fill="FFFFFF"/>
          <w:lang w:val="en-US"/>
        </w:rPr>
        <w:t xml:space="preserve">, </w:t>
      </w:r>
      <w:r w:rsidR="000558C2" w:rsidRPr="00360FE5">
        <w:rPr>
          <w:shd w:val="clear" w:color="auto" w:fill="FFFFFF"/>
          <w:lang w:val="en-US"/>
        </w:rPr>
        <w:t xml:space="preserve">and </w:t>
      </w:r>
      <w:r w:rsidR="0020226E" w:rsidRPr="00360FE5">
        <w:rPr>
          <w:shd w:val="clear" w:color="auto" w:fill="FFFFFF"/>
          <w:lang w:val="en-US"/>
        </w:rPr>
        <w:t>the average for Poland was 2</w:t>
      </w:r>
      <w:r w:rsidR="00B138F8">
        <w:rPr>
          <w:shd w:val="clear" w:color="auto" w:fill="FFFFFF"/>
          <w:lang w:val="en-US"/>
        </w:rPr>
        <w:t>38</w:t>
      </w:r>
      <w:r w:rsidR="0020226E" w:rsidRPr="00360FE5">
        <w:rPr>
          <w:shd w:val="clear" w:color="auto" w:fill="FFFFFF"/>
          <w:lang w:val="en-US"/>
        </w:rPr>
        <w:t xml:space="preserve">. </w:t>
      </w:r>
      <w:r w:rsidR="00C33615" w:rsidRPr="00360FE5">
        <w:rPr>
          <w:bCs/>
          <w:shd w:val="clear" w:color="auto" w:fill="FFFFFF"/>
          <w:lang w:val="en-GB"/>
        </w:rPr>
        <w:t>T</w:t>
      </w:r>
      <w:r w:rsidR="00C33615" w:rsidRPr="00360FE5">
        <w:rPr>
          <w:shd w:val="clear" w:color="auto" w:fill="FFFFFF"/>
          <w:lang w:val="en-GB"/>
        </w:rPr>
        <w:t>he average number of persons per 1 room amounted to 0.6</w:t>
      </w:r>
      <w:r w:rsidR="00B138F8">
        <w:rPr>
          <w:bCs/>
          <w:shd w:val="clear" w:color="auto" w:fill="FFFFFF"/>
          <w:lang w:val="en-GB"/>
        </w:rPr>
        <w:t>2</w:t>
      </w:r>
      <w:r w:rsidR="00C33615" w:rsidRPr="00360FE5">
        <w:rPr>
          <w:shd w:val="clear" w:color="auto" w:fill="FFFFFF"/>
          <w:lang w:val="en-GB"/>
        </w:rPr>
        <w:t xml:space="preserve">, </w:t>
      </w:r>
      <w:r w:rsidR="000558C2" w:rsidRPr="00360FE5">
        <w:rPr>
          <w:bCs/>
          <w:shd w:val="clear" w:color="auto" w:fill="FFFFFF"/>
          <w:lang w:val="en-GB"/>
        </w:rPr>
        <w:t xml:space="preserve">whereby </w:t>
      </w:r>
      <w:r w:rsidR="00C33615" w:rsidRPr="00360FE5">
        <w:rPr>
          <w:shd w:val="clear" w:color="auto" w:fill="FFFFFF"/>
          <w:lang w:val="en-GB"/>
        </w:rPr>
        <w:t xml:space="preserve">in rural areas it was higher </w:t>
      </w:r>
      <w:r w:rsidR="000558C2" w:rsidRPr="00360FE5">
        <w:rPr>
          <w:bCs/>
          <w:shd w:val="clear" w:color="auto" w:fill="FFFFFF"/>
          <w:lang w:val="en-GB"/>
        </w:rPr>
        <w:t>(</w:t>
      </w:r>
      <w:r w:rsidR="000558C2" w:rsidRPr="00360FE5">
        <w:rPr>
          <w:shd w:val="clear" w:color="auto" w:fill="FFFFFF"/>
          <w:lang w:val="en-GB"/>
        </w:rPr>
        <w:t>0.</w:t>
      </w:r>
      <w:r w:rsidR="000558C2" w:rsidRPr="00360FE5">
        <w:rPr>
          <w:bCs/>
          <w:shd w:val="clear" w:color="auto" w:fill="FFFFFF"/>
          <w:lang w:val="en-GB"/>
        </w:rPr>
        <w:t>6</w:t>
      </w:r>
      <w:r w:rsidR="00B138F8">
        <w:rPr>
          <w:bCs/>
          <w:shd w:val="clear" w:color="auto" w:fill="FFFFFF"/>
          <w:lang w:val="en-GB"/>
        </w:rPr>
        <w:t>6</w:t>
      </w:r>
      <w:r w:rsidR="000558C2" w:rsidRPr="00360FE5">
        <w:rPr>
          <w:bCs/>
          <w:shd w:val="clear" w:color="auto" w:fill="FFFFFF"/>
          <w:lang w:val="en-GB"/>
        </w:rPr>
        <w:t>)</w:t>
      </w:r>
      <w:r>
        <w:rPr>
          <w:bCs/>
          <w:shd w:val="clear" w:color="auto" w:fill="FFFFFF"/>
          <w:lang w:val="en-GB"/>
        </w:rPr>
        <w:t xml:space="preserve"> </w:t>
      </w:r>
      <w:r w:rsidR="00C33615" w:rsidRPr="00360FE5">
        <w:rPr>
          <w:bCs/>
          <w:shd w:val="clear" w:color="auto" w:fill="FFFFFF"/>
          <w:lang w:val="en-GB"/>
        </w:rPr>
        <w:t>than</w:t>
      </w:r>
      <w:r w:rsidR="00C33615" w:rsidRPr="00360FE5">
        <w:rPr>
          <w:shd w:val="clear" w:color="auto" w:fill="FFFFFF"/>
          <w:lang w:val="en-GB"/>
        </w:rPr>
        <w:t xml:space="preserve"> in urban areas</w:t>
      </w:r>
      <w:r w:rsidR="00C33615" w:rsidRPr="00360FE5">
        <w:rPr>
          <w:bCs/>
          <w:shd w:val="clear" w:color="auto" w:fill="FFFFFF"/>
          <w:lang w:val="en-GB"/>
        </w:rPr>
        <w:t xml:space="preserve"> (</w:t>
      </w:r>
      <w:r w:rsidR="00C33615" w:rsidRPr="00360FE5">
        <w:rPr>
          <w:shd w:val="clear" w:color="auto" w:fill="FFFFFF"/>
          <w:lang w:val="en-GB"/>
        </w:rPr>
        <w:t>0.6</w:t>
      </w:r>
      <w:r w:rsidR="00B138F8">
        <w:rPr>
          <w:shd w:val="clear" w:color="auto" w:fill="FFFFFF"/>
          <w:lang w:val="en-GB"/>
        </w:rPr>
        <w:t>0</w:t>
      </w:r>
      <w:r w:rsidR="00C33615" w:rsidRPr="00360FE5">
        <w:rPr>
          <w:bCs/>
          <w:shd w:val="clear" w:color="auto" w:fill="FFFFFF"/>
          <w:lang w:val="en-GB"/>
        </w:rPr>
        <w:t>)</w:t>
      </w:r>
      <w:r w:rsidR="00C33615" w:rsidRPr="00360FE5">
        <w:rPr>
          <w:shd w:val="clear" w:color="auto" w:fill="FFFFFF"/>
          <w:lang w:val="en-GB"/>
        </w:rPr>
        <w:t>.</w:t>
      </w:r>
    </w:p>
    <w:p w14:paraId="0CCA2FA9" w14:textId="0E7C5C1B" w:rsidR="00781CE2" w:rsidRPr="00360FE5" w:rsidRDefault="00CE1749" w:rsidP="00250127">
      <w:pPr>
        <w:spacing w:after="0"/>
        <w:rPr>
          <w:shd w:val="clear" w:color="auto" w:fill="FFFFFF"/>
          <w:lang w:val="en-GB"/>
        </w:rPr>
      </w:pPr>
      <w:r w:rsidRPr="00360FE5">
        <w:rPr>
          <w:shd w:val="clear" w:color="auto" w:fill="FFFFFF"/>
          <w:lang w:val="en-GB"/>
        </w:rPr>
        <w:t>High percentage of dwellings fitted with sanitary and technical installations indicated an improvement in housing conditions of population.</w:t>
      </w:r>
      <w:r w:rsidR="00524536" w:rsidRPr="00360FE5">
        <w:rPr>
          <w:shd w:val="clear" w:color="auto" w:fill="FFFFFF"/>
          <w:lang w:val="en-GB"/>
        </w:rPr>
        <w:t xml:space="preserve"> </w:t>
      </w:r>
      <w:r w:rsidRPr="00360FE5">
        <w:rPr>
          <w:shd w:val="clear" w:color="auto" w:fill="FFFFFF"/>
          <w:lang w:val="en-GB"/>
        </w:rPr>
        <w:t xml:space="preserve">Water supply system </w:t>
      </w:r>
      <w:r w:rsidR="00524536" w:rsidRPr="00360FE5">
        <w:rPr>
          <w:shd w:val="clear" w:color="auto" w:fill="FFFFFF"/>
          <w:lang w:val="en-GB"/>
        </w:rPr>
        <w:t>was</w:t>
      </w:r>
      <w:r w:rsidRPr="00360FE5">
        <w:rPr>
          <w:shd w:val="clear" w:color="auto" w:fill="FFFFFF"/>
          <w:lang w:val="en-GB"/>
        </w:rPr>
        <w:t xml:space="preserve"> fitted in 97.</w:t>
      </w:r>
      <w:r w:rsidR="00AC1C24">
        <w:rPr>
          <w:shd w:val="clear" w:color="auto" w:fill="FFFFFF"/>
          <w:lang w:val="en-GB"/>
        </w:rPr>
        <w:t>8</w:t>
      </w:r>
      <w:r w:rsidRPr="00360FE5">
        <w:rPr>
          <w:shd w:val="clear" w:color="auto" w:fill="FFFFFF"/>
          <w:lang w:val="en-GB"/>
        </w:rPr>
        <w:t> % of dwellings, lavatory in 95.2 %, bathroom in 93.8 %</w:t>
      </w:r>
      <w:r w:rsidR="00737644" w:rsidRPr="00360FE5">
        <w:rPr>
          <w:shd w:val="clear" w:color="auto" w:fill="FFFFFF"/>
          <w:lang w:val="en-GB"/>
        </w:rPr>
        <w:t xml:space="preserve">, and </w:t>
      </w:r>
      <w:r w:rsidR="00004CA6" w:rsidRPr="00360FE5">
        <w:rPr>
          <w:shd w:val="clear" w:color="auto" w:fill="FFFFFF"/>
          <w:lang w:val="en-US"/>
        </w:rPr>
        <w:t>58.</w:t>
      </w:r>
      <w:r w:rsidR="00AC1C24">
        <w:rPr>
          <w:shd w:val="clear" w:color="auto" w:fill="FFFFFF"/>
          <w:lang w:val="en-US"/>
        </w:rPr>
        <w:t>9</w:t>
      </w:r>
      <w:r w:rsidR="00004CA6" w:rsidRPr="00360FE5">
        <w:rPr>
          <w:shd w:val="clear" w:color="auto" w:fill="FFFFFF"/>
          <w:lang w:val="en-US"/>
        </w:rPr>
        <w:t xml:space="preserve"> % </w:t>
      </w:r>
      <w:r w:rsidRPr="00360FE5">
        <w:rPr>
          <w:shd w:val="clear" w:color="auto" w:fill="FFFFFF"/>
          <w:lang w:val="en-US"/>
        </w:rPr>
        <w:t>dwelling w</w:t>
      </w:r>
      <w:r w:rsidR="00524536" w:rsidRPr="00360FE5">
        <w:rPr>
          <w:shd w:val="clear" w:color="auto" w:fill="FFFFFF"/>
          <w:lang w:val="en-US"/>
        </w:rPr>
        <w:t xml:space="preserve">ere </w:t>
      </w:r>
      <w:r w:rsidRPr="00360FE5">
        <w:rPr>
          <w:shd w:val="clear" w:color="auto" w:fill="FFFFFF"/>
          <w:lang w:val="en-US"/>
        </w:rPr>
        <w:t xml:space="preserve">fitted with gas installation. </w:t>
      </w:r>
      <w:r w:rsidR="00524536" w:rsidRPr="00360FE5">
        <w:rPr>
          <w:shd w:val="clear" w:color="auto" w:fill="FFFFFF"/>
          <w:lang w:val="en-GB"/>
        </w:rPr>
        <w:t>Disproportions in dwellings fitted with basic installations have been present between urban and rural areas. In urban areas</w:t>
      </w:r>
      <w:r w:rsidR="00884808">
        <w:rPr>
          <w:shd w:val="clear" w:color="auto" w:fill="FFFFFF"/>
          <w:lang w:val="en-GB"/>
        </w:rPr>
        <w:t>,</w:t>
      </w:r>
      <w:r w:rsidR="00524536" w:rsidRPr="00360FE5">
        <w:rPr>
          <w:shd w:val="clear" w:color="auto" w:fill="FFFFFF"/>
          <w:lang w:val="en-GB"/>
        </w:rPr>
        <w:t xml:space="preserve"> share of dwellings fitted with </w:t>
      </w:r>
      <w:r w:rsidR="00813BE2" w:rsidRPr="00360FE5">
        <w:rPr>
          <w:shd w:val="clear" w:color="auto" w:fill="FFFFFF"/>
          <w:lang w:val="en-GB"/>
        </w:rPr>
        <w:t>installation</w:t>
      </w:r>
      <w:r w:rsidR="003D4A6E">
        <w:rPr>
          <w:shd w:val="clear" w:color="auto" w:fill="FFFFFF"/>
          <w:lang w:val="en-GB"/>
        </w:rPr>
        <w:t>s</w:t>
      </w:r>
      <w:r w:rsidR="002F7B44" w:rsidRPr="00360FE5">
        <w:rPr>
          <w:shd w:val="clear" w:color="auto" w:fill="FFFFFF"/>
          <w:lang w:val="en-GB"/>
        </w:rPr>
        <w:t xml:space="preserve"> was higher than in rural areas (gas installations - a deviation of </w:t>
      </w:r>
      <w:r w:rsidR="00AC1C24">
        <w:rPr>
          <w:shd w:val="clear" w:color="auto" w:fill="FFFFFF"/>
          <w:lang w:val="en-GB"/>
        </w:rPr>
        <w:t>39</w:t>
      </w:r>
      <w:r w:rsidR="0030066C" w:rsidRPr="00360FE5">
        <w:rPr>
          <w:shd w:val="clear" w:color="auto" w:fill="FFFFFF"/>
          <w:lang w:val="en-GB"/>
        </w:rPr>
        <w:t>.9 p.</w:t>
      </w:r>
      <w:r w:rsidR="00813BE2" w:rsidRPr="00360FE5">
        <w:rPr>
          <w:shd w:val="clear" w:color="auto" w:fill="FFFFFF"/>
          <w:lang w:val="en-GB"/>
        </w:rPr>
        <w:t>p.</w:t>
      </w:r>
      <w:r w:rsidR="002F7B44" w:rsidRPr="00360FE5">
        <w:rPr>
          <w:shd w:val="clear" w:color="auto" w:fill="FFFFFF"/>
          <w:lang w:val="en-GB"/>
        </w:rPr>
        <w:t xml:space="preserve">, </w:t>
      </w:r>
      <w:r w:rsidR="00813BE2" w:rsidRPr="00360FE5">
        <w:rPr>
          <w:shd w:val="clear" w:color="auto" w:fill="FFFFFF"/>
          <w:lang w:val="en-GB"/>
        </w:rPr>
        <w:t>bathroom 8.</w:t>
      </w:r>
      <w:r w:rsidR="00AC1C24">
        <w:rPr>
          <w:shd w:val="clear" w:color="auto" w:fill="FFFFFF"/>
          <w:lang w:val="en-GB"/>
        </w:rPr>
        <w:t>2</w:t>
      </w:r>
      <w:r w:rsidR="00813BE2" w:rsidRPr="00360FE5">
        <w:rPr>
          <w:shd w:val="clear" w:color="auto" w:fill="FFFFFF"/>
          <w:lang w:val="en-GB"/>
        </w:rPr>
        <w:t xml:space="preserve"> </w:t>
      </w:r>
      <w:proofErr w:type="spellStart"/>
      <w:r w:rsidR="00813BE2" w:rsidRPr="00360FE5">
        <w:rPr>
          <w:shd w:val="clear" w:color="auto" w:fill="FFFFFF"/>
          <w:lang w:val="en-GB"/>
        </w:rPr>
        <w:t>p.p</w:t>
      </w:r>
      <w:proofErr w:type="spellEnd"/>
      <w:r w:rsidR="00813BE2" w:rsidRPr="00360FE5">
        <w:rPr>
          <w:shd w:val="clear" w:color="auto" w:fill="FFFFFF"/>
          <w:lang w:val="en-GB"/>
        </w:rPr>
        <w:t xml:space="preserve">,  </w:t>
      </w:r>
      <w:r w:rsidR="002F7B44" w:rsidRPr="00360FE5">
        <w:rPr>
          <w:shd w:val="clear" w:color="auto" w:fill="FFFFFF"/>
          <w:lang w:val="en-GB"/>
        </w:rPr>
        <w:t>lavatory 6.</w:t>
      </w:r>
      <w:r w:rsidR="00AC1C24">
        <w:rPr>
          <w:shd w:val="clear" w:color="auto" w:fill="FFFFFF"/>
          <w:lang w:val="en-GB"/>
        </w:rPr>
        <w:t>3</w:t>
      </w:r>
      <w:r w:rsidR="002F7B44" w:rsidRPr="00360FE5">
        <w:rPr>
          <w:shd w:val="clear" w:color="auto" w:fill="FFFFFF"/>
          <w:lang w:val="en-GB"/>
        </w:rPr>
        <w:t xml:space="preserve"> p.p., and</w:t>
      </w:r>
      <w:r w:rsidR="00813BE2" w:rsidRPr="00360FE5">
        <w:rPr>
          <w:shd w:val="clear" w:color="auto" w:fill="FFFFFF"/>
          <w:lang w:val="en-GB"/>
        </w:rPr>
        <w:t xml:space="preserve"> water supply system</w:t>
      </w:r>
      <w:r w:rsidR="002F7B44" w:rsidRPr="00360FE5">
        <w:rPr>
          <w:shd w:val="clear" w:color="auto" w:fill="FFFFFF"/>
          <w:lang w:val="en-GB"/>
        </w:rPr>
        <w:t xml:space="preserve"> 2.</w:t>
      </w:r>
      <w:r w:rsidR="00AC1C24">
        <w:rPr>
          <w:shd w:val="clear" w:color="auto" w:fill="FFFFFF"/>
          <w:lang w:val="en-GB"/>
        </w:rPr>
        <w:t>5</w:t>
      </w:r>
      <w:r w:rsidR="002F7B44" w:rsidRPr="00360FE5">
        <w:rPr>
          <w:shd w:val="clear" w:color="auto" w:fill="FFFFFF"/>
          <w:lang w:val="en-GB"/>
        </w:rPr>
        <w:t xml:space="preserve"> p.p.).</w:t>
      </w:r>
    </w:p>
    <w:p w14:paraId="78CEBE78" w14:textId="77777777" w:rsidR="002B7098" w:rsidRPr="00360FE5" w:rsidRDefault="002B7098" w:rsidP="00781CE2">
      <w:pPr>
        <w:spacing w:before="0" w:after="0"/>
        <w:rPr>
          <w:shd w:val="clear" w:color="auto" w:fill="FFFFFF"/>
          <w:lang w:val="en-GB"/>
        </w:rPr>
      </w:pPr>
    </w:p>
    <w:p w14:paraId="2C95821A" w14:textId="3E510DE9" w:rsidR="00D3299E" w:rsidRPr="00B8637A" w:rsidRDefault="002B7098" w:rsidP="002B7098">
      <w:pPr>
        <w:spacing w:before="0" w:after="0"/>
        <w:rPr>
          <w:b/>
          <w:spacing w:val="-2"/>
          <w:sz w:val="18"/>
        </w:rPr>
      </w:pPr>
      <w:r w:rsidRPr="00281994">
        <w:rPr>
          <w:b/>
          <w:spacing w:val="-2"/>
          <w:sz w:val="18"/>
          <w:lang w:val="en-GB"/>
        </w:rPr>
        <w:t xml:space="preserve">Chart 1. Dwellings fitted with installations in % of total </w:t>
      </w:r>
      <w:r>
        <w:rPr>
          <w:b/>
          <w:spacing w:val="-2"/>
          <w:sz w:val="18"/>
          <w:lang w:val="en-GB"/>
        </w:rPr>
        <w:t xml:space="preserve">number of dwellings </w:t>
      </w:r>
      <w:r w:rsidRPr="00281994">
        <w:rPr>
          <w:b/>
          <w:spacing w:val="-2"/>
          <w:sz w:val="18"/>
          <w:lang w:val="en-GB"/>
        </w:rPr>
        <w:t>in 20</w:t>
      </w:r>
      <w:r>
        <w:rPr>
          <w:b/>
          <w:spacing w:val="-2"/>
          <w:sz w:val="18"/>
          <w:lang w:val="en-GB"/>
        </w:rPr>
        <w:t>2</w:t>
      </w:r>
      <w:r w:rsidR="00706B84">
        <w:rPr>
          <w:b/>
          <w:spacing w:val="-2"/>
          <w:sz w:val="18"/>
          <w:lang w:val="en-GB"/>
        </w:rPr>
        <w:t>3</w:t>
      </w:r>
      <w:r w:rsidRPr="00281994">
        <w:rPr>
          <w:b/>
          <w:spacing w:val="-2"/>
          <w:sz w:val="18"/>
          <w:lang w:val="en-GB"/>
        </w:rPr>
        <w:t xml:space="preserve"> (as of 31</w:t>
      </w:r>
      <w:r w:rsidR="002655AB">
        <w:rPr>
          <w:b/>
          <w:spacing w:val="-2"/>
          <w:sz w:val="18"/>
          <w:lang w:val="en-GB"/>
        </w:rPr>
        <w:t xml:space="preserve"> December</w:t>
      </w:r>
      <w:r w:rsidRPr="00281994">
        <w:rPr>
          <w:b/>
          <w:spacing w:val="-2"/>
          <w:sz w:val="18"/>
          <w:lang w:val="en-GB"/>
        </w:rPr>
        <w:t>)</w:t>
      </w:r>
      <w:r w:rsidR="00706B84" w:rsidRPr="00706B84">
        <w:rPr>
          <w:b/>
          <w:spacing w:val="-2"/>
          <w:sz w:val="18"/>
          <w:highlight w:val="yellow"/>
        </w:rPr>
        <w:t xml:space="preserve"> </w:t>
      </w:r>
    </w:p>
    <w:p w14:paraId="127D1499" w14:textId="468F668E" w:rsidR="00D3299E" w:rsidRPr="00B8637A" w:rsidRDefault="00D3299E" w:rsidP="00B53A00">
      <w:pPr>
        <w:keepNext/>
        <w:spacing w:before="0" w:after="0" w:line="240" w:lineRule="auto"/>
        <w:outlineLvl w:val="0"/>
        <w:rPr>
          <w:rFonts w:eastAsia="Times New Roman" w:cs="Times New Roman"/>
          <w:b/>
          <w:bCs/>
          <w:color w:val="001D77"/>
          <w:szCs w:val="24"/>
          <w:lang w:eastAsia="pl-PL"/>
        </w:rPr>
      </w:pPr>
      <w:r>
        <w:rPr>
          <w:noProof/>
        </w:rPr>
        <w:drawing>
          <wp:inline distT="0" distB="0" distL="0" distR="0" wp14:anchorId="02D46985" wp14:editId="114C2BEE">
            <wp:extent cx="4758690" cy="3032759"/>
            <wp:effectExtent l="0" t="0" r="3810" b="0"/>
            <wp:docPr id="4" name="Wykres 4" descr="Chart 1. Dwellings fitted with installations in % of total number of dwellings in 2023 (as of 31 December)">
              <a:extLst xmlns:a="http://schemas.openxmlformats.org/drawingml/2006/main">
                <a:ext uri="{FF2B5EF4-FFF2-40B4-BE49-F238E27FC236}">
                  <a16:creationId xmlns:a16="http://schemas.microsoft.com/office/drawing/2014/main" id="{174D1722-7826-4530-9C19-74326B15CF4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A85B6A6" w14:textId="3D0F0C87" w:rsidR="00B53A00" w:rsidRPr="004071D7" w:rsidRDefault="00360FE5" w:rsidP="00B53A00">
      <w:pPr>
        <w:keepNext/>
        <w:spacing w:before="0" w:after="0" w:line="240" w:lineRule="auto"/>
        <w:outlineLvl w:val="0"/>
        <w:rPr>
          <w:rFonts w:eastAsia="Times New Roman" w:cs="Times New Roman"/>
          <w:b/>
          <w:bCs/>
          <w:color w:val="001D77"/>
          <w:szCs w:val="24"/>
          <w:lang w:val="en-US" w:eastAsia="pl-PL"/>
        </w:rPr>
      </w:pPr>
      <w:proofErr w:type="spellStart"/>
      <w:r w:rsidRPr="002D6A12">
        <w:rPr>
          <w:rFonts w:eastAsia="Times New Roman" w:cs="Times New Roman"/>
          <w:b/>
          <w:bCs/>
          <w:color w:val="001D77"/>
          <w:szCs w:val="24"/>
          <w:lang w:val="en-GB" w:eastAsia="pl-PL"/>
        </w:rPr>
        <w:t>Gminas</w:t>
      </w:r>
      <w:proofErr w:type="spellEnd"/>
      <w:r w:rsidR="00DB2480">
        <w:rPr>
          <w:rFonts w:eastAsia="Times New Roman" w:cs="Times New Roman"/>
          <w:b/>
          <w:bCs/>
          <w:color w:val="001D77"/>
          <w:szCs w:val="24"/>
          <w:lang w:val="en-GB" w:eastAsia="pl-PL"/>
        </w:rPr>
        <w:t>’</w:t>
      </w:r>
      <w:r w:rsidRPr="002D6A12">
        <w:rPr>
          <w:rFonts w:eastAsia="Times New Roman" w:cs="Times New Roman"/>
          <w:b/>
          <w:bCs/>
          <w:color w:val="001D77"/>
          <w:szCs w:val="24"/>
          <w:lang w:val="en-GB" w:eastAsia="pl-PL"/>
        </w:rPr>
        <w:t xml:space="preserve"> dwelling stocks</w:t>
      </w:r>
      <w:r w:rsidRPr="00181E90">
        <w:rPr>
          <w:rFonts w:eastAsia="Times New Roman" w:cs="Times New Roman"/>
          <w:b/>
          <w:bCs/>
          <w:noProof/>
          <w:color w:val="001D77"/>
          <w:spacing w:val="-2"/>
          <w:szCs w:val="19"/>
          <w:lang w:val="en-US" w:eastAsia="pl-PL"/>
        </w:rPr>
        <w:t xml:space="preserve"> </w:t>
      </w:r>
      <w:r w:rsidR="008E1C76" w:rsidRPr="00781CE2">
        <w:rPr>
          <w:rFonts w:eastAsia="Times New Roman" w:cs="Times New Roman"/>
          <w:b/>
          <w:bCs/>
          <w:noProof/>
          <w:color w:val="001D77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7968" behindDoc="1" locked="0" layoutInCell="1" allowOverlap="1" wp14:anchorId="64C91595" wp14:editId="7461F872">
                <wp:simplePos x="0" y="0"/>
                <wp:positionH relativeFrom="rightMargin">
                  <wp:posOffset>24765</wp:posOffset>
                </wp:positionH>
                <wp:positionV relativeFrom="paragraph">
                  <wp:posOffset>166370</wp:posOffset>
                </wp:positionV>
                <wp:extent cx="1667510" cy="866775"/>
                <wp:effectExtent l="0" t="0" r="0" b="0"/>
                <wp:wrapTight wrapText="bothSides">
                  <wp:wrapPolygon edited="0">
                    <wp:start x="740" y="0"/>
                    <wp:lineTo x="740" y="20888"/>
                    <wp:lineTo x="20728" y="20888"/>
                    <wp:lineTo x="20728" y="0"/>
                    <wp:lineTo x="740" y="0"/>
                  </wp:wrapPolygon>
                </wp:wrapTight>
                <wp:docPr id="1" name="Pole tekstowe 1" descr="As of the end of 2023, the number of premises rented from gminas' dwelling stocks was 603,241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510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E3071" w14:textId="4C4CB30F" w:rsidR="000558C2" w:rsidRPr="000558C2" w:rsidRDefault="000558C2" w:rsidP="00781CE2">
                            <w:pPr>
                              <w:pStyle w:val="tekstzboku"/>
                              <w:rPr>
                                <w:color w:val="auto"/>
                                <w:lang w:val="en-US"/>
                              </w:rPr>
                            </w:pPr>
                            <w:r w:rsidRPr="000558C2">
                              <w:rPr>
                                <w:lang w:val="en-US"/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As of the end of 202</w:t>
                            </w:r>
                            <w:r w:rsidR="005E1EC0">
                              <w:rPr>
                                <w:lang w:val="en-US"/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3</w:t>
                            </w:r>
                            <w:r w:rsidRPr="000558C2">
                              <w:rPr>
                                <w:lang w:val="en-US"/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, the number of premises rented from </w:t>
                            </w:r>
                            <w:proofErr w:type="spellStart"/>
                            <w:r w:rsidRPr="000558C2">
                              <w:rPr>
                                <w:lang w:val="en-US"/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gminas</w:t>
                            </w:r>
                            <w:proofErr w:type="spellEnd"/>
                            <w:r w:rsidR="00DB2480">
                              <w:rPr>
                                <w:lang w:val="en-US"/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’</w:t>
                            </w:r>
                            <w:r w:rsidRPr="000558C2">
                              <w:rPr>
                                <w:lang w:val="en-US"/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 dw</w:t>
                            </w:r>
                            <w:r w:rsidR="004847E5">
                              <w:rPr>
                                <w:lang w:val="en-US"/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elling stocks was 6</w:t>
                            </w:r>
                            <w:r w:rsidR="005E1EC0">
                              <w:rPr>
                                <w:lang w:val="en-US"/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03,241</w:t>
                            </w:r>
                            <w:r>
                              <w:rPr>
                                <w:lang w:val="en-US"/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91595" id="Pole tekstowe 1" o:spid="_x0000_s1029" type="#_x0000_t202" alt="As of the end of 2023, the number of premises rented from gminas' dwelling stocks was 603,241." style="position:absolute;margin-left:1.95pt;margin-top:13.1pt;width:131.3pt;height:68.25pt;z-index:-25164851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" filled="f" stroked="f">
                <v:textbox>
                  <w:txbxContent>
                    <w:p w14:paraId="5FFE3071" w14:textId="4C4CB30F" w:rsidR="000558C2" w:rsidRPr="000558C2" w:rsidRDefault="000558C2" w:rsidP="00781CE2">
                      <w:pPr>
                        <w:pStyle w:val="tekstzboku"/>
                        <w:rPr>
                          <w:color w:val="auto"/>
                          <w:lang w:val="en-US"/>
                        </w:rPr>
                      </w:pPr>
                      <w:r w:rsidRPr="000558C2">
                        <w:rPr>
                          <w:lang w:val="en-US"/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As of the end of 202</w:t>
                      </w:r>
                      <w:r w:rsidR="005E1EC0">
                        <w:rPr>
                          <w:lang w:val="en-US"/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3</w:t>
                      </w:r>
                      <w:r w:rsidRPr="000558C2">
                        <w:rPr>
                          <w:lang w:val="en-US"/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, the number of premises rented from </w:t>
                      </w:r>
                      <w:proofErr w:type="spellStart"/>
                      <w:r w:rsidRPr="000558C2">
                        <w:rPr>
                          <w:lang w:val="en-US"/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gminas</w:t>
                      </w:r>
                      <w:proofErr w:type="spellEnd"/>
                      <w:r w:rsidR="00DB2480">
                        <w:rPr>
                          <w:lang w:val="en-US"/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’</w:t>
                      </w:r>
                      <w:r w:rsidRPr="000558C2">
                        <w:rPr>
                          <w:lang w:val="en-US"/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 dw</w:t>
                      </w:r>
                      <w:r w:rsidR="004847E5">
                        <w:rPr>
                          <w:lang w:val="en-US"/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elling stocks was 6</w:t>
                      </w:r>
                      <w:r w:rsidR="005E1EC0">
                        <w:rPr>
                          <w:lang w:val="en-US"/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03,241</w:t>
                      </w:r>
                      <w:r>
                        <w:rPr>
                          <w:lang w:val="en-US"/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6BCE08A" w14:textId="5848B671" w:rsidR="00B53A00" w:rsidRPr="004071D7" w:rsidRDefault="00B53A00" w:rsidP="00781CE2">
      <w:pPr>
        <w:spacing w:before="0" w:after="0"/>
        <w:rPr>
          <w:shd w:val="clear" w:color="auto" w:fill="FFFFFF"/>
          <w:lang w:val="en-US"/>
        </w:rPr>
      </w:pPr>
    </w:p>
    <w:p w14:paraId="5E06DD4C" w14:textId="1EDFCFF4" w:rsidR="00C86FB6" w:rsidRPr="00360FE5" w:rsidRDefault="00B60075" w:rsidP="00C86FB6">
      <w:pPr>
        <w:spacing w:before="0" w:after="0"/>
        <w:rPr>
          <w:shd w:val="clear" w:color="auto" w:fill="FFFFFF"/>
          <w:lang w:val="en-GB"/>
        </w:rPr>
      </w:pPr>
      <w:proofErr w:type="spellStart"/>
      <w:r w:rsidRPr="00360FE5">
        <w:rPr>
          <w:shd w:val="clear" w:color="auto" w:fill="FFFFFF"/>
          <w:lang w:val="en-GB"/>
        </w:rPr>
        <w:t>Gminas</w:t>
      </w:r>
      <w:proofErr w:type="spellEnd"/>
      <w:r w:rsidR="00DB2480">
        <w:rPr>
          <w:shd w:val="clear" w:color="auto" w:fill="FFFFFF"/>
          <w:lang w:val="en-GB"/>
        </w:rPr>
        <w:t>’</w:t>
      </w:r>
      <w:r w:rsidRPr="00360FE5">
        <w:rPr>
          <w:shd w:val="clear" w:color="auto" w:fill="FFFFFF"/>
          <w:lang w:val="en-GB"/>
        </w:rPr>
        <w:t xml:space="preserve"> dwelling stocks should be understood as premises used for satisfying housing needs, owned by </w:t>
      </w:r>
      <w:proofErr w:type="spellStart"/>
      <w:r w:rsidRPr="00360FE5">
        <w:rPr>
          <w:shd w:val="clear" w:color="auto" w:fill="FFFFFF"/>
          <w:lang w:val="en-GB"/>
        </w:rPr>
        <w:t>gmina</w:t>
      </w:r>
      <w:proofErr w:type="spellEnd"/>
      <w:r w:rsidRPr="00360FE5">
        <w:rPr>
          <w:shd w:val="clear" w:color="auto" w:fill="FFFFFF"/>
          <w:lang w:val="en-GB"/>
        </w:rPr>
        <w:t>. As of the end of 202</w:t>
      </w:r>
      <w:r w:rsidR="005E1EC0">
        <w:rPr>
          <w:shd w:val="clear" w:color="auto" w:fill="FFFFFF"/>
          <w:lang w:val="en-GB"/>
        </w:rPr>
        <w:t>3</w:t>
      </w:r>
      <w:r w:rsidRPr="00360FE5">
        <w:rPr>
          <w:shd w:val="clear" w:color="auto" w:fill="FFFFFF"/>
          <w:lang w:val="en-GB"/>
        </w:rPr>
        <w:t>, the number of residential premises with rental contracts (excluding replacement premises and temporary premises) amounted to 6</w:t>
      </w:r>
      <w:r w:rsidR="005E1EC0">
        <w:rPr>
          <w:shd w:val="clear" w:color="auto" w:fill="FFFFFF"/>
          <w:lang w:val="en-GB"/>
        </w:rPr>
        <w:t>03,241</w:t>
      </w:r>
      <w:r w:rsidRPr="00360FE5">
        <w:rPr>
          <w:shd w:val="clear" w:color="auto" w:fill="FFFFFF"/>
          <w:lang w:val="en-GB"/>
        </w:rPr>
        <w:t xml:space="preserve"> and their useful floor area to 2</w:t>
      </w:r>
      <w:r w:rsidR="005E1EC0">
        <w:rPr>
          <w:shd w:val="clear" w:color="auto" w:fill="FFFFFF"/>
          <w:lang w:val="en-GB"/>
        </w:rPr>
        <w:t>6</w:t>
      </w:r>
      <w:r w:rsidRPr="00360FE5">
        <w:rPr>
          <w:shd w:val="clear" w:color="auto" w:fill="FFFFFF"/>
          <w:lang w:val="en-GB"/>
        </w:rPr>
        <w:t>,</w:t>
      </w:r>
      <w:r w:rsidR="005E1EC0">
        <w:rPr>
          <w:shd w:val="clear" w:color="auto" w:fill="FFFFFF"/>
          <w:lang w:val="en-GB"/>
        </w:rPr>
        <w:t>836</w:t>
      </w:r>
      <w:r w:rsidRPr="00360FE5">
        <w:rPr>
          <w:shd w:val="clear" w:color="auto" w:fill="FFFFFF"/>
          <w:lang w:val="en-GB"/>
        </w:rPr>
        <w:t>.</w:t>
      </w:r>
      <w:r w:rsidR="005E1EC0">
        <w:rPr>
          <w:shd w:val="clear" w:color="auto" w:fill="FFFFFF"/>
          <w:lang w:val="en-GB"/>
        </w:rPr>
        <w:t>2</w:t>
      </w:r>
      <w:r w:rsidRPr="00360FE5">
        <w:rPr>
          <w:shd w:val="clear" w:color="auto" w:fill="FFFFFF"/>
          <w:lang w:val="en-GB"/>
        </w:rPr>
        <w:t xml:space="preserve"> thousand m</w:t>
      </w:r>
      <w:r w:rsidRPr="00360FE5">
        <w:rPr>
          <w:shd w:val="clear" w:color="auto" w:fill="FFFFFF"/>
          <w:vertAlign w:val="superscript"/>
          <w:lang w:val="en-GB"/>
        </w:rPr>
        <w:t>2</w:t>
      </w:r>
      <w:r w:rsidR="00884808">
        <w:rPr>
          <w:shd w:val="clear" w:color="auto" w:fill="FFFFFF"/>
          <w:lang w:val="en-US"/>
        </w:rPr>
        <w:t xml:space="preserve">. </w:t>
      </w:r>
      <w:r w:rsidR="00021C8F" w:rsidRPr="00360FE5">
        <w:rPr>
          <w:shd w:val="clear" w:color="auto" w:fill="FFFFFF"/>
          <w:lang w:val="en-GB"/>
        </w:rPr>
        <w:t xml:space="preserve">Compared to </w:t>
      </w:r>
      <w:r w:rsidR="00C031BE" w:rsidRPr="00360FE5">
        <w:rPr>
          <w:shd w:val="clear" w:color="auto" w:fill="FFFFFF"/>
          <w:lang w:val="en-GB"/>
        </w:rPr>
        <w:t>202</w:t>
      </w:r>
      <w:r w:rsidR="005E1EC0">
        <w:rPr>
          <w:shd w:val="clear" w:color="auto" w:fill="FFFFFF"/>
          <w:lang w:val="en-GB"/>
        </w:rPr>
        <w:t>2</w:t>
      </w:r>
      <w:r w:rsidR="00C031BE" w:rsidRPr="00360FE5">
        <w:rPr>
          <w:shd w:val="clear" w:color="auto" w:fill="FFFFFF"/>
          <w:lang w:val="en-GB"/>
        </w:rPr>
        <w:t>, the number of rental contracts for such dwellings decreased by 1</w:t>
      </w:r>
      <w:r w:rsidR="00100FCA">
        <w:rPr>
          <w:shd w:val="clear" w:color="auto" w:fill="FFFFFF"/>
          <w:lang w:val="en-GB"/>
        </w:rPr>
        <w:t>6,458</w:t>
      </w:r>
      <w:r w:rsidR="00C031BE" w:rsidRPr="00360FE5">
        <w:rPr>
          <w:shd w:val="clear" w:color="auto" w:fill="FFFFFF"/>
          <w:lang w:val="en-GB"/>
        </w:rPr>
        <w:t xml:space="preserve"> (</w:t>
      </w:r>
      <w:r w:rsidR="00100FCA">
        <w:rPr>
          <w:shd w:val="clear" w:color="auto" w:fill="FFFFFF"/>
          <w:lang w:val="en-GB"/>
        </w:rPr>
        <w:t>2.66</w:t>
      </w:r>
      <w:r w:rsidR="00C031BE" w:rsidRPr="00360FE5">
        <w:rPr>
          <w:shd w:val="clear" w:color="auto" w:fill="FFFFFF"/>
          <w:lang w:val="en-GB"/>
        </w:rPr>
        <w:t xml:space="preserve"> %), and useful floor area of such premises </w:t>
      </w:r>
      <w:r w:rsidR="00884808">
        <w:rPr>
          <w:shd w:val="clear" w:color="auto" w:fill="FFFFFF"/>
          <w:lang w:val="en-GB"/>
        </w:rPr>
        <w:t xml:space="preserve">decreased </w:t>
      </w:r>
      <w:r w:rsidR="00C031BE" w:rsidRPr="00360FE5">
        <w:rPr>
          <w:shd w:val="clear" w:color="auto" w:fill="FFFFFF"/>
          <w:lang w:val="en-GB"/>
        </w:rPr>
        <w:t>by 6</w:t>
      </w:r>
      <w:r w:rsidR="00100FCA">
        <w:rPr>
          <w:shd w:val="clear" w:color="auto" w:fill="FFFFFF"/>
          <w:lang w:val="en-GB"/>
        </w:rPr>
        <w:t>11</w:t>
      </w:r>
      <w:r w:rsidR="00C031BE" w:rsidRPr="00360FE5">
        <w:rPr>
          <w:shd w:val="clear" w:color="auto" w:fill="FFFFFF"/>
          <w:lang w:val="en-GB"/>
        </w:rPr>
        <w:t>.</w:t>
      </w:r>
      <w:r w:rsidR="00100FCA">
        <w:rPr>
          <w:shd w:val="clear" w:color="auto" w:fill="FFFFFF"/>
          <w:lang w:val="en-GB"/>
        </w:rPr>
        <w:t>7</w:t>
      </w:r>
      <w:r w:rsidR="00C031BE" w:rsidRPr="00360FE5">
        <w:rPr>
          <w:shd w:val="clear" w:color="auto" w:fill="FFFFFF"/>
          <w:lang w:val="en-GB"/>
        </w:rPr>
        <w:t xml:space="preserve"> thousand m</w:t>
      </w:r>
      <w:r w:rsidR="00C031BE" w:rsidRPr="00360FE5">
        <w:rPr>
          <w:shd w:val="clear" w:color="auto" w:fill="FFFFFF"/>
          <w:vertAlign w:val="superscript"/>
          <w:lang w:val="en-GB"/>
        </w:rPr>
        <w:t>2</w:t>
      </w:r>
      <w:r w:rsidR="00C031BE" w:rsidRPr="00360FE5">
        <w:rPr>
          <w:shd w:val="clear" w:color="auto" w:fill="FFFFFF"/>
          <w:lang w:val="en-GB"/>
        </w:rPr>
        <w:t xml:space="preserve"> (2.</w:t>
      </w:r>
      <w:r w:rsidR="00100FCA">
        <w:rPr>
          <w:shd w:val="clear" w:color="auto" w:fill="FFFFFF"/>
          <w:lang w:val="en-GB"/>
        </w:rPr>
        <w:t>2</w:t>
      </w:r>
      <w:r w:rsidR="00C031BE" w:rsidRPr="00360FE5">
        <w:rPr>
          <w:shd w:val="clear" w:color="auto" w:fill="FFFFFF"/>
          <w:lang w:val="en-GB"/>
        </w:rPr>
        <w:t xml:space="preserve">3%). </w:t>
      </w:r>
      <w:r w:rsidR="00C86FB6" w:rsidRPr="00360FE5">
        <w:rPr>
          <w:shd w:val="clear" w:color="auto" w:fill="FFFFFF"/>
          <w:lang w:val="en-GB"/>
        </w:rPr>
        <w:t xml:space="preserve">The average useful floor area of rented premises in </w:t>
      </w:r>
      <w:proofErr w:type="spellStart"/>
      <w:r w:rsidR="00C86FB6" w:rsidRPr="00360FE5">
        <w:rPr>
          <w:shd w:val="clear" w:color="auto" w:fill="FFFFFF"/>
          <w:lang w:val="en-GB"/>
        </w:rPr>
        <w:t>gminas</w:t>
      </w:r>
      <w:proofErr w:type="spellEnd"/>
      <w:r w:rsidR="00DB2480">
        <w:rPr>
          <w:shd w:val="clear" w:color="auto" w:fill="FFFFFF"/>
          <w:lang w:val="en-GB"/>
        </w:rPr>
        <w:t>’</w:t>
      </w:r>
      <w:r w:rsidR="00C86FB6" w:rsidRPr="00360FE5">
        <w:rPr>
          <w:shd w:val="clear" w:color="auto" w:fill="FFFFFF"/>
          <w:lang w:val="en-GB"/>
        </w:rPr>
        <w:t xml:space="preserve"> dwelling stock</w:t>
      </w:r>
      <w:r w:rsidR="00884808">
        <w:rPr>
          <w:shd w:val="clear" w:color="auto" w:fill="FFFFFF"/>
          <w:lang w:val="en-GB"/>
        </w:rPr>
        <w:t xml:space="preserve">s </w:t>
      </w:r>
      <w:r w:rsidR="00E7065C">
        <w:rPr>
          <w:shd w:val="clear" w:color="auto" w:fill="FFFFFF"/>
          <w:lang w:val="en-GB"/>
        </w:rPr>
        <w:t>increased</w:t>
      </w:r>
      <w:r w:rsidR="00884808">
        <w:rPr>
          <w:shd w:val="clear" w:color="auto" w:fill="FFFFFF"/>
          <w:lang w:val="en-GB"/>
        </w:rPr>
        <w:t xml:space="preserve"> </w:t>
      </w:r>
      <w:r w:rsidR="00100FCA">
        <w:rPr>
          <w:shd w:val="clear" w:color="auto" w:fill="FFFFFF"/>
          <w:lang w:val="en-GB"/>
        </w:rPr>
        <w:t xml:space="preserve">by 0.2 </w:t>
      </w:r>
      <w:r w:rsidR="00DB2480" w:rsidRPr="00706B84">
        <w:rPr>
          <w:shd w:val="clear" w:color="auto" w:fill="FFFFFF"/>
          <w:lang w:val="en-GB"/>
        </w:rPr>
        <w:t>m</w:t>
      </w:r>
      <w:r w:rsidR="00DB2480" w:rsidRPr="00706B84">
        <w:rPr>
          <w:shd w:val="clear" w:color="auto" w:fill="FFFFFF"/>
          <w:vertAlign w:val="superscript"/>
          <w:lang w:val="en-GB"/>
        </w:rPr>
        <w:t>2</w:t>
      </w:r>
      <w:r w:rsidR="00DB2480">
        <w:rPr>
          <w:shd w:val="clear" w:color="auto" w:fill="FFFFFF"/>
          <w:vertAlign w:val="superscript"/>
          <w:lang w:val="en-GB"/>
        </w:rPr>
        <w:t xml:space="preserve"> </w:t>
      </w:r>
      <w:r w:rsidR="00884808">
        <w:rPr>
          <w:shd w:val="clear" w:color="auto" w:fill="FFFFFF"/>
          <w:lang w:val="en-GB"/>
        </w:rPr>
        <w:t>in comparison with</w:t>
      </w:r>
      <w:r w:rsidR="00382928" w:rsidRPr="00360FE5">
        <w:rPr>
          <w:shd w:val="clear" w:color="auto" w:fill="FFFFFF"/>
          <w:lang w:val="en-GB"/>
        </w:rPr>
        <w:t xml:space="preserve"> the</w:t>
      </w:r>
      <w:r w:rsidR="00C86FB6" w:rsidRPr="00360FE5">
        <w:rPr>
          <w:shd w:val="clear" w:color="auto" w:fill="FFFFFF"/>
          <w:lang w:val="en-GB"/>
        </w:rPr>
        <w:t xml:space="preserve"> 202</w:t>
      </w:r>
      <w:r w:rsidR="00E7065C">
        <w:rPr>
          <w:shd w:val="clear" w:color="auto" w:fill="FFFFFF"/>
          <w:lang w:val="en-GB"/>
        </w:rPr>
        <w:t>2</w:t>
      </w:r>
      <w:r w:rsidR="00C86FB6" w:rsidRPr="00360FE5">
        <w:rPr>
          <w:shd w:val="clear" w:color="auto" w:fill="FFFFFF"/>
          <w:lang w:val="en-GB"/>
        </w:rPr>
        <w:t xml:space="preserve">, and it was </w:t>
      </w:r>
      <w:r w:rsidR="00C86FB6" w:rsidRPr="00706B84">
        <w:rPr>
          <w:shd w:val="clear" w:color="auto" w:fill="FFFFFF"/>
          <w:lang w:val="en-GB"/>
        </w:rPr>
        <w:t>44.</w:t>
      </w:r>
      <w:r w:rsidR="00E7065C" w:rsidRPr="00706B84">
        <w:rPr>
          <w:shd w:val="clear" w:color="auto" w:fill="FFFFFF"/>
          <w:lang w:val="en-GB"/>
        </w:rPr>
        <w:t>5</w:t>
      </w:r>
      <w:r w:rsidR="00C86FB6" w:rsidRPr="00706B84">
        <w:rPr>
          <w:shd w:val="clear" w:color="auto" w:fill="FFFFFF"/>
          <w:lang w:val="en-GB"/>
        </w:rPr>
        <w:t xml:space="preserve"> m</w:t>
      </w:r>
      <w:r w:rsidR="00C86FB6" w:rsidRPr="00706B84">
        <w:rPr>
          <w:shd w:val="clear" w:color="auto" w:fill="FFFFFF"/>
          <w:vertAlign w:val="superscript"/>
          <w:lang w:val="en-GB"/>
        </w:rPr>
        <w:t>2</w:t>
      </w:r>
      <w:r w:rsidR="00C86FB6" w:rsidRPr="00706B84">
        <w:rPr>
          <w:shd w:val="clear" w:color="auto" w:fill="FFFFFF"/>
          <w:lang w:val="en-GB"/>
        </w:rPr>
        <w:t>.</w:t>
      </w:r>
    </w:p>
    <w:p w14:paraId="48649775" w14:textId="77777777" w:rsidR="00C86FB6" w:rsidRPr="00360FE5" w:rsidRDefault="00C86FB6" w:rsidP="00C86FB6">
      <w:pPr>
        <w:spacing w:before="0" w:after="0"/>
        <w:rPr>
          <w:highlight w:val="yellow"/>
          <w:shd w:val="clear" w:color="auto" w:fill="FFFFFF"/>
          <w:lang w:val="en-GB"/>
        </w:rPr>
      </w:pPr>
    </w:p>
    <w:p w14:paraId="6E513306" w14:textId="3136A2FB" w:rsidR="00DE3958" w:rsidRDefault="00021C8F" w:rsidP="00DE3958">
      <w:pPr>
        <w:spacing w:before="0" w:after="0"/>
        <w:rPr>
          <w:shd w:val="clear" w:color="auto" w:fill="FFFFFF"/>
          <w:lang w:val="en-GB"/>
        </w:rPr>
      </w:pPr>
      <w:r w:rsidRPr="00360FE5">
        <w:rPr>
          <w:shd w:val="clear" w:color="auto" w:fill="FFFFFF"/>
          <w:lang w:val="en-GB"/>
        </w:rPr>
        <w:t>As of 31 December 202</w:t>
      </w:r>
      <w:r w:rsidR="00706B84">
        <w:rPr>
          <w:shd w:val="clear" w:color="auto" w:fill="FFFFFF"/>
          <w:lang w:val="en-GB"/>
        </w:rPr>
        <w:t>3</w:t>
      </w:r>
      <w:r w:rsidRPr="00360FE5">
        <w:rPr>
          <w:shd w:val="clear" w:color="auto" w:fill="FFFFFF"/>
          <w:lang w:val="en-GB"/>
        </w:rPr>
        <w:t>, the number of residential premises with social rental agreements amounted to 6</w:t>
      </w:r>
      <w:r w:rsidR="00706B84">
        <w:rPr>
          <w:shd w:val="clear" w:color="auto" w:fill="FFFFFF"/>
          <w:lang w:val="en-GB"/>
        </w:rPr>
        <w:t>3</w:t>
      </w:r>
      <w:r w:rsidRPr="00360FE5">
        <w:rPr>
          <w:shd w:val="clear" w:color="auto" w:fill="FFFFFF"/>
          <w:lang w:val="en-GB"/>
        </w:rPr>
        <w:t>,</w:t>
      </w:r>
      <w:r w:rsidR="00706B84">
        <w:rPr>
          <w:shd w:val="clear" w:color="auto" w:fill="FFFFFF"/>
          <w:lang w:val="en-GB"/>
        </w:rPr>
        <w:t>779</w:t>
      </w:r>
      <w:r w:rsidRPr="00360FE5">
        <w:rPr>
          <w:shd w:val="clear" w:color="auto" w:fill="FFFFFF"/>
          <w:lang w:val="en-GB"/>
        </w:rPr>
        <w:t xml:space="preserve"> and was lower by </w:t>
      </w:r>
      <w:r w:rsidR="00706B84">
        <w:rPr>
          <w:shd w:val="clear" w:color="auto" w:fill="FFFFFF"/>
          <w:lang w:val="en-GB"/>
        </w:rPr>
        <w:t>2</w:t>
      </w:r>
      <w:r w:rsidRPr="00360FE5">
        <w:rPr>
          <w:shd w:val="clear" w:color="auto" w:fill="FFFFFF"/>
          <w:lang w:val="en-GB"/>
        </w:rPr>
        <w:t>.</w:t>
      </w:r>
      <w:r w:rsidR="00706B84">
        <w:rPr>
          <w:shd w:val="clear" w:color="auto" w:fill="FFFFFF"/>
          <w:lang w:val="en-GB"/>
        </w:rPr>
        <w:t>8</w:t>
      </w:r>
      <w:r w:rsidRPr="00360FE5">
        <w:rPr>
          <w:shd w:val="clear" w:color="auto" w:fill="FFFFFF"/>
          <w:lang w:val="en-GB"/>
        </w:rPr>
        <w:t xml:space="preserve"> % </w:t>
      </w:r>
      <w:r w:rsidR="00884808">
        <w:rPr>
          <w:shd w:val="clear" w:color="auto" w:fill="FFFFFF"/>
          <w:lang w:val="en-GB"/>
        </w:rPr>
        <w:t>(</w:t>
      </w:r>
      <w:r w:rsidRPr="00360FE5">
        <w:rPr>
          <w:shd w:val="clear" w:color="auto" w:fill="FFFFFF"/>
          <w:lang w:val="en-GB"/>
        </w:rPr>
        <w:t>compared to 202</w:t>
      </w:r>
      <w:r w:rsidR="00706B84">
        <w:rPr>
          <w:shd w:val="clear" w:color="auto" w:fill="FFFFFF"/>
          <w:lang w:val="en-GB"/>
        </w:rPr>
        <w:t>2</w:t>
      </w:r>
      <w:r w:rsidR="00884808">
        <w:rPr>
          <w:shd w:val="clear" w:color="auto" w:fill="FFFFFF"/>
          <w:lang w:val="en-GB"/>
        </w:rPr>
        <w:t>)</w:t>
      </w:r>
      <w:r w:rsidRPr="00360FE5">
        <w:rPr>
          <w:shd w:val="clear" w:color="auto" w:fill="FFFFFF"/>
          <w:lang w:val="en-GB"/>
        </w:rPr>
        <w:t>, and their useful floor area to 2,</w:t>
      </w:r>
      <w:r w:rsidR="00DE3958" w:rsidRPr="00360FE5">
        <w:rPr>
          <w:shd w:val="clear" w:color="auto" w:fill="FFFFFF"/>
          <w:lang w:val="en-GB"/>
        </w:rPr>
        <w:t>2</w:t>
      </w:r>
      <w:r w:rsidR="00706B84">
        <w:rPr>
          <w:shd w:val="clear" w:color="auto" w:fill="FFFFFF"/>
          <w:lang w:val="en-GB"/>
        </w:rPr>
        <w:t>20</w:t>
      </w:r>
      <w:r w:rsidRPr="00360FE5">
        <w:rPr>
          <w:shd w:val="clear" w:color="auto" w:fill="FFFFFF"/>
          <w:lang w:val="en-GB"/>
        </w:rPr>
        <w:t>.</w:t>
      </w:r>
      <w:r w:rsidR="00706B84">
        <w:rPr>
          <w:shd w:val="clear" w:color="auto" w:fill="FFFFFF"/>
          <w:lang w:val="en-GB"/>
        </w:rPr>
        <w:t>4</w:t>
      </w:r>
      <w:r w:rsidRPr="00360FE5">
        <w:rPr>
          <w:shd w:val="clear" w:color="auto" w:fill="FFFFFF"/>
          <w:lang w:val="en-GB"/>
        </w:rPr>
        <w:t xml:space="preserve"> thousand m</w:t>
      </w:r>
      <w:r w:rsidRPr="00360FE5">
        <w:rPr>
          <w:shd w:val="clear" w:color="auto" w:fill="FFFFFF"/>
          <w:vertAlign w:val="superscript"/>
          <w:lang w:val="en-GB"/>
        </w:rPr>
        <w:t>2</w:t>
      </w:r>
      <w:r w:rsidRPr="00360FE5">
        <w:rPr>
          <w:shd w:val="clear" w:color="auto" w:fill="FFFFFF"/>
          <w:lang w:val="en-GB"/>
        </w:rPr>
        <w:t xml:space="preserve"> (a decrease of </w:t>
      </w:r>
      <w:r w:rsidR="00706B84">
        <w:rPr>
          <w:shd w:val="clear" w:color="auto" w:fill="FFFFFF"/>
          <w:lang w:val="en-GB"/>
        </w:rPr>
        <w:t>2.5</w:t>
      </w:r>
      <w:r w:rsidR="00DE3958" w:rsidRPr="00360FE5">
        <w:rPr>
          <w:shd w:val="clear" w:color="auto" w:fill="FFFFFF"/>
          <w:lang w:val="en-GB"/>
        </w:rPr>
        <w:t xml:space="preserve"> </w:t>
      </w:r>
      <w:r w:rsidRPr="00360FE5">
        <w:rPr>
          <w:shd w:val="clear" w:color="auto" w:fill="FFFFFF"/>
          <w:lang w:val="en-GB"/>
        </w:rPr>
        <w:t xml:space="preserve">%). </w:t>
      </w:r>
      <w:proofErr w:type="spellStart"/>
      <w:r w:rsidR="00E01455" w:rsidRPr="00360FE5">
        <w:rPr>
          <w:shd w:val="clear" w:color="auto" w:fill="FFFFFF"/>
          <w:lang w:val="en-GB"/>
        </w:rPr>
        <w:t>G</w:t>
      </w:r>
      <w:r w:rsidR="00DE3958" w:rsidRPr="00360FE5">
        <w:rPr>
          <w:shd w:val="clear" w:color="auto" w:fill="FFFFFF"/>
          <w:lang w:val="en-GB"/>
        </w:rPr>
        <w:t>minas</w:t>
      </w:r>
      <w:proofErr w:type="spellEnd"/>
      <w:r w:rsidR="00DE3958" w:rsidRPr="00360FE5">
        <w:rPr>
          <w:shd w:val="clear" w:color="auto" w:fill="FFFFFF"/>
          <w:lang w:val="en-GB"/>
        </w:rPr>
        <w:t xml:space="preserve"> had rental contracts for 1,</w:t>
      </w:r>
      <w:r w:rsidR="00E01455" w:rsidRPr="00360FE5">
        <w:rPr>
          <w:shd w:val="clear" w:color="auto" w:fill="FFFFFF"/>
          <w:lang w:val="en-GB"/>
        </w:rPr>
        <w:t>82</w:t>
      </w:r>
      <w:r w:rsidR="00706B84">
        <w:rPr>
          <w:shd w:val="clear" w:color="auto" w:fill="FFFFFF"/>
          <w:lang w:val="en-GB"/>
        </w:rPr>
        <w:t>7</w:t>
      </w:r>
      <w:r w:rsidR="00DE3958" w:rsidRPr="00360FE5">
        <w:rPr>
          <w:shd w:val="clear" w:color="auto" w:fill="FFFFFF"/>
          <w:lang w:val="en-GB"/>
        </w:rPr>
        <w:t xml:space="preserve"> temporary premises with useful floor area of </w:t>
      </w:r>
      <w:r w:rsidR="00E01455" w:rsidRPr="00360FE5">
        <w:rPr>
          <w:shd w:val="clear" w:color="auto" w:fill="FFFFFF"/>
          <w:lang w:val="en-GB"/>
        </w:rPr>
        <w:t>4</w:t>
      </w:r>
      <w:r w:rsidR="00706B84">
        <w:rPr>
          <w:shd w:val="clear" w:color="auto" w:fill="FFFFFF"/>
          <w:lang w:val="en-GB"/>
        </w:rPr>
        <w:t>3</w:t>
      </w:r>
      <w:r w:rsidR="00E01455" w:rsidRPr="00360FE5">
        <w:rPr>
          <w:shd w:val="clear" w:color="auto" w:fill="FFFFFF"/>
          <w:lang w:val="en-GB"/>
        </w:rPr>
        <w:t>.</w:t>
      </w:r>
      <w:r w:rsidR="00706B84">
        <w:rPr>
          <w:shd w:val="clear" w:color="auto" w:fill="FFFFFF"/>
          <w:lang w:val="en-GB"/>
        </w:rPr>
        <w:t>5</w:t>
      </w:r>
      <w:r w:rsidR="00DE3958" w:rsidRPr="00360FE5">
        <w:rPr>
          <w:shd w:val="clear" w:color="auto" w:fill="FFFFFF"/>
          <w:lang w:val="en-GB"/>
        </w:rPr>
        <w:t xml:space="preserve"> thousand m</w:t>
      </w:r>
      <w:r w:rsidR="00DE3958" w:rsidRPr="00360FE5">
        <w:rPr>
          <w:shd w:val="clear" w:color="auto" w:fill="FFFFFF"/>
          <w:vertAlign w:val="superscript"/>
          <w:lang w:val="en-GB"/>
        </w:rPr>
        <w:t>2</w:t>
      </w:r>
      <w:r w:rsidR="00DE3958" w:rsidRPr="00360FE5">
        <w:rPr>
          <w:shd w:val="clear" w:color="auto" w:fill="FFFFFF"/>
          <w:lang w:val="en-GB"/>
        </w:rPr>
        <w:t xml:space="preserve">. </w:t>
      </w:r>
    </w:p>
    <w:p w14:paraId="18174C4E" w14:textId="370828A9" w:rsidR="00706B84" w:rsidRPr="00360FE5" w:rsidRDefault="00DB2480" w:rsidP="00DE3958">
      <w:pPr>
        <w:spacing w:before="0" w:after="0"/>
        <w:rPr>
          <w:shd w:val="clear" w:color="auto" w:fill="FFFFFF"/>
          <w:lang w:val="en-GB"/>
        </w:rPr>
      </w:pPr>
      <w:r w:rsidRPr="00360FE5">
        <w:rPr>
          <w:rFonts w:eastAsia="Times New Roman" w:cs="Times New Roman"/>
          <w:b/>
          <w:bCs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944" behindDoc="1" locked="0" layoutInCell="1" allowOverlap="1" wp14:anchorId="73DB514D" wp14:editId="4A1ABDA2">
                <wp:simplePos x="0" y="0"/>
                <wp:positionH relativeFrom="rightMargin">
                  <wp:posOffset>37465</wp:posOffset>
                </wp:positionH>
                <wp:positionV relativeFrom="paragraph">
                  <wp:posOffset>27940</wp:posOffset>
                </wp:positionV>
                <wp:extent cx="1667510" cy="1201420"/>
                <wp:effectExtent l="0" t="0" r="0" b="0"/>
                <wp:wrapTight wrapText="bothSides">
                  <wp:wrapPolygon edited="0">
                    <wp:start x="740" y="0"/>
                    <wp:lineTo x="740" y="21235"/>
                    <wp:lineTo x="20728" y="21235"/>
                    <wp:lineTo x="20728" y="0"/>
                    <wp:lineTo x="740" y="0"/>
                  </wp:wrapPolygon>
                </wp:wrapTight>
                <wp:docPr id="197" name="Pole tekstowe 197" descr="Compared to 2022, number of households waiting for residential premises rental from gminas decreased by 2.1 %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510" cy="1201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31987" w14:textId="081E0D0B" w:rsidR="000558C2" w:rsidRPr="007F19C0" w:rsidRDefault="007F19C0" w:rsidP="00781CE2">
                            <w:pPr>
                              <w:pStyle w:val="tekstzboku"/>
                              <w:rPr>
                                <w:color w:val="auto"/>
                                <w:lang w:val="en-US"/>
                              </w:rPr>
                            </w:pPr>
                            <w:r w:rsidRPr="007F19C0">
                              <w:rPr>
                                <w:lang w:val="en-US"/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Compared to 202</w:t>
                            </w:r>
                            <w:r w:rsidR="00706B84">
                              <w:rPr>
                                <w:lang w:val="en-US"/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2</w:t>
                            </w:r>
                            <w:r w:rsidRPr="007F19C0">
                              <w:rPr>
                                <w:lang w:val="en-US"/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, number of households waiting for residential premises rental from </w:t>
                            </w:r>
                            <w:proofErr w:type="spellStart"/>
                            <w:r w:rsidRPr="007F19C0">
                              <w:rPr>
                                <w:lang w:val="en-US"/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gminas</w:t>
                            </w:r>
                            <w:proofErr w:type="spellEnd"/>
                            <w:r w:rsidRPr="007F19C0">
                              <w:rPr>
                                <w:lang w:val="en-US"/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 decreased by 2.</w:t>
                            </w:r>
                            <w:r w:rsidR="00706B84">
                              <w:rPr>
                                <w:lang w:val="en-US"/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1</w:t>
                            </w:r>
                            <w:r w:rsidRPr="007F19C0">
                              <w:rPr>
                                <w:lang w:val="en-US"/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 %</w:t>
                            </w:r>
                            <w:r>
                              <w:rPr>
                                <w:lang w:val="en-US"/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.</w:t>
                            </w:r>
                            <w:r w:rsidR="000558C2" w:rsidRPr="007F19C0">
                              <w:rPr>
                                <w:lang w:val="en-US"/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14:paraId="66872A08" w14:textId="77777777" w:rsidR="000558C2" w:rsidRPr="007F19C0" w:rsidRDefault="000558C2" w:rsidP="00781CE2">
                            <w:pPr>
                              <w:pStyle w:val="tekstzboku"/>
                              <w:rPr>
                                <w:color w:val="auto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B514D" id="Pole tekstowe 197" o:spid="_x0000_s1030" type="#_x0000_t202" alt="Compared to 2022, number of households waiting for residential premises rental from gminas decreased by 2.1 %. " style="position:absolute;margin-left:2.95pt;margin-top:2.2pt;width:131.3pt;height:94.6pt;z-index:-25164953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" filled="f" stroked="f">
                <v:textbox>
                  <w:txbxContent>
                    <w:p w14:paraId="3DD31987" w14:textId="081E0D0B" w:rsidR="000558C2" w:rsidRPr="007F19C0" w:rsidRDefault="007F19C0" w:rsidP="00781CE2">
                      <w:pPr>
                        <w:pStyle w:val="tekstzboku"/>
                        <w:rPr>
                          <w:color w:val="auto"/>
                          <w:lang w:val="en-US"/>
                        </w:rPr>
                      </w:pPr>
                      <w:r w:rsidRPr="007F19C0">
                        <w:rPr>
                          <w:lang w:val="en-US"/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Compared to 202</w:t>
                      </w:r>
                      <w:r w:rsidR="00706B84">
                        <w:rPr>
                          <w:lang w:val="en-US"/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2</w:t>
                      </w:r>
                      <w:r w:rsidRPr="007F19C0">
                        <w:rPr>
                          <w:lang w:val="en-US"/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, number of households waiting for residential premises rental from </w:t>
                      </w:r>
                      <w:proofErr w:type="spellStart"/>
                      <w:r w:rsidRPr="007F19C0">
                        <w:rPr>
                          <w:lang w:val="en-US"/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gminas</w:t>
                      </w:r>
                      <w:proofErr w:type="spellEnd"/>
                      <w:r w:rsidRPr="007F19C0">
                        <w:rPr>
                          <w:lang w:val="en-US"/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 decreased by 2.</w:t>
                      </w:r>
                      <w:r w:rsidR="00706B84">
                        <w:rPr>
                          <w:lang w:val="en-US"/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1</w:t>
                      </w:r>
                      <w:r w:rsidRPr="007F19C0">
                        <w:rPr>
                          <w:lang w:val="en-US"/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 %</w:t>
                      </w:r>
                      <w:r>
                        <w:rPr>
                          <w:lang w:val="en-US"/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.</w:t>
                      </w:r>
                      <w:r w:rsidR="000558C2" w:rsidRPr="007F19C0">
                        <w:rPr>
                          <w:lang w:val="en-US"/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 </w:t>
                      </w:r>
                    </w:p>
                    <w:p w14:paraId="66872A08" w14:textId="77777777" w:rsidR="000558C2" w:rsidRPr="007F19C0" w:rsidRDefault="000558C2" w:rsidP="00781CE2">
                      <w:pPr>
                        <w:pStyle w:val="tekstzboku"/>
                        <w:rPr>
                          <w:color w:val="auto"/>
                          <w:lang w:val="en-US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386DB951" w14:textId="69ECA879" w:rsidR="00F6000C" w:rsidRPr="00706B84" w:rsidRDefault="00F6000C" w:rsidP="00706B84">
      <w:pPr>
        <w:spacing w:before="0" w:after="0"/>
        <w:rPr>
          <w:shd w:val="clear" w:color="auto" w:fill="FFFFFF"/>
          <w:lang w:val="en-GB"/>
        </w:rPr>
      </w:pPr>
      <w:r w:rsidRPr="00360FE5">
        <w:rPr>
          <w:shd w:val="clear" w:color="auto" w:fill="FFFFFF"/>
          <w:lang w:val="en-GB"/>
        </w:rPr>
        <w:t>In 202</w:t>
      </w:r>
      <w:r w:rsidR="00706B84">
        <w:rPr>
          <w:shd w:val="clear" w:color="auto" w:fill="FFFFFF"/>
          <w:lang w:val="en-GB"/>
        </w:rPr>
        <w:t>3</w:t>
      </w:r>
      <w:r w:rsidRPr="00360FE5">
        <w:rPr>
          <w:shd w:val="clear" w:color="auto" w:fill="FFFFFF"/>
          <w:lang w:val="en-GB"/>
        </w:rPr>
        <w:t>, as many as 12</w:t>
      </w:r>
      <w:r w:rsidR="00706B84">
        <w:rPr>
          <w:shd w:val="clear" w:color="auto" w:fill="FFFFFF"/>
          <w:lang w:val="en-GB"/>
        </w:rPr>
        <w:t>3</w:t>
      </w:r>
      <w:r w:rsidRPr="00360FE5">
        <w:rPr>
          <w:shd w:val="clear" w:color="auto" w:fill="FFFFFF"/>
          <w:lang w:val="en-GB"/>
        </w:rPr>
        <w:t>,</w:t>
      </w:r>
      <w:r w:rsidR="00706B84">
        <w:rPr>
          <w:shd w:val="clear" w:color="auto" w:fill="FFFFFF"/>
          <w:lang w:val="en-GB"/>
        </w:rPr>
        <w:t>805</w:t>
      </w:r>
      <w:r w:rsidRPr="00360FE5">
        <w:rPr>
          <w:shd w:val="clear" w:color="auto" w:fill="FFFFFF"/>
          <w:lang w:val="en-GB"/>
        </w:rPr>
        <w:t xml:space="preserve"> households waited for </w:t>
      </w:r>
      <w:proofErr w:type="spellStart"/>
      <w:r w:rsidRPr="00360FE5">
        <w:rPr>
          <w:shd w:val="clear" w:color="auto" w:fill="FFFFFF"/>
          <w:lang w:val="en-GB"/>
        </w:rPr>
        <w:t>gminas</w:t>
      </w:r>
      <w:proofErr w:type="spellEnd"/>
      <w:r w:rsidRPr="00360FE5">
        <w:rPr>
          <w:shd w:val="clear" w:color="auto" w:fill="FFFFFF"/>
          <w:lang w:val="en-GB"/>
        </w:rPr>
        <w:t>’ stocks rental (excluding replacement premises and temporary premises</w:t>
      </w:r>
      <w:r w:rsidRPr="003D4A6E">
        <w:rPr>
          <w:shd w:val="clear" w:color="auto" w:fill="FFFFFF"/>
          <w:lang w:val="en-GB"/>
        </w:rPr>
        <w:t>).</w:t>
      </w:r>
      <w:r w:rsidRPr="001119D6">
        <w:rPr>
          <w:color w:val="FF0000"/>
          <w:shd w:val="clear" w:color="auto" w:fill="FFFFFF"/>
          <w:lang w:val="en-GB"/>
        </w:rPr>
        <w:t xml:space="preserve"> </w:t>
      </w:r>
      <w:r w:rsidRPr="00360FE5">
        <w:rPr>
          <w:shd w:val="clear" w:color="auto" w:fill="FFFFFF"/>
          <w:lang w:val="en-GB"/>
        </w:rPr>
        <w:t>Compared to 202</w:t>
      </w:r>
      <w:r w:rsidR="00706B84">
        <w:rPr>
          <w:shd w:val="clear" w:color="auto" w:fill="FFFFFF"/>
          <w:lang w:val="en-GB"/>
        </w:rPr>
        <w:t>2</w:t>
      </w:r>
      <w:r w:rsidRPr="00360FE5">
        <w:rPr>
          <w:shd w:val="clear" w:color="auto" w:fill="FFFFFF"/>
          <w:lang w:val="en-GB"/>
        </w:rPr>
        <w:t xml:space="preserve">, number of households waited for rental of premises being part of </w:t>
      </w:r>
      <w:proofErr w:type="spellStart"/>
      <w:r w:rsidRPr="00360FE5">
        <w:rPr>
          <w:shd w:val="clear" w:color="auto" w:fill="FFFFFF"/>
          <w:lang w:val="en-GB"/>
        </w:rPr>
        <w:t>gminas</w:t>
      </w:r>
      <w:proofErr w:type="spellEnd"/>
      <w:r w:rsidRPr="00360FE5">
        <w:rPr>
          <w:shd w:val="clear" w:color="auto" w:fill="FFFFFF"/>
          <w:lang w:val="en-GB"/>
        </w:rPr>
        <w:t>’ dwelling stocks decreased by 2.</w:t>
      </w:r>
      <w:r w:rsidR="00706B84">
        <w:rPr>
          <w:shd w:val="clear" w:color="auto" w:fill="FFFFFF"/>
          <w:lang w:val="en-GB"/>
        </w:rPr>
        <w:t>1</w:t>
      </w:r>
      <w:r w:rsidRPr="00360FE5">
        <w:rPr>
          <w:shd w:val="clear" w:color="auto" w:fill="FFFFFF"/>
          <w:lang w:val="en-GB"/>
        </w:rPr>
        <w:t> %.</w:t>
      </w:r>
      <w:r w:rsidR="00706B84">
        <w:rPr>
          <w:shd w:val="clear" w:color="auto" w:fill="FFFFFF"/>
          <w:lang w:val="en-GB"/>
        </w:rPr>
        <w:t xml:space="preserve"> 67</w:t>
      </w:r>
      <w:r w:rsidRPr="00360FE5">
        <w:rPr>
          <w:shd w:val="clear" w:color="auto" w:fill="FFFFFF"/>
          <w:lang w:val="en-GB"/>
        </w:rPr>
        <w:t>,</w:t>
      </w:r>
      <w:r w:rsidR="00706B84">
        <w:rPr>
          <w:shd w:val="clear" w:color="auto" w:fill="FFFFFF"/>
          <w:lang w:val="en-GB"/>
        </w:rPr>
        <w:t>37</w:t>
      </w:r>
      <w:r w:rsidRPr="00360FE5">
        <w:rPr>
          <w:shd w:val="clear" w:color="auto" w:fill="FFFFFF"/>
          <w:lang w:val="en-GB"/>
        </w:rPr>
        <w:t xml:space="preserve">2 households waited for social renting (a decrease of </w:t>
      </w:r>
      <w:r w:rsidR="00706B84">
        <w:rPr>
          <w:shd w:val="clear" w:color="auto" w:fill="FFFFFF"/>
          <w:lang w:val="en-GB"/>
        </w:rPr>
        <w:t>4,0</w:t>
      </w:r>
      <w:r w:rsidRPr="00360FE5">
        <w:rPr>
          <w:shd w:val="clear" w:color="auto" w:fill="FFFFFF"/>
          <w:lang w:val="en-GB"/>
        </w:rPr>
        <w:t> % compared to 20</w:t>
      </w:r>
      <w:r w:rsidR="007F19C0" w:rsidRPr="00360FE5">
        <w:rPr>
          <w:shd w:val="clear" w:color="auto" w:fill="FFFFFF"/>
          <w:lang w:val="en-GB"/>
        </w:rPr>
        <w:t>2</w:t>
      </w:r>
      <w:r w:rsidR="00706B84">
        <w:rPr>
          <w:shd w:val="clear" w:color="auto" w:fill="FFFFFF"/>
          <w:lang w:val="en-GB"/>
        </w:rPr>
        <w:t>2</w:t>
      </w:r>
      <w:r w:rsidRPr="00360FE5">
        <w:rPr>
          <w:shd w:val="clear" w:color="auto" w:fill="FFFFFF"/>
          <w:lang w:val="en-GB"/>
        </w:rPr>
        <w:t xml:space="preserve">), of which </w:t>
      </w:r>
      <w:r w:rsidR="00706B84">
        <w:rPr>
          <w:shd w:val="clear" w:color="auto" w:fill="FFFFFF"/>
          <w:lang w:val="en-GB"/>
        </w:rPr>
        <w:t>38</w:t>
      </w:r>
      <w:r w:rsidRPr="00360FE5">
        <w:rPr>
          <w:shd w:val="clear" w:color="auto" w:fill="FFFFFF"/>
          <w:lang w:val="en-GB"/>
        </w:rPr>
        <w:t>,</w:t>
      </w:r>
      <w:r w:rsidR="00706B84">
        <w:rPr>
          <w:shd w:val="clear" w:color="auto" w:fill="FFFFFF"/>
          <w:lang w:val="en-GB"/>
        </w:rPr>
        <w:t>274</w:t>
      </w:r>
      <w:r w:rsidRPr="00360FE5">
        <w:rPr>
          <w:shd w:val="clear" w:color="auto" w:fill="FFFFFF"/>
          <w:lang w:val="en-GB"/>
        </w:rPr>
        <w:t xml:space="preserve"> of households under execution of eviction sentences (a decrease of </w:t>
      </w:r>
      <w:r w:rsidR="007F19C0" w:rsidRPr="00360FE5">
        <w:rPr>
          <w:shd w:val="clear" w:color="auto" w:fill="FFFFFF"/>
          <w:lang w:val="en-GB"/>
        </w:rPr>
        <w:t>4.</w:t>
      </w:r>
      <w:r w:rsidR="00706B84">
        <w:rPr>
          <w:shd w:val="clear" w:color="auto" w:fill="FFFFFF"/>
          <w:lang w:val="en-GB"/>
        </w:rPr>
        <w:t>4</w:t>
      </w:r>
      <w:r w:rsidRPr="00360FE5">
        <w:rPr>
          <w:shd w:val="clear" w:color="auto" w:fill="FFFFFF"/>
          <w:lang w:val="en-GB"/>
        </w:rPr>
        <w:t> %).</w:t>
      </w:r>
    </w:p>
    <w:p w14:paraId="70BAB6DA" w14:textId="77777777" w:rsidR="0044573A" w:rsidRDefault="0044573A" w:rsidP="0042030D">
      <w:pPr>
        <w:spacing w:before="0" w:after="0"/>
        <w:rPr>
          <w:shd w:val="clear" w:color="auto" w:fill="FFFFFF"/>
          <w:lang w:val="en-US"/>
        </w:rPr>
      </w:pPr>
    </w:p>
    <w:p w14:paraId="7556FE0C" w14:textId="1B850B6D" w:rsidR="003B1B67" w:rsidRPr="00281994" w:rsidRDefault="003B1B67" w:rsidP="003B1B67">
      <w:pPr>
        <w:spacing w:after="0" w:line="240" w:lineRule="auto"/>
        <w:ind w:left="709" w:hanging="709"/>
        <w:rPr>
          <w:spacing w:val="-2"/>
          <w:sz w:val="18"/>
          <w:lang w:val="en-GB"/>
        </w:rPr>
      </w:pPr>
      <w:r w:rsidRPr="00281994">
        <w:rPr>
          <w:b/>
          <w:spacing w:val="-2"/>
          <w:sz w:val="18"/>
          <w:lang w:val="en-GB"/>
        </w:rPr>
        <w:lastRenderedPageBreak/>
        <w:t xml:space="preserve">Table </w:t>
      </w:r>
      <w:r>
        <w:rPr>
          <w:b/>
          <w:spacing w:val="-2"/>
          <w:sz w:val="18"/>
          <w:lang w:val="en-GB"/>
        </w:rPr>
        <w:t>2</w:t>
      </w:r>
      <w:r w:rsidRPr="00281994">
        <w:rPr>
          <w:b/>
          <w:spacing w:val="-2"/>
          <w:sz w:val="18"/>
          <w:lang w:val="en-GB"/>
        </w:rPr>
        <w:t xml:space="preserve">. Households waiting for </w:t>
      </w:r>
      <w:r>
        <w:rPr>
          <w:b/>
          <w:spacing w:val="-2"/>
          <w:sz w:val="18"/>
          <w:lang w:val="en-GB"/>
        </w:rPr>
        <w:t>r</w:t>
      </w:r>
      <w:r w:rsidRPr="00281994">
        <w:rPr>
          <w:b/>
          <w:spacing w:val="-2"/>
          <w:sz w:val="18"/>
          <w:lang w:val="en-GB"/>
        </w:rPr>
        <w:t xml:space="preserve">esidential premises </w:t>
      </w:r>
      <w:r w:rsidRPr="005753F2">
        <w:rPr>
          <w:b/>
          <w:spacing w:val="-2"/>
          <w:sz w:val="18"/>
          <w:lang w:val="en-GB"/>
        </w:rPr>
        <w:t xml:space="preserve">and temporary premises </w:t>
      </w:r>
      <w:r w:rsidRPr="00281994">
        <w:rPr>
          <w:b/>
          <w:spacing w:val="-2"/>
          <w:sz w:val="18"/>
          <w:lang w:val="en-GB"/>
        </w:rPr>
        <w:t xml:space="preserve">rental from </w:t>
      </w:r>
      <w:proofErr w:type="spellStart"/>
      <w:r w:rsidRPr="00281994">
        <w:rPr>
          <w:b/>
          <w:spacing w:val="-2"/>
          <w:sz w:val="18"/>
          <w:lang w:val="en-GB"/>
        </w:rPr>
        <w:t>gmina</w:t>
      </w:r>
      <w:r>
        <w:rPr>
          <w:b/>
          <w:spacing w:val="-2"/>
          <w:sz w:val="18"/>
          <w:lang w:val="en-GB"/>
        </w:rPr>
        <w:t>s</w:t>
      </w:r>
      <w:proofErr w:type="spellEnd"/>
      <w:r>
        <w:rPr>
          <w:b/>
          <w:spacing w:val="-2"/>
          <w:sz w:val="18"/>
          <w:lang w:val="en-GB"/>
        </w:rPr>
        <w:t>’   dwelling stocks</w:t>
      </w:r>
      <w:r w:rsidRPr="00281994">
        <w:rPr>
          <w:b/>
          <w:spacing w:val="-2"/>
          <w:sz w:val="18"/>
          <w:lang w:val="en-GB"/>
        </w:rPr>
        <w:t xml:space="preserve"> – as of 31</w:t>
      </w:r>
      <w:r w:rsidR="002655AB">
        <w:rPr>
          <w:b/>
          <w:spacing w:val="-2"/>
          <w:sz w:val="18"/>
          <w:lang w:val="en-GB"/>
        </w:rPr>
        <w:t xml:space="preserve"> December </w:t>
      </w:r>
      <w:r>
        <w:rPr>
          <w:b/>
          <w:spacing w:val="-2"/>
          <w:sz w:val="18"/>
          <w:lang w:val="en-GB"/>
        </w:rPr>
        <w:t>202</w:t>
      </w:r>
      <w:r w:rsidR="00706B84">
        <w:rPr>
          <w:b/>
          <w:spacing w:val="-2"/>
          <w:sz w:val="18"/>
          <w:lang w:val="en-GB"/>
        </w:rPr>
        <w:t>3</w:t>
      </w:r>
    </w:p>
    <w:p w14:paraId="255CFD95" w14:textId="77777777" w:rsidR="003B1B67" w:rsidRPr="00281994" w:rsidRDefault="003B1B67" w:rsidP="003B1B67">
      <w:pPr>
        <w:spacing w:before="0" w:after="0"/>
        <w:rPr>
          <w:rFonts w:eastAsia="Times New Roman" w:cs="Times New Roman"/>
          <w:bCs/>
          <w:color w:val="001D77"/>
          <w:szCs w:val="19"/>
          <w:lang w:val="en-GB" w:eastAsia="pl-PL"/>
        </w:rPr>
      </w:pPr>
    </w:p>
    <w:tbl>
      <w:tblPr>
        <w:tblW w:w="7958" w:type="dxa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e 2"/>
        <w:tblDescription w:val="Households waiting for residential premises and temporary premises rental from gminas’   dwelling stocks – as of 31 December 2023"/>
      </w:tblPr>
      <w:tblGrid>
        <w:gridCol w:w="2126"/>
        <w:gridCol w:w="1416"/>
        <w:gridCol w:w="1418"/>
        <w:gridCol w:w="1497"/>
        <w:gridCol w:w="1419"/>
        <w:gridCol w:w="82"/>
      </w:tblGrid>
      <w:tr w:rsidR="006276E8" w:rsidRPr="006276E8" w14:paraId="18FB7E1A" w14:textId="77777777" w:rsidTr="002655AB">
        <w:trPr>
          <w:trHeight w:val="315"/>
        </w:trPr>
        <w:tc>
          <w:tcPr>
            <w:tcW w:w="2126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29C232E1" w14:textId="141E8CCE" w:rsidR="00781CE2" w:rsidRPr="00781CE2" w:rsidRDefault="00250127" w:rsidP="00781CE2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>
              <w:rPr>
                <w:rFonts w:eastAsia="Times New Roman" w:cs="Calibri"/>
                <w:sz w:val="16"/>
                <w:szCs w:val="16"/>
                <w:lang w:eastAsia="pl-PL"/>
              </w:rPr>
              <w:t>Specification</w:t>
            </w:r>
            <w:proofErr w:type="spellEnd"/>
          </w:p>
        </w:tc>
        <w:tc>
          <w:tcPr>
            <w:tcW w:w="1416" w:type="dxa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9B49" w14:textId="5940992C" w:rsidR="00781CE2" w:rsidRPr="00781CE2" w:rsidRDefault="00250127" w:rsidP="00781CE2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Total</w:t>
            </w:r>
          </w:p>
        </w:tc>
        <w:tc>
          <w:tcPr>
            <w:tcW w:w="2915" w:type="dxa"/>
            <w:gridSpan w:val="2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5620062D" w14:textId="14C600F0" w:rsidR="00781CE2" w:rsidRPr="00137A55" w:rsidRDefault="001272CB" w:rsidP="003B1B67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>
              <w:rPr>
                <w:rFonts w:eastAsia="Times New Roman" w:cs="Calibri"/>
                <w:sz w:val="16"/>
                <w:szCs w:val="16"/>
                <w:lang w:eastAsia="pl-PL"/>
              </w:rPr>
              <w:t>Social</w:t>
            </w:r>
            <w:proofErr w:type="spellEnd"/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16"/>
                <w:szCs w:val="16"/>
                <w:lang w:eastAsia="pl-PL"/>
              </w:rPr>
              <w:t>renting</w:t>
            </w:r>
            <w:proofErr w:type="spellEnd"/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16"/>
                <w:szCs w:val="16"/>
                <w:lang w:eastAsia="pl-PL"/>
              </w:rPr>
              <w:t>premises</w:t>
            </w:r>
            <w:proofErr w:type="spellEnd"/>
          </w:p>
        </w:tc>
        <w:tc>
          <w:tcPr>
            <w:tcW w:w="1501" w:type="dxa"/>
            <w:gridSpan w:val="2"/>
            <w:vMerge w:val="restart"/>
            <w:tcBorders>
              <w:top w:val="single" w:sz="4" w:space="0" w:color="001D77"/>
              <w:left w:val="single" w:sz="4" w:space="0" w:color="auto"/>
              <w:bottom w:val="single" w:sz="4" w:space="0" w:color="001D77"/>
            </w:tcBorders>
            <w:shd w:val="clear" w:color="auto" w:fill="auto"/>
            <w:vAlign w:val="center"/>
          </w:tcPr>
          <w:p w14:paraId="2599D134" w14:textId="75226385" w:rsidR="00781CE2" w:rsidRPr="006276E8" w:rsidRDefault="003B1B67" w:rsidP="00781CE2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>
              <w:rPr>
                <w:rFonts w:eastAsia="Times New Roman" w:cs="Calibri"/>
                <w:sz w:val="16"/>
                <w:szCs w:val="16"/>
                <w:lang w:eastAsia="pl-PL"/>
              </w:rPr>
              <w:t>T</w:t>
            </w:r>
            <w:r w:rsidRPr="00DB47DC">
              <w:rPr>
                <w:rFonts w:eastAsia="Times New Roman" w:cs="Calibri"/>
                <w:sz w:val="16"/>
                <w:szCs w:val="16"/>
                <w:lang w:eastAsia="pl-PL"/>
              </w:rPr>
              <w:t>emporary</w:t>
            </w:r>
            <w:proofErr w:type="spellEnd"/>
            <w:r w:rsidRPr="00DB47DC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B47DC">
              <w:rPr>
                <w:rFonts w:eastAsia="Times New Roman" w:cs="Calibri"/>
                <w:sz w:val="16"/>
                <w:szCs w:val="16"/>
                <w:lang w:eastAsia="pl-PL"/>
              </w:rPr>
              <w:t>premises</w:t>
            </w:r>
            <w:proofErr w:type="spellEnd"/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16"/>
                <w:szCs w:val="16"/>
                <w:lang w:eastAsia="pl-PL"/>
              </w:rPr>
              <w:t>renting</w:t>
            </w:r>
            <w:proofErr w:type="spellEnd"/>
          </w:p>
        </w:tc>
      </w:tr>
      <w:tr w:rsidR="003B1B67" w:rsidRPr="00763BDC" w14:paraId="0427877A" w14:textId="77777777" w:rsidTr="002655AB">
        <w:trPr>
          <w:trHeight w:val="315"/>
        </w:trPr>
        <w:tc>
          <w:tcPr>
            <w:tcW w:w="2126" w:type="dxa"/>
            <w:vMerge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0321667E" w14:textId="77777777" w:rsidR="003B1B67" w:rsidRPr="00781CE2" w:rsidRDefault="003B1B67" w:rsidP="003B1B67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16" w:type="dxa"/>
            <w:vMerge/>
            <w:tcBorders>
              <w:top w:val="single" w:sz="4" w:space="0" w:color="001D77"/>
              <w:bottom w:val="single" w:sz="4" w:space="0" w:color="001D77"/>
              <w:right w:val="single" w:sz="4" w:space="0" w:color="auto"/>
            </w:tcBorders>
            <w:shd w:val="clear" w:color="auto" w:fill="auto"/>
            <w:vAlign w:val="center"/>
          </w:tcPr>
          <w:p w14:paraId="3365A858" w14:textId="77777777" w:rsidR="003B1B67" w:rsidRPr="00781CE2" w:rsidRDefault="003B1B67" w:rsidP="003B1B67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1D77"/>
              <w:bottom w:val="single" w:sz="4" w:space="0" w:color="001D77"/>
              <w:right w:val="single" w:sz="4" w:space="0" w:color="auto"/>
            </w:tcBorders>
            <w:shd w:val="clear" w:color="auto" w:fill="auto"/>
            <w:vAlign w:val="center"/>
          </w:tcPr>
          <w:p w14:paraId="5DF81721" w14:textId="7618EBE4" w:rsidR="003B1B67" w:rsidRPr="00781CE2" w:rsidRDefault="003B1B67" w:rsidP="003B1B67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Total</w:t>
            </w:r>
          </w:p>
        </w:tc>
        <w:tc>
          <w:tcPr>
            <w:tcW w:w="1497" w:type="dxa"/>
            <w:tcBorders>
              <w:top w:val="single" w:sz="4" w:space="0" w:color="001D77"/>
              <w:left w:val="single" w:sz="4" w:space="0" w:color="auto"/>
              <w:bottom w:val="single" w:sz="4" w:space="0" w:color="001D77"/>
              <w:right w:val="single" w:sz="4" w:space="0" w:color="auto"/>
            </w:tcBorders>
            <w:shd w:val="clear" w:color="auto" w:fill="auto"/>
            <w:vAlign w:val="center"/>
          </w:tcPr>
          <w:p w14:paraId="119C31B2" w14:textId="70D898AF" w:rsidR="003B1B67" w:rsidRPr="003B1B67" w:rsidRDefault="003B1B67" w:rsidP="003B1B67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val="en-US" w:eastAsia="pl-PL"/>
              </w:rPr>
            </w:pPr>
            <w:r w:rsidRPr="002D6A12">
              <w:rPr>
                <w:rFonts w:eastAsia="Times New Roman" w:cs="Calibri"/>
                <w:sz w:val="16"/>
                <w:szCs w:val="16"/>
                <w:lang w:val="en-GB" w:eastAsia="pl-PL"/>
              </w:rPr>
              <w:t>Of which execution of eviction sentences</w:t>
            </w:r>
          </w:p>
        </w:tc>
        <w:tc>
          <w:tcPr>
            <w:tcW w:w="1501" w:type="dxa"/>
            <w:gridSpan w:val="2"/>
            <w:vMerge/>
            <w:tcBorders>
              <w:top w:val="single" w:sz="4" w:space="0" w:color="001D77"/>
              <w:left w:val="single" w:sz="4" w:space="0" w:color="auto"/>
              <w:bottom w:val="single" w:sz="4" w:space="0" w:color="001D77"/>
            </w:tcBorders>
            <w:shd w:val="clear" w:color="auto" w:fill="auto"/>
            <w:vAlign w:val="center"/>
          </w:tcPr>
          <w:p w14:paraId="302B31F0" w14:textId="77777777" w:rsidR="003B1B67" w:rsidRPr="003B1B67" w:rsidRDefault="003B1B67" w:rsidP="003B1B67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val="en-US" w:eastAsia="pl-PL"/>
              </w:rPr>
            </w:pPr>
          </w:p>
        </w:tc>
      </w:tr>
      <w:tr w:rsidR="00781CE2" w:rsidRPr="00AE4FAF" w14:paraId="3A094A48" w14:textId="77777777" w:rsidTr="002655AB">
        <w:trPr>
          <w:gridAfter w:val="1"/>
          <w:wAfter w:w="82" w:type="dxa"/>
          <w:trHeight w:val="330"/>
        </w:trPr>
        <w:tc>
          <w:tcPr>
            <w:tcW w:w="7876" w:type="dxa"/>
            <w:gridSpan w:val="5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7B850B23" w14:textId="264D67A4" w:rsidR="00781CE2" w:rsidRPr="00AE4FAF" w:rsidRDefault="003B1B67" w:rsidP="003B1B67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In </w:t>
            </w:r>
            <w:proofErr w:type="spellStart"/>
            <w:r>
              <w:rPr>
                <w:rFonts w:eastAsia="Times New Roman" w:cs="Calibri"/>
                <w:sz w:val="16"/>
                <w:szCs w:val="16"/>
                <w:lang w:eastAsia="pl-PL"/>
              </w:rPr>
              <w:t>absolute</w:t>
            </w:r>
            <w:proofErr w:type="spellEnd"/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16"/>
                <w:szCs w:val="16"/>
                <w:lang w:eastAsia="pl-PL"/>
              </w:rPr>
              <w:t>numbers</w:t>
            </w:r>
            <w:proofErr w:type="spellEnd"/>
          </w:p>
        </w:tc>
      </w:tr>
      <w:tr w:rsidR="00706B84" w:rsidRPr="00AE4FAF" w14:paraId="1C7FDDAF" w14:textId="77777777" w:rsidTr="00706B84">
        <w:trPr>
          <w:trHeight w:val="330"/>
        </w:trPr>
        <w:tc>
          <w:tcPr>
            <w:tcW w:w="2126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11737CB5" w14:textId="6B268186" w:rsidR="00706B84" w:rsidRPr="00781CE2" w:rsidRDefault="00706B84" w:rsidP="00706B84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Poland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3E959" w14:textId="687107CE" w:rsidR="00706B84" w:rsidRPr="00706B84" w:rsidRDefault="00706B84" w:rsidP="00706B84">
            <w:pPr>
              <w:jc w:val="right"/>
              <w:rPr>
                <w:sz w:val="16"/>
                <w:szCs w:val="16"/>
              </w:rPr>
            </w:pPr>
            <w:r w:rsidRPr="00706B84">
              <w:rPr>
                <w:rFonts w:cs="Calibri"/>
                <w:color w:val="000000"/>
                <w:sz w:val="16"/>
                <w:szCs w:val="16"/>
              </w:rPr>
              <w:t>123 805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BBAA5" w14:textId="53455309" w:rsidR="00706B84" w:rsidRPr="00706B84" w:rsidRDefault="00706B84" w:rsidP="00706B84">
            <w:pPr>
              <w:jc w:val="right"/>
              <w:rPr>
                <w:sz w:val="16"/>
                <w:szCs w:val="16"/>
              </w:rPr>
            </w:pPr>
            <w:r w:rsidRPr="00706B84">
              <w:rPr>
                <w:rFonts w:cs="Calibri"/>
                <w:color w:val="000000"/>
                <w:sz w:val="16"/>
                <w:szCs w:val="16"/>
              </w:rPr>
              <w:t>67 372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43870" w14:textId="258F5B02" w:rsidR="00706B84" w:rsidRPr="00706B84" w:rsidRDefault="00706B84" w:rsidP="00706B84">
            <w:pPr>
              <w:jc w:val="right"/>
              <w:rPr>
                <w:sz w:val="16"/>
                <w:szCs w:val="16"/>
              </w:rPr>
            </w:pPr>
            <w:r w:rsidRPr="00706B84">
              <w:rPr>
                <w:rFonts w:cs="Calibri"/>
                <w:color w:val="000000"/>
                <w:sz w:val="16"/>
                <w:szCs w:val="16"/>
              </w:rPr>
              <w:t>38 274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05FB20" w14:textId="07A3344C" w:rsidR="00706B84" w:rsidRPr="00706B84" w:rsidRDefault="00706B84" w:rsidP="00706B84">
            <w:pPr>
              <w:jc w:val="right"/>
              <w:rPr>
                <w:sz w:val="16"/>
                <w:szCs w:val="16"/>
              </w:rPr>
            </w:pPr>
            <w:r w:rsidRPr="00706B84">
              <w:rPr>
                <w:rFonts w:cs="Calibri"/>
                <w:color w:val="000000"/>
                <w:sz w:val="16"/>
                <w:szCs w:val="16"/>
              </w:rPr>
              <w:t>15 751</w:t>
            </w:r>
          </w:p>
        </w:tc>
      </w:tr>
      <w:tr w:rsidR="00706B84" w:rsidRPr="00AE4FAF" w14:paraId="29BACAF1" w14:textId="77777777" w:rsidTr="00706B84">
        <w:trPr>
          <w:trHeight w:val="315"/>
        </w:trPr>
        <w:tc>
          <w:tcPr>
            <w:tcW w:w="2126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70683AFE" w14:textId="2A4A77F4" w:rsidR="00706B84" w:rsidRPr="00781CE2" w:rsidRDefault="00706B84" w:rsidP="00706B84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Urban </w:t>
            </w:r>
            <w:proofErr w:type="spellStart"/>
            <w:r>
              <w:rPr>
                <w:rFonts w:eastAsia="Times New Roman" w:cs="Calibri"/>
                <w:sz w:val="16"/>
                <w:szCs w:val="16"/>
                <w:lang w:eastAsia="pl-PL"/>
              </w:rPr>
              <w:t>areas</w:t>
            </w:r>
            <w:proofErr w:type="spellEnd"/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C19DB" w14:textId="1B19EF8C" w:rsidR="00706B84" w:rsidRPr="00706B84" w:rsidRDefault="00706B84" w:rsidP="00706B84">
            <w:pPr>
              <w:jc w:val="right"/>
              <w:rPr>
                <w:sz w:val="16"/>
                <w:szCs w:val="16"/>
              </w:rPr>
            </w:pPr>
            <w:r w:rsidRPr="00706B84">
              <w:rPr>
                <w:rFonts w:cs="Calibri"/>
                <w:color w:val="000000"/>
                <w:sz w:val="16"/>
                <w:szCs w:val="16"/>
              </w:rPr>
              <w:t>106 188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8E2DE" w14:textId="4D07A094" w:rsidR="00706B84" w:rsidRPr="00706B84" w:rsidRDefault="00706B84" w:rsidP="00706B84">
            <w:pPr>
              <w:jc w:val="right"/>
              <w:rPr>
                <w:sz w:val="16"/>
                <w:szCs w:val="16"/>
              </w:rPr>
            </w:pPr>
            <w:r w:rsidRPr="00706B84">
              <w:rPr>
                <w:rFonts w:cs="Calibri"/>
                <w:color w:val="000000"/>
                <w:sz w:val="16"/>
                <w:szCs w:val="16"/>
              </w:rPr>
              <w:t>61 349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41F3C" w14:textId="38A83BFC" w:rsidR="00706B84" w:rsidRPr="00706B84" w:rsidRDefault="00706B84" w:rsidP="00706B84">
            <w:pPr>
              <w:jc w:val="right"/>
              <w:rPr>
                <w:sz w:val="16"/>
                <w:szCs w:val="16"/>
              </w:rPr>
            </w:pPr>
            <w:r w:rsidRPr="00706B84">
              <w:rPr>
                <w:rFonts w:cs="Calibri"/>
                <w:color w:val="000000"/>
                <w:sz w:val="16"/>
                <w:szCs w:val="16"/>
              </w:rPr>
              <w:t>37 591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BF30AB" w14:textId="291213CE" w:rsidR="00706B84" w:rsidRPr="00706B84" w:rsidRDefault="00706B84" w:rsidP="00706B84">
            <w:pPr>
              <w:jc w:val="right"/>
              <w:rPr>
                <w:sz w:val="16"/>
                <w:szCs w:val="16"/>
              </w:rPr>
            </w:pPr>
            <w:r w:rsidRPr="00706B84">
              <w:rPr>
                <w:rFonts w:cs="Calibri"/>
                <w:color w:val="000000"/>
                <w:sz w:val="16"/>
                <w:szCs w:val="16"/>
              </w:rPr>
              <w:t>15 616</w:t>
            </w:r>
          </w:p>
        </w:tc>
      </w:tr>
      <w:tr w:rsidR="00706B84" w:rsidRPr="00AE4FAF" w14:paraId="29B7519A" w14:textId="77777777" w:rsidTr="00706B84">
        <w:trPr>
          <w:trHeight w:val="315"/>
        </w:trPr>
        <w:tc>
          <w:tcPr>
            <w:tcW w:w="2126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7E084994" w14:textId="47FEDE6B" w:rsidR="00706B84" w:rsidRPr="00781CE2" w:rsidRDefault="00706B84" w:rsidP="00706B84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>
              <w:rPr>
                <w:rFonts w:eastAsia="Times New Roman" w:cs="Calibri"/>
                <w:sz w:val="16"/>
                <w:szCs w:val="16"/>
                <w:lang w:eastAsia="pl-PL"/>
              </w:rPr>
              <w:t>Rural</w:t>
            </w:r>
            <w:proofErr w:type="spellEnd"/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16"/>
                <w:szCs w:val="16"/>
                <w:lang w:eastAsia="pl-PL"/>
              </w:rPr>
              <w:t>areas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FB9E4A" w14:textId="358E96D6" w:rsidR="00706B84" w:rsidRPr="00706B84" w:rsidRDefault="00706B84" w:rsidP="00706B84">
            <w:pPr>
              <w:jc w:val="right"/>
              <w:rPr>
                <w:sz w:val="16"/>
                <w:szCs w:val="16"/>
              </w:rPr>
            </w:pPr>
            <w:r w:rsidRPr="00706B84">
              <w:rPr>
                <w:rFonts w:cs="Calibri"/>
                <w:color w:val="000000"/>
                <w:sz w:val="16"/>
                <w:szCs w:val="16"/>
              </w:rPr>
              <w:t>17 617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F44989" w14:textId="3A3D50C8" w:rsidR="00706B84" w:rsidRPr="00706B84" w:rsidRDefault="00706B84" w:rsidP="00706B84">
            <w:pPr>
              <w:jc w:val="right"/>
              <w:rPr>
                <w:sz w:val="16"/>
                <w:szCs w:val="16"/>
              </w:rPr>
            </w:pPr>
            <w:r w:rsidRPr="00706B84">
              <w:rPr>
                <w:rFonts w:cs="Calibri"/>
                <w:color w:val="000000"/>
                <w:sz w:val="16"/>
                <w:szCs w:val="16"/>
              </w:rPr>
              <w:t>6 023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B5DFA3" w14:textId="5D50D59B" w:rsidR="00706B84" w:rsidRPr="00706B84" w:rsidRDefault="00706B84" w:rsidP="00706B84">
            <w:pPr>
              <w:jc w:val="right"/>
              <w:rPr>
                <w:sz w:val="16"/>
                <w:szCs w:val="16"/>
              </w:rPr>
            </w:pPr>
            <w:r w:rsidRPr="00706B84">
              <w:rPr>
                <w:rFonts w:cs="Calibri"/>
                <w:color w:val="000000"/>
                <w:sz w:val="16"/>
                <w:szCs w:val="16"/>
              </w:rPr>
              <w:t>683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516C60" w14:textId="011F8A0F" w:rsidR="00706B84" w:rsidRPr="00706B84" w:rsidRDefault="00706B84" w:rsidP="00706B84">
            <w:pPr>
              <w:jc w:val="right"/>
              <w:rPr>
                <w:sz w:val="16"/>
                <w:szCs w:val="16"/>
              </w:rPr>
            </w:pPr>
            <w:r w:rsidRPr="00706B84">
              <w:rPr>
                <w:rFonts w:cs="Calibri"/>
                <w:color w:val="000000"/>
                <w:sz w:val="16"/>
                <w:szCs w:val="16"/>
              </w:rPr>
              <w:t>135</w:t>
            </w:r>
          </w:p>
        </w:tc>
      </w:tr>
      <w:tr w:rsidR="00706B84" w:rsidRPr="00AE4FAF" w14:paraId="52F684A1" w14:textId="77777777" w:rsidTr="00DA6AC5">
        <w:trPr>
          <w:gridAfter w:val="1"/>
          <w:wAfter w:w="82" w:type="dxa"/>
          <w:trHeight w:val="315"/>
        </w:trPr>
        <w:tc>
          <w:tcPr>
            <w:tcW w:w="7876" w:type="dxa"/>
            <w:gridSpan w:val="5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78C259A8" w14:textId="3708086F" w:rsidR="00706B84" w:rsidRPr="00AE4FAF" w:rsidRDefault="00706B84" w:rsidP="00706B84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Pol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and</w:t>
            </w: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 xml:space="preserve"> = 100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</w:tr>
      <w:tr w:rsidR="00706B84" w:rsidRPr="00AE4FAF" w14:paraId="33E0C7F4" w14:textId="77777777" w:rsidTr="008F37E2">
        <w:trPr>
          <w:trHeight w:val="315"/>
        </w:trPr>
        <w:tc>
          <w:tcPr>
            <w:tcW w:w="212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64B0567" w14:textId="53851653" w:rsidR="00706B84" w:rsidRPr="00781CE2" w:rsidRDefault="00706B84" w:rsidP="00706B84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Urban </w:t>
            </w:r>
            <w:proofErr w:type="spellStart"/>
            <w:r>
              <w:rPr>
                <w:rFonts w:eastAsia="Times New Roman" w:cs="Calibri"/>
                <w:sz w:val="16"/>
                <w:szCs w:val="16"/>
                <w:lang w:eastAsia="pl-PL"/>
              </w:rPr>
              <w:t>areas</w:t>
            </w:r>
            <w:proofErr w:type="spellEnd"/>
          </w:p>
        </w:tc>
        <w:tc>
          <w:tcPr>
            <w:tcW w:w="141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71B365C" w14:textId="492879FF" w:rsidR="00706B84" w:rsidRPr="00706B84" w:rsidRDefault="00706B84" w:rsidP="00706B84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06B84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</w:t>
            </w:r>
            <w:r w:rsidRPr="00706B84"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A011728" w14:textId="27D4E5C4" w:rsidR="00706B84" w:rsidRPr="00706B84" w:rsidRDefault="00706B84" w:rsidP="00706B84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06B84">
              <w:rPr>
                <w:sz w:val="16"/>
                <w:szCs w:val="16"/>
              </w:rPr>
              <w:t>91</w:t>
            </w:r>
            <w:r>
              <w:rPr>
                <w:sz w:val="16"/>
                <w:szCs w:val="16"/>
              </w:rPr>
              <w:t>.</w:t>
            </w:r>
            <w:r w:rsidRPr="00706B84">
              <w:rPr>
                <w:sz w:val="16"/>
                <w:szCs w:val="16"/>
              </w:rPr>
              <w:t>1</w:t>
            </w:r>
          </w:p>
        </w:tc>
        <w:tc>
          <w:tcPr>
            <w:tcW w:w="14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6E201B1" w14:textId="079ECD04" w:rsidR="00706B84" w:rsidRPr="00706B84" w:rsidRDefault="00706B84" w:rsidP="00706B84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06B84">
              <w:rPr>
                <w:sz w:val="16"/>
                <w:szCs w:val="16"/>
              </w:rPr>
              <w:t>98</w:t>
            </w:r>
            <w:r>
              <w:rPr>
                <w:sz w:val="16"/>
                <w:szCs w:val="16"/>
              </w:rPr>
              <w:t>.</w:t>
            </w:r>
            <w:r w:rsidRPr="00706B84">
              <w:rPr>
                <w:sz w:val="16"/>
                <w:szCs w:val="16"/>
              </w:rPr>
              <w:t>2</w:t>
            </w:r>
          </w:p>
        </w:tc>
        <w:tc>
          <w:tcPr>
            <w:tcW w:w="1501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</w:tcPr>
          <w:p w14:paraId="0767CAEE" w14:textId="123B8552" w:rsidR="00706B84" w:rsidRPr="00706B84" w:rsidRDefault="00706B84" w:rsidP="00706B84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06B84">
              <w:rPr>
                <w:sz w:val="16"/>
                <w:szCs w:val="16"/>
              </w:rPr>
              <w:t>99</w:t>
            </w:r>
            <w:r>
              <w:rPr>
                <w:sz w:val="16"/>
                <w:szCs w:val="16"/>
              </w:rPr>
              <w:t>.</w:t>
            </w:r>
            <w:r w:rsidRPr="00706B84">
              <w:rPr>
                <w:sz w:val="16"/>
                <w:szCs w:val="16"/>
              </w:rPr>
              <w:t>1</w:t>
            </w:r>
          </w:p>
        </w:tc>
      </w:tr>
      <w:tr w:rsidR="00706B84" w:rsidRPr="00AE4FAF" w14:paraId="305B811A" w14:textId="77777777" w:rsidTr="008F37E2">
        <w:trPr>
          <w:trHeight w:val="315"/>
        </w:trPr>
        <w:tc>
          <w:tcPr>
            <w:tcW w:w="2126" w:type="dxa"/>
            <w:tcBorders>
              <w:top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5163BE05" w14:textId="74677C42" w:rsidR="00706B84" w:rsidRPr="00781CE2" w:rsidRDefault="00706B84" w:rsidP="00706B84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>
              <w:rPr>
                <w:rFonts w:eastAsia="Times New Roman" w:cs="Calibri"/>
                <w:sz w:val="16"/>
                <w:szCs w:val="16"/>
                <w:lang w:eastAsia="pl-PL"/>
              </w:rPr>
              <w:t>Rural</w:t>
            </w:r>
            <w:proofErr w:type="spellEnd"/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16"/>
                <w:szCs w:val="16"/>
                <w:lang w:eastAsia="pl-PL"/>
              </w:rPr>
              <w:t>areas</w:t>
            </w:r>
            <w:proofErr w:type="spellEnd"/>
          </w:p>
        </w:tc>
        <w:tc>
          <w:tcPr>
            <w:tcW w:w="141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</w:tcPr>
          <w:p w14:paraId="7A7DB29C" w14:textId="26185334" w:rsidR="00706B84" w:rsidRPr="00706B84" w:rsidRDefault="00706B84" w:rsidP="00706B84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06B84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</w:t>
            </w:r>
            <w:r w:rsidRPr="00706B84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</w:tcPr>
          <w:p w14:paraId="433A00FC" w14:textId="4B9A6B0A" w:rsidR="00706B84" w:rsidRPr="00706B84" w:rsidRDefault="00706B84" w:rsidP="00706B84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06B84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</w:t>
            </w:r>
            <w:r w:rsidRPr="00706B84">
              <w:rPr>
                <w:sz w:val="16"/>
                <w:szCs w:val="16"/>
              </w:rPr>
              <w:t>9</w:t>
            </w:r>
          </w:p>
        </w:tc>
        <w:tc>
          <w:tcPr>
            <w:tcW w:w="1497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</w:tcPr>
          <w:p w14:paraId="23449632" w14:textId="428ECE37" w:rsidR="00706B84" w:rsidRPr="00706B84" w:rsidRDefault="00706B84" w:rsidP="00706B84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06B8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 w:rsidRPr="00706B84">
              <w:rPr>
                <w:sz w:val="16"/>
                <w:szCs w:val="16"/>
              </w:rPr>
              <w:t>8</w:t>
            </w:r>
          </w:p>
        </w:tc>
        <w:tc>
          <w:tcPr>
            <w:tcW w:w="1501" w:type="dxa"/>
            <w:gridSpan w:val="2"/>
            <w:tcBorders>
              <w:top w:val="single" w:sz="4" w:space="0" w:color="001D77"/>
              <w:left w:val="single" w:sz="4" w:space="0" w:color="001D77"/>
              <w:bottom w:val="nil"/>
            </w:tcBorders>
            <w:shd w:val="clear" w:color="auto" w:fill="auto"/>
          </w:tcPr>
          <w:p w14:paraId="1942BD0E" w14:textId="764459A5" w:rsidR="00706B84" w:rsidRPr="00706B84" w:rsidRDefault="00706B84" w:rsidP="00706B84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06B8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</w:t>
            </w:r>
            <w:r w:rsidRPr="00706B84">
              <w:rPr>
                <w:sz w:val="16"/>
                <w:szCs w:val="16"/>
              </w:rPr>
              <w:t>9</w:t>
            </w:r>
          </w:p>
        </w:tc>
      </w:tr>
    </w:tbl>
    <w:p w14:paraId="41749312" w14:textId="77777777" w:rsidR="00781CE2" w:rsidRDefault="00781CE2" w:rsidP="0042030D">
      <w:pPr>
        <w:spacing w:before="0" w:after="0"/>
        <w:rPr>
          <w:shd w:val="clear" w:color="auto" w:fill="FFFFFF"/>
        </w:rPr>
      </w:pPr>
    </w:p>
    <w:p w14:paraId="40666138" w14:textId="77777777" w:rsidR="003B1B67" w:rsidRDefault="003B1B67" w:rsidP="00781CE2">
      <w:pPr>
        <w:keepNext/>
        <w:spacing w:before="0" w:after="0" w:line="240" w:lineRule="auto"/>
        <w:outlineLvl w:val="0"/>
        <w:rPr>
          <w:rFonts w:eastAsia="Times New Roman" w:cs="Times New Roman"/>
          <w:b/>
          <w:bCs/>
          <w:color w:val="001D77"/>
          <w:szCs w:val="24"/>
          <w:lang w:eastAsia="pl-PL"/>
        </w:rPr>
      </w:pPr>
    </w:p>
    <w:p w14:paraId="303ADE1A" w14:textId="4E24FEAC" w:rsidR="00781CE2" w:rsidRPr="00781CE2" w:rsidRDefault="004071D7" w:rsidP="00781CE2">
      <w:pPr>
        <w:keepNext/>
        <w:spacing w:before="0" w:after="0" w:line="240" w:lineRule="auto"/>
        <w:outlineLvl w:val="0"/>
        <w:rPr>
          <w:rFonts w:eastAsia="Times New Roman" w:cs="Times New Roman"/>
          <w:b/>
          <w:bCs/>
          <w:color w:val="001D77"/>
          <w:szCs w:val="24"/>
          <w:lang w:eastAsia="pl-PL"/>
        </w:rPr>
      </w:pPr>
      <w:proofErr w:type="spellStart"/>
      <w:r w:rsidRPr="003831DD">
        <w:rPr>
          <w:rFonts w:ascii="Fira Sans SemiBold" w:hAnsi="Fira Sans SemiBold"/>
          <w:color w:val="001D77"/>
        </w:rPr>
        <w:t>Housing</w:t>
      </w:r>
      <w:proofErr w:type="spellEnd"/>
      <w:r w:rsidRPr="003831DD">
        <w:rPr>
          <w:rFonts w:ascii="Fira Sans SemiBold" w:hAnsi="Fira Sans SemiBold"/>
          <w:color w:val="001D77"/>
        </w:rPr>
        <w:t xml:space="preserve"> </w:t>
      </w:r>
      <w:proofErr w:type="spellStart"/>
      <w:r w:rsidRPr="003831DD">
        <w:rPr>
          <w:rFonts w:ascii="Fira Sans SemiBold" w:hAnsi="Fira Sans SemiBold"/>
          <w:color w:val="001D77"/>
        </w:rPr>
        <w:t>allowanc</w:t>
      </w:r>
      <w:r>
        <w:rPr>
          <w:rFonts w:eastAsia="Times New Roman" w:cs="Times New Roman"/>
          <w:b/>
          <w:bCs/>
          <w:color w:val="001D77"/>
          <w:szCs w:val="24"/>
          <w:lang w:eastAsia="pl-PL"/>
        </w:rPr>
        <w:t>es</w:t>
      </w:r>
      <w:proofErr w:type="spellEnd"/>
    </w:p>
    <w:p w14:paraId="5D6746A3" w14:textId="7C4AF010" w:rsidR="00781CE2" w:rsidRPr="00781CE2" w:rsidRDefault="003D4A6E" w:rsidP="00781CE2">
      <w:pPr>
        <w:spacing w:before="0" w:after="0" w:line="240" w:lineRule="auto"/>
        <w:rPr>
          <w:szCs w:val="19"/>
          <w:lang w:eastAsia="pl-PL"/>
        </w:rPr>
      </w:pPr>
      <w:r w:rsidRPr="00781CE2">
        <w:rPr>
          <w:rFonts w:eastAsia="Times New Roman" w:cs="Times New Roman"/>
          <w:b/>
          <w:bCs/>
          <w:noProof/>
          <w:color w:val="001D77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8992" behindDoc="1" locked="0" layoutInCell="1" allowOverlap="1" wp14:anchorId="689EA956" wp14:editId="641BEC4B">
                <wp:simplePos x="0" y="0"/>
                <wp:positionH relativeFrom="rightMargin">
                  <wp:posOffset>-3810</wp:posOffset>
                </wp:positionH>
                <wp:positionV relativeFrom="paragraph">
                  <wp:posOffset>68580</wp:posOffset>
                </wp:positionV>
                <wp:extent cx="1667510" cy="895350"/>
                <wp:effectExtent l="0" t="0" r="0" b="0"/>
                <wp:wrapTight wrapText="bothSides">
                  <wp:wrapPolygon edited="0">
                    <wp:start x="740" y="0"/>
                    <wp:lineTo x="740" y="21140"/>
                    <wp:lineTo x="20728" y="21140"/>
                    <wp:lineTo x="20728" y="0"/>
                    <wp:lineTo x="740" y="0"/>
                  </wp:wrapPolygon>
                </wp:wrapTight>
                <wp:docPr id="198" name="Pole tekstowe 198" descr="The number of paid housing allowances increased by 6.0 %, and their amount by 20.4 %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51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B1D1A" w14:textId="0CB73315" w:rsidR="000558C2" w:rsidRPr="00880BA4" w:rsidRDefault="00880BA4" w:rsidP="00781CE2">
                            <w:pPr>
                              <w:pStyle w:val="tekstzboku"/>
                              <w:rPr>
                                <w:lang w:val="en-GB"/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</w:pPr>
                            <w:r w:rsidRPr="00281994">
                              <w:rPr>
                                <w:lang w:val="en-GB"/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The number of paid housing allowances </w:t>
                            </w:r>
                            <w:r>
                              <w:rPr>
                                <w:lang w:val="en-GB"/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in</w:t>
                            </w:r>
                            <w:r w:rsidRPr="00281994">
                              <w:rPr>
                                <w:lang w:val="en-GB"/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creased by </w:t>
                            </w:r>
                            <w:r>
                              <w:rPr>
                                <w:lang w:val="en-GB"/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6.</w:t>
                            </w:r>
                            <w:r w:rsidR="0061220F">
                              <w:rPr>
                                <w:lang w:val="en-GB"/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0</w:t>
                            </w:r>
                            <w:r w:rsidRPr="00281994">
                              <w:rPr>
                                <w:lang w:val="en-GB"/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 %, </w:t>
                            </w:r>
                            <w:r>
                              <w:rPr>
                                <w:lang w:val="en-GB"/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and </w:t>
                            </w:r>
                            <w:r w:rsidRPr="00281994">
                              <w:rPr>
                                <w:lang w:val="en-GB"/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their amount by </w:t>
                            </w:r>
                            <w:r w:rsidR="0061220F">
                              <w:rPr>
                                <w:lang w:val="en-GB"/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20.4</w:t>
                            </w:r>
                            <w:r w:rsidRPr="00281994">
                              <w:rPr>
                                <w:lang w:val="en-GB"/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 %</w:t>
                            </w:r>
                            <w:r>
                              <w:rPr>
                                <w:lang w:val="en-GB"/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EA956" id="Pole tekstowe 198" o:spid="_x0000_s1031" type="#_x0000_t202" alt="The number of paid housing allowances increased by 6.0 %, and their amount by 20.4 %." style="position:absolute;margin-left:-.3pt;margin-top:5.4pt;width:131.3pt;height:70.5pt;z-index:-25164748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" filled="f" stroked="f">
                <v:textbox>
                  <w:txbxContent>
                    <w:p w14:paraId="260B1D1A" w14:textId="0CB73315" w:rsidR="000558C2" w:rsidRPr="00880BA4" w:rsidRDefault="00880BA4" w:rsidP="00781CE2">
                      <w:pPr>
                        <w:pStyle w:val="tekstzboku"/>
                        <w:rPr>
                          <w:lang w:val="en-GB"/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</w:pPr>
                      <w:r w:rsidRPr="00281994">
                        <w:rPr>
                          <w:lang w:val="en-GB"/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The number of paid housing allowances </w:t>
                      </w:r>
                      <w:r>
                        <w:rPr>
                          <w:lang w:val="en-GB"/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in</w:t>
                      </w:r>
                      <w:r w:rsidRPr="00281994">
                        <w:rPr>
                          <w:lang w:val="en-GB"/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creased by </w:t>
                      </w:r>
                      <w:r>
                        <w:rPr>
                          <w:lang w:val="en-GB"/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6.</w:t>
                      </w:r>
                      <w:r w:rsidR="0061220F">
                        <w:rPr>
                          <w:lang w:val="en-GB"/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0</w:t>
                      </w:r>
                      <w:r w:rsidRPr="00281994">
                        <w:rPr>
                          <w:lang w:val="en-GB"/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 %, </w:t>
                      </w:r>
                      <w:r>
                        <w:rPr>
                          <w:lang w:val="en-GB"/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and </w:t>
                      </w:r>
                      <w:r w:rsidRPr="00281994">
                        <w:rPr>
                          <w:lang w:val="en-GB"/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their amount by </w:t>
                      </w:r>
                      <w:r w:rsidR="0061220F">
                        <w:rPr>
                          <w:lang w:val="en-GB"/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20.4</w:t>
                      </w:r>
                      <w:r w:rsidRPr="00281994">
                        <w:rPr>
                          <w:lang w:val="en-GB"/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 %</w:t>
                      </w:r>
                      <w:r>
                        <w:rPr>
                          <w:lang w:val="en-GB"/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09E35AF" w14:textId="6974A7E8" w:rsidR="00C972A5" w:rsidRPr="003D4A6E" w:rsidRDefault="00880BA4" w:rsidP="00C972A5">
      <w:pPr>
        <w:spacing w:after="0"/>
        <w:rPr>
          <w:shd w:val="clear" w:color="auto" w:fill="FFFFFF"/>
          <w:lang w:val="en-GB"/>
        </w:rPr>
      </w:pPr>
      <w:r w:rsidRPr="003D4A6E">
        <w:rPr>
          <w:shd w:val="clear" w:color="auto" w:fill="FFFFFF"/>
          <w:lang w:val="en-US"/>
        </w:rPr>
        <w:t>In 202</w:t>
      </w:r>
      <w:r w:rsidR="00B64DE8">
        <w:rPr>
          <w:shd w:val="clear" w:color="auto" w:fill="FFFFFF"/>
          <w:lang w:val="en-US"/>
        </w:rPr>
        <w:t>3</w:t>
      </w:r>
      <w:r w:rsidRPr="003D4A6E">
        <w:rPr>
          <w:shd w:val="clear" w:color="auto" w:fill="FFFFFF"/>
          <w:lang w:val="en-US"/>
        </w:rPr>
        <w:t>, over 2.6 million housing allowances were paid, 1</w:t>
      </w:r>
      <w:r w:rsidR="00B64DE8">
        <w:rPr>
          <w:shd w:val="clear" w:color="auto" w:fill="FFFFFF"/>
          <w:lang w:val="en-US"/>
        </w:rPr>
        <w:t>59</w:t>
      </w:r>
      <w:r w:rsidRPr="003D4A6E">
        <w:rPr>
          <w:shd w:val="clear" w:color="auto" w:fill="FFFFFF"/>
          <w:lang w:val="en-US"/>
        </w:rPr>
        <w:t>,</w:t>
      </w:r>
      <w:r w:rsidR="00B64DE8">
        <w:rPr>
          <w:shd w:val="clear" w:color="auto" w:fill="FFFFFF"/>
          <w:lang w:val="en-US"/>
        </w:rPr>
        <w:t>9</w:t>
      </w:r>
      <w:r w:rsidRPr="003D4A6E">
        <w:rPr>
          <w:shd w:val="clear" w:color="auto" w:fill="FFFFFF"/>
          <w:lang w:val="en-US"/>
        </w:rPr>
        <w:t>00 more than in 202</w:t>
      </w:r>
      <w:r w:rsidR="00B64DE8">
        <w:rPr>
          <w:shd w:val="clear" w:color="auto" w:fill="FFFFFF"/>
          <w:lang w:val="en-US"/>
        </w:rPr>
        <w:t>2</w:t>
      </w:r>
      <w:r w:rsidRPr="003D4A6E">
        <w:rPr>
          <w:shd w:val="clear" w:color="auto" w:fill="FFFFFF"/>
          <w:lang w:val="en-US"/>
        </w:rPr>
        <w:t xml:space="preserve">. Their total amount reached PLN </w:t>
      </w:r>
      <w:r w:rsidR="00B64DE8">
        <w:rPr>
          <w:shd w:val="clear" w:color="auto" w:fill="FFFFFF"/>
          <w:lang w:val="en-US"/>
        </w:rPr>
        <w:t>879.3</w:t>
      </w:r>
      <w:r w:rsidRPr="003D4A6E">
        <w:rPr>
          <w:shd w:val="clear" w:color="auto" w:fill="FFFFFF"/>
          <w:lang w:val="en-US"/>
        </w:rPr>
        <w:t xml:space="preserve"> million </w:t>
      </w:r>
      <w:r w:rsidR="00E9538F" w:rsidRPr="003D4A6E">
        <w:rPr>
          <w:shd w:val="clear" w:color="auto" w:fill="FFFFFF"/>
          <w:lang w:val="en-US"/>
        </w:rPr>
        <w:t xml:space="preserve">and it was </w:t>
      </w:r>
      <w:r w:rsidR="00250127">
        <w:rPr>
          <w:shd w:val="clear" w:color="auto" w:fill="FFFFFF"/>
          <w:lang w:val="en-US"/>
        </w:rPr>
        <w:t xml:space="preserve">PLN </w:t>
      </w:r>
      <w:r w:rsidR="00E9538F" w:rsidRPr="003D4A6E">
        <w:rPr>
          <w:shd w:val="clear" w:color="auto" w:fill="FFFFFF"/>
          <w:lang w:val="en-US"/>
        </w:rPr>
        <w:t>1</w:t>
      </w:r>
      <w:r w:rsidR="00B64DE8">
        <w:rPr>
          <w:shd w:val="clear" w:color="auto" w:fill="FFFFFF"/>
          <w:lang w:val="en-US"/>
        </w:rPr>
        <w:t>48</w:t>
      </w:r>
      <w:r w:rsidR="00E9538F" w:rsidRPr="003D4A6E">
        <w:rPr>
          <w:shd w:val="clear" w:color="auto" w:fill="FFFFFF"/>
          <w:lang w:val="en-US"/>
        </w:rPr>
        <w:t>.</w:t>
      </w:r>
      <w:r w:rsidR="00B64DE8">
        <w:rPr>
          <w:shd w:val="clear" w:color="auto" w:fill="FFFFFF"/>
          <w:lang w:val="en-US"/>
        </w:rPr>
        <w:t>8</w:t>
      </w:r>
      <w:r w:rsidR="00D94FD2" w:rsidRPr="003D4A6E">
        <w:rPr>
          <w:shd w:val="clear" w:color="auto" w:fill="FFFFFF"/>
          <w:lang w:val="en-US"/>
        </w:rPr>
        <w:t xml:space="preserve"> </w:t>
      </w:r>
      <w:proofErr w:type="spellStart"/>
      <w:r w:rsidR="00D94FD2" w:rsidRPr="003D4A6E">
        <w:rPr>
          <w:shd w:val="clear" w:color="auto" w:fill="FFFFFF"/>
          <w:lang w:val="en-US"/>
        </w:rPr>
        <w:t>mln</w:t>
      </w:r>
      <w:proofErr w:type="spellEnd"/>
      <w:r w:rsidR="00D94FD2" w:rsidRPr="003D4A6E">
        <w:rPr>
          <w:shd w:val="clear" w:color="auto" w:fill="FFFFFF"/>
          <w:lang w:val="en-US"/>
        </w:rPr>
        <w:t xml:space="preserve"> </w:t>
      </w:r>
      <w:r w:rsidR="00E9538F" w:rsidRPr="003D4A6E">
        <w:rPr>
          <w:shd w:val="clear" w:color="auto" w:fill="FFFFFF"/>
          <w:lang w:val="en-US"/>
        </w:rPr>
        <w:t>higher than in</w:t>
      </w:r>
      <w:r w:rsidR="00F60A54" w:rsidRPr="003D4A6E">
        <w:rPr>
          <w:shd w:val="clear" w:color="auto" w:fill="FFFFFF"/>
          <w:lang w:val="en-US"/>
        </w:rPr>
        <w:t xml:space="preserve"> </w:t>
      </w:r>
      <w:r w:rsidR="00A63006" w:rsidRPr="003D4A6E">
        <w:rPr>
          <w:shd w:val="clear" w:color="auto" w:fill="FFFFFF"/>
          <w:lang w:val="en-US"/>
        </w:rPr>
        <w:t xml:space="preserve">the </w:t>
      </w:r>
      <w:r w:rsidR="00F60A54" w:rsidRPr="003D4A6E">
        <w:rPr>
          <w:shd w:val="clear" w:color="auto" w:fill="FFFFFF"/>
          <w:lang w:val="en-US"/>
        </w:rPr>
        <w:t>previous year</w:t>
      </w:r>
      <w:r w:rsidR="00D94FD2" w:rsidRPr="003D4A6E">
        <w:rPr>
          <w:shd w:val="clear" w:color="auto" w:fill="FFFFFF"/>
          <w:lang w:val="en-US"/>
        </w:rPr>
        <w:t xml:space="preserve">. </w:t>
      </w:r>
      <w:r w:rsidR="00A63006" w:rsidRPr="003D4A6E">
        <w:rPr>
          <w:shd w:val="clear" w:color="auto" w:fill="FFFFFF"/>
          <w:lang w:val="en-US"/>
        </w:rPr>
        <w:t>T</w:t>
      </w:r>
      <w:r w:rsidR="00A63006" w:rsidRPr="003D4A6E">
        <w:rPr>
          <w:shd w:val="clear" w:color="auto" w:fill="FFFFFF"/>
          <w:lang w:val="en-GB"/>
        </w:rPr>
        <w:t xml:space="preserve">here was the </w:t>
      </w:r>
      <w:r w:rsidR="002E4142" w:rsidRPr="003D4A6E">
        <w:rPr>
          <w:shd w:val="clear" w:color="auto" w:fill="FFFFFF"/>
          <w:lang w:val="en-GB"/>
        </w:rPr>
        <w:t xml:space="preserve">domination </w:t>
      </w:r>
      <w:r w:rsidR="00A63006" w:rsidRPr="003D4A6E">
        <w:rPr>
          <w:shd w:val="clear" w:color="auto" w:fill="FFFFFF"/>
          <w:lang w:val="en-GB"/>
        </w:rPr>
        <w:t>of housing allowances</w:t>
      </w:r>
      <w:r w:rsidR="002E4142" w:rsidRPr="003D4A6E">
        <w:rPr>
          <w:shd w:val="clear" w:color="auto" w:fill="FFFFFF"/>
          <w:lang w:val="en-GB"/>
        </w:rPr>
        <w:t xml:space="preserve"> (in their total number) </w:t>
      </w:r>
      <w:r w:rsidR="00A63006" w:rsidRPr="003D4A6E">
        <w:rPr>
          <w:shd w:val="clear" w:color="auto" w:fill="FFFFFF"/>
          <w:lang w:val="en-GB"/>
        </w:rPr>
        <w:t xml:space="preserve"> that was paid to the users of </w:t>
      </w:r>
      <w:proofErr w:type="spellStart"/>
      <w:r w:rsidR="00A63006" w:rsidRPr="003D4A6E">
        <w:rPr>
          <w:shd w:val="clear" w:color="auto" w:fill="FFFFFF"/>
          <w:lang w:val="en-GB"/>
        </w:rPr>
        <w:t>gminas</w:t>
      </w:r>
      <w:proofErr w:type="spellEnd"/>
      <w:r w:rsidR="00A63006" w:rsidRPr="003D4A6E">
        <w:rPr>
          <w:shd w:val="clear" w:color="auto" w:fill="FFFFFF"/>
          <w:lang w:val="en-GB"/>
        </w:rPr>
        <w:t>’ premises (</w:t>
      </w:r>
      <w:r w:rsidR="002E4142" w:rsidRPr="003D4A6E">
        <w:rPr>
          <w:shd w:val="clear" w:color="auto" w:fill="FFFFFF"/>
          <w:lang w:val="en-GB"/>
        </w:rPr>
        <w:t>3</w:t>
      </w:r>
      <w:r w:rsidR="00B64DE8">
        <w:rPr>
          <w:shd w:val="clear" w:color="auto" w:fill="FFFFFF"/>
          <w:lang w:val="en-GB"/>
        </w:rPr>
        <w:t>7</w:t>
      </w:r>
      <w:r w:rsidR="00A63006" w:rsidRPr="003D4A6E">
        <w:rPr>
          <w:shd w:val="clear" w:color="auto" w:fill="FFFFFF"/>
          <w:lang w:val="en-GB"/>
        </w:rPr>
        <w:t>.</w:t>
      </w:r>
      <w:r w:rsidR="00B64DE8">
        <w:rPr>
          <w:shd w:val="clear" w:color="auto" w:fill="FFFFFF"/>
          <w:lang w:val="en-GB"/>
        </w:rPr>
        <w:t>6</w:t>
      </w:r>
      <w:r w:rsidR="002E4142" w:rsidRPr="003D4A6E">
        <w:rPr>
          <w:shd w:val="clear" w:color="auto" w:fill="FFFFFF"/>
          <w:lang w:val="en-GB"/>
        </w:rPr>
        <w:t xml:space="preserve"> </w:t>
      </w:r>
      <w:r w:rsidR="00A63006" w:rsidRPr="003D4A6E">
        <w:rPr>
          <w:shd w:val="clear" w:color="auto" w:fill="FFFFFF"/>
          <w:lang w:val="en-GB"/>
        </w:rPr>
        <w:t>% share) and housing cooperatives dwellings (2</w:t>
      </w:r>
      <w:r w:rsidR="00B64DE8">
        <w:rPr>
          <w:shd w:val="clear" w:color="auto" w:fill="FFFFFF"/>
          <w:lang w:val="en-GB"/>
        </w:rPr>
        <w:t>7</w:t>
      </w:r>
      <w:r w:rsidR="00A63006" w:rsidRPr="003D4A6E">
        <w:rPr>
          <w:shd w:val="clear" w:color="auto" w:fill="FFFFFF"/>
          <w:lang w:val="en-GB"/>
        </w:rPr>
        <w:t>.</w:t>
      </w:r>
      <w:r w:rsidR="00B64DE8">
        <w:rPr>
          <w:shd w:val="clear" w:color="auto" w:fill="FFFFFF"/>
          <w:lang w:val="en-GB"/>
        </w:rPr>
        <w:t>4</w:t>
      </w:r>
      <w:r w:rsidR="00A63006" w:rsidRPr="003D4A6E">
        <w:rPr>
          <w:shd w:val="clear" w:color="auto" w:fill="FFFFFF"/>
          <w:lang w:val="en-GB"/>
        </w:rPr>
        <w:t> %</w:t>
      </w:r>
      <w:r w:rsidR="002E4142" w:rsidRPr="003D4A6E">
        <w:rPr>
          <w:shd w:val="clear" w:color="auto" w:fill="FFFFFF"/>
          <w:lang w:val="en-GB"/>
        </w:rPr>
        <w:t xml:space="preserve"> share</w:t>
      </w:r>
      <w:r w:rsidR="00A63006" w:rsidRPr="003D4A6E">
        <w:rPr>
          <w:shd w:val="clear" w:color="auto" w:fill="FFFFFF"/>
          <w:lang w:val="en-GB"/>
        </w:rPr>
        <w:t xml:space="preserve">).  </w:t>
      </w:r>
      <w:r w:rsidR="002E4142" w:rsidRPr="003D4A6E">
        <w:rPr>
          <w:shd w:val="clear" w:color="auto" w:fill="FFFFFF"/>
          <w:lang w:val="en-GB"/>
        </w:rPr>
        <w:t xml:space="preserve">The share of allowances paid to </w:t>
      </w:r>
      <w:r w:rsidR="00A63006" w:rsidRPr="003D4A6E">
        <w:rPr>
          <w:shd w:val="clear" w:color="auto" w:fill="FFFFFF"/>
          <w:lang w:val="en-GB"/>
        </w:rPr>
        <w:t xml:space="preserve">the users of dwellings of public building societies and other entities </w:t>
      </w:r>
      <w:r w:rsidR="002E4142" w:rsidRPr="003D4A6E">
        <w:rPr>
          <w:shd w:val="clear" w:color="auto" w:fill="FFFFFF"/>
          <w:lang w:val="en-GB"/>
        </w:rPr>
        <w:t>occurred to be very low</w:t>
      </w:r>
      <w:r w:rsidR="00EB420D">
        <w:rPr>
          <w:shd w:val="clear" w:color="auto" w:fill="FFFFFF"/>
          <w:lang w:val="en-GB"/>
        </w:rPr>
        <w:t xml:space="preserve"> </w:t>
      </w:r>
      <w:r w:rsidR="00EB420D" w:rsidRPr="003D4A6E">
        <w:rPr>
          <w:shd w:val="clear" w:color="auto" w:fill="FFFFFF"/>
          <w:lang w:val="en-GB"/>
        </w:rPr>
        <w:t>(2.</w:t>
      </w:r>
      <w:r w:rsidR="00B64DE8">
        <w:rPr>
          <w:shd w:val="clear" w:color="auto" w:fill="FFFFFF"/>
          <w:lang w:val="en-GB"/>
        </w:rPr>
        <w:t>5</w:t>
      </w:r>
      <w:r w:rsidR="00EB420D" w:rsidRPr="003D4A6E">
        <w:rPr>
          <w:shd w:val="clear" w:color="auto" w:fill="FFFFFF"/>
          <w:lang w:val="en-GB"/>
        </w:rPr>
        <w:t> %</w:t>
      </w:r>
      <w:r w:rsidR="00EB420D">
        <w:rPr>
          <w:shd w:val="clear" w:color="auto" w:fill="FFFFFF"/>
          <w:lang w:val="en-GB"/>
        </w:rPr>
        <w:t xml:space="preserve"> and </w:t>
      </w:r>
      <w:r w:rsidR="00EB420D" w:rsidRPr="003D4A6E">
        <w:rPr>
          <w:shd w:val="clear" w:color="auto" w:fill="FFFFFF"/>
          <w:lang w:val="en-GB"/>
        </w:rPr>
        <w:t>4.</w:t>
      </w:r>
      <w:r w:rsidR="00B64DE8">
        <w:rPr>
          <w:shd w:val="clear" w:color="auto" w:fill="FFFFFF"/>
          <w:lang w:val="en-GB"/>
        </w:rPr>
        <w:t>9</w:t>
      </w:r>
      <w:r w:rsidR="00EB420D" w:rsidRPr="003D4A6E">
        <w:rPr>
          <w:shd w:val="clear" w:color="auto" w:fill="FFFFFF"/>
          <w:lang w:val="en-GB"/>
        </w:rPr>
        <w:t> %)</w:t>
      </w:r>
      <w:r w:rsidR="002E4142" w:rsidRPr="003D4A6E">
        <w:rPr>
          <w:shd w:val="clear" w:color="auto" w:fill="FFFFFF"/>
          <w:lang w:val="en-GB"/>
        </w:rPr>
        <w:t>.</w:t>
      </w:r>
      <w:r w:rsidR="00B64DE8">
        <w:rPr>
          <w:shd w:val="clear" w:color="auto" w:fill="FFFFFF"/>
          <w:lang w:val="en-GB"/>
        </w:rPr>
        <w:t xml:space="preserve"> </w:t>
      </w:r>
      <w:r w:rsidR="00C972A5" w:rsidRPr="003D4A6E">
        <w:rPr>
          <w:shd w:val="clear" w:color="auto" w:fill="FFFFFF"/>
          <w:lang w:val="en-GB"/>
        </w:rPr>
        <w:t xml:space="preserve">Average amount of housing allowance was PLN </w:t>
      </w:r>
      <w:r w:rsidR="00B64DE8">
        <w:rPr>
          <w:shd w:val="clear" w:color="auto" w:fill="FFFFFF"/>
          <w:lang w:val="en-GB"/>
        </w:rPr>
        <w:t>313.1</w:t>
      </w:r>
      <w:r w:rsidR="00C972A5" w:rsidRPr="003D4A6E">
        <w:rPr>
          <w:shd w:val="clear" w:color="auto" w:fill="FFFFFF"/>
          <w:lang w:val="en-GB"/>
        </w:rPr>
        <w:t xml:space="preserve">. The average amount of the allowance that was paid to the users of dwellings of </w:t>
      </w:r>
      <w:r w:rsidR="00B64DE8">
        <w:rPr>
          <w:shd w:val="clear" w:color="auto" w:fill="FFFFFF"/>
          <w:lang w:val="en-GB"/>
        </w:rPr>
        <w:t>private</w:t>
      </w:r>
      <w:r w:rsidR="0061220F">
        <w:rPr>
          <w:shd w:val="clear" w:color="auto" w:fill="FFFFFF"/>
          <w:lang w:val="en-GB"/>
        </w:rPr>
        <w:t xml:space="preserve"> units</w:t>
      </w:r>
      <w:r w:rsidR="00C972A5" w:rsidRPr="003D4A6E">
        <w:rPr>
          <w:shd w:val="clear" w:color="auto" w:fill="FFFFFF"/>
          <w:lang w:val="en-GB"/>
        </w:rPr>
        <w:t xml:space="preserve"> reached PLN 3</w:t>
      </w:r>
      <w:r w:rsidR="0061220F">
        <w:rPr>
          <w:shd w:val="clear" w:color="auto" w:fill="FFFFFF"/>
          <w:lang w:val="en-GB"/>
        </w:rPr>
        <w:t>65.4 and was the highest</w:t>
      </w:r>
      <w:r w:rsidR="00C972A5" w:rsidRPr="003D4A6E">
        <w:rPr>
          <w:shd w:val="clear" w:color="auto" w:fill="FFFFFF"/>
          <w:lang w:val="en-GB"/>
        </w:rPr>
        <w:t xml:space="preserve">, while the lowest (PLN </w:t>
      </w:r>
      <w:r w:rsidR="00C972A5" w:rsidRPr="003D4A6E">
        <w:rPr>
          <w:spacing w:val="-2"/>
          <w:szCs w:val="19"/>
          <w:lang w:val="en-US"/>
        </w:rPr>
        <w:t>2</w:t>
      </w:r>
      <w:r w:rsidR="0061220F">
        <w:rPr>
          <w:spacing w:val="-2"/>
          <w:szCs w:val="19"/>
          <w:lang w:val="en-US"/>
        </w:rPr>
        <w:t>77.3</w:t>
      </w:r>
      <w:r w:rsidR="00C972A5" w:rsidRPr="003D4A6E">
        <w:rPr>
          <w:spacing w:val="-2"/>
          <w:szCs w:val="19"/>
          <w:lang w:val="en-US"/>
        </w:rPr>
        <w:t>)</w:t>
      </w:r>
      <w:r w:rsidR="00C972A5" w:rsidRPr="003D4A6E">
        <w:rPr>
          <w:shd w:val="clear" w:color="auto" w:fill="FFFFFF"/>
          <w:lang w:val="en-GB"/>
        </w:rPr>
        <w:t xml:space="preserve"> to the users of premises being part of housing condominiums.</w:t>
      </w:r>
      <w:r w:rsidR="0061220F" w:rsidRPr="0061220F">
        <w:t xml:space="preserve"> </w:t>
      </w:r>
    </w:p>
    <w:p w14:paraId="4C02F52A" w14:textId="77777777" w:rsidR="00DF0B22" w:rsidRPr="00C972A5" w:rsidRDefault="00DF0B22" w:rsidP="00781CE2">
      <w:pPr>
        <w:spacing w:before="0" w:after="0"/>
        <w:rPr>
          <w:b/>
          <w:spacing w:val="-2"/>
          <w:sz w:val="18"/>
          <w:lang w:val="en-US"/>
        </w:rPr>
      </w:pPr>
    </w:p>
    <w:p w14:paraId="4C1990A8" w14:textId="77777777" w:rsidR="00994A0E" w:rsidRDefault="00994A0E" w:rsidP="00994A0E">
      <w:pPr>
        <w:spacing w:before="0" w:after="0"/>
        <w:rPr>
          <w:b/>
          <w:spacing w:val="-2"/>
          <w:sz w:val="18"/>
        </w:rPr>
      </w:pPr>
      <w:proofErr w:type="spellStart"/>
      <w:r w:rsidRPr="00F0243D">
        <w:rPr>
          <w:b/>
          <w:spacing w:val="-2"/>
          <w:sz w:val="18"/>
        </w:rPr>
        <w:t>Tabl</w:t>
      </w:r>
      <w:r>
        <w:rPr>
          <w:b/>
          <w:spacing w:val="-2"/>
          <w:sz w:val="18"/>
        </w:rPr>
        <w:t>e</w:t>
      </w:r>
      <w:proofErr w:type="spellEnd"/>
      <w:r w:rsidRPr="00F0243D">
        <w:rPr>
          <w:b/>
          <w:spacing w:val="-2"/>
          <w:sz w:val="18"/>
        </w:rPr>
        <w:t xml:space="preserve"> </w:t>
      </w:r>
      <w:r>
        <w:rPr>
          <w:b/>
          <w:spacing w:val="-2"/>
          <w:sz w:val="18"/>
        </w:rPr>
        <w:t>3</w:t>
      </w:r>
      <w:r w:rsidRPr="00F0243D">
        <w:rPr>
          <w:b/>
          <w:spacing w:val="-2"/>
          <w:sz w:val="18"/>
        </w:rPr>
        <w:t xml:space="preserve">. </w:t>
      </w:r>
      <w:proofErr w:type="spellStart"/>
      <w:r>
        <w:rPr>
          <w:b/>
          <w:spacing w:val="-2"/>
          <w:sz w:val="18"/>
        </w:rPr>
        <w:t>Housing</w:t>
      </w:r>
      <w:proofErr w:type="spellEnd"/>
      <w:r>
        <w:rPr>
          <w:b/>
          <w:spacing w:val="-2"/>
          <w:sz w:val="18"/>
        </w:rPr>
        <w:t xml:space="preserve"> </w:t>
      </w:r>
      <w:proofErr w:type="spellStart"/>
      <w:r>
        <w:rPr>
          <w:b/>
          <w:spacing w:val="-2"/>
          <w:sz w:val="18"/>
        </w:rPr>
        <w:t>allowances</w:t>
      </w:r>
      <w:proofErr w:type="spellEnd"/>
    </w:p>
    <w:p w14:paraId="79B370D9" w14:textId="2F320798" w:rsidR="00781CE2" w:rsidRPr="00137A55" w:rsidRDefault="00781CE2" w:rsidP="00781CE2">
      <w:pPr>
        <w:spacing w:before="0" w:after="0"/>
        <w:rPr>
          <w:b/>
          <w:spacing w:val="-2"/>
          <w:sz w:val="18"/>
        </w:rPr>
      </w:pPr>
    </w:p>
    <w:tbl>
      <w:tblPr>
        <w:tblW w:w="7878" w:type="dxa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e 3"/>
        <w:tblDescription w:val="Housing allowances"/>
      </w:tblPr>
      <w:tblGrid>
        <w:gridCol w:w="4239"/>
        <w:gridCol w:w="850"/>
        <w:gridCol w:w="987"/>
        <w:gridCol w:w="872"/>
        <w:gridCol w:w="930"/>
      </w:tblGrid>
      <w:tr w:rsidR="00EB7EE3" w:rsidRPr="00137A55" w14:paraId="5DAD776A" w14:textId="77777777" w:rsidTr="002655AB">
        <w:trPr>
          <w:trHeight w:val="315"/>
        </w:trPr>
        <w:tc>
          <w:tcPr>
            <w:tcW w:w="4239" w:type="dxa"/>
            <w:shd w:val="clear" w:color="auto" w:fill="auto"/>
            <w:vAlign w:val="center"/>
            <w:hideMark/>
          </w:tcPr>
          <w:p w14:paraId="73FD3D33" w14:textId="4CC6324B" w:rsidR="00EB7EE3" w:rsidRPr="00137A55" w:rsidRDefault="00250127" w:rsidP="00EB7EE3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>
              <w:rPr>
                <w:rFonts w:eastAsia="Times New Roman" w:cs="Calibri"/>
                <w:sz w:val="16"/>
                <w:szCs w:val="16"/>
                <w:lang w:eastAsia="pl-PL"/>
              </w:rPr>
              <w:t>Specification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521BDD8" w14:textId="17B2F6E0" w:rsidR="00EB7EE3" w:rsidRPr="00137A55" w:rsidRDefault="00EB7EE3" w:rsidP="00EB7EE3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202</w:t>
            </w:r>
            <w:r w:rsidR="0061220F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0A7CEC1A" w14:textId="21CD2D7C" w:rsidR="00EB7EE3" w:rsidRPr="00137A55" w:rsidRDefault="00EB7EE3" w:rsidP="00EB7EE3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202</w:t>
            </w:r>
            <w:r w:rsidR="0061220F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 xml:space="preserve"> = 100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757A52BF" w14:textId="3505FABF" w:rsidR="00EB7EE3" w:rsidRPr="00137A55" w:rsidRDefault="00EB7EE3" w:rsidP="00EB7EE3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202</w:t>
            </w:r>
            <w:r w:rsidR="0061220F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70C55727" w14:textId="73AFF6AE" w:rsidR="00EB7EE3" w:rsidRPr="00137A55" w:rsidRDefault="00EB7EE3" w:rsidP="00EB7EE3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202</w:t>
            </w:r>
            <w:r w:rsidR="0061220F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 xml:space="preserve"> = 100</w:t>
            </w:r>
          </w:p>
        </w:tc>
      </w:tr>
      <w:tr w:rsidR="0061220F" w:rsidRPr="00137A55" w14:paraId="22A247C6" w14:textId="77777777" w:rsidTr="00C362CA">
        <w:trPr>
          <w:trHeight w:val="330"/>
        </w:trPr>
        <w:tc>
          <w:tcPr>
            <w:tcW w:w="4239" w:type="dxa"/>
            <w:shd w:val="clear" w:color="auto" w:fill="auto"/>
            <w:vAlign w:val="center"/>
            <w:hideMark/>
          </w:tcPr>
          <w:p w14:paraId="62CB0E46" w14:textId="13F56E85" w:rsidR="0061220F" w:rsidRPr="00880BA4" w:rsidRDefault="0061220F" w:rsidP="0061220F">
            <w:pPr>
              <w:spacing w:before="0" w:after="0"/>
              <w:rPr>
                <w:rFonts w:eastAsia="Times New Roman" w:cs="Calibri"/>
                <w:sz w:val="16"/>
                <w:szCs w:val="16"/>
                <w:lang w:val="en-US" w:eastAsia="pl-PL"/>
              </w:rPr>
            </w:pPr>
            <w:r w:rsidRPr="00281994">
              <w:rPr>
                <w:rFonts w:eastAsia="Times New Roman" w:cs="Calibri"/>
                <w:sz w:val="16"/>
                <w:szCs w:val="16"/>
                <w:lang w:val="en-GB" w:eastAsia="pl-PL"/>
              </w:rPr>
              <w:t>Number of housing allowances paid in thousand</w:t>
            </w:r>
            <w:r>
              <w:rPr>
                <w:rFonts w:eastAsia="Times New Roman" w:cs="Calibri"/>
                <w:sz w:val="16"/>
                <w:szCs w:val="16"/>
                <w:lang w:val="en-GB" w:eastAsia="pl-PL"/>
              </w:rPr>
              <w:t>s</w:t>
            </w:r>
          </w:p>
        </w:tc>
        <w:tc>
          <w:tcPr>
            <w:tcW w:w="850" w:type="dxa"/>
            <w:shd w:val="clear" w:color="auto" w:fill="auto"/>
          </w:tcPr>
          <w:p w14:paraId="22EF7B6F" w14:textId="6B7AAB6B" w:rsidR="0061220F" w:rsidRPr="0061220F" w:rsidRDefault="0061220F" w:rsidP="0061220F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61220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 </w:t>
            </w:r>
            <w:r w:rsidRPr="0061220F">
              <w:rPr>
                <w:sz w:val="16"/>
                <w:szCs w:val="16"/>
              </w:rPr>
              <w:t>648</w:t>
            </w:r>
            <w:r>
              <w:rPr>
                <w:sz w:val="16"/>
                <w:szCs w:val="16"/>
              </w:rPr>
              <w:t>.</w:t>
            </w:r>
            <w:r w:rsidRPr="0061220F">
              <w:rPr>
                <w:sz w:val="16"/>
                <w:szCs w:val="16"/>
              </w:rPr>
              <w:t>7</w:t>
            </w:r>
          </w:p>
        </w:tc>
        <w:tc>
          <w:tcPr>
            <w:tcW w:w="987" w:type="dxa"/>
            <w:shd w:val="clear" w:color="auto" w:fill="auto"/>
          </w:tcPr>
          <w:p w14:paraId="585F094B" w14:textId="4B871DD3" w:rsidR="0061220F" w:rsidRPr="0061220F" w:rsidRDefault="0061220F" w:rsidP="0061220F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61220F">
              <w:rPr>
                <w:sz w:val="16"/>
                <w:szCs w:val="16"/>
              </w:rPr>
              <w:t>106</w:t>
            </w:r>
            <w:r>
              <w:rPr>
                <w:sz w:val="16"/>
                <w:szCs w:val="16"/>
              </w:rPr>
              <w:t>.</w:t>
            </w:r>
            <w:r w:rsidRPr="0061220F">
              <w:rPr>
                <w:sz w:val="16"/>
                <w:szCs w:val="16"/>
              </w:rPr>
              <w:t>7</w:t>
            </w:r>
          </w:p>
        </w:tc>
        <w:tc>
          <w:tcPr>
            <w:tcW w:w="872" w:type="dxa"/>
            <w:shd w:val="clear" w:color="auto" w:fill="auto"/>
          </w:tcPr>
          <w:p w14:paraId="50F47662" w14:textId="2DFB45BC" w:rsidR="0061220F" w:rsidRPr="0061220F" w:rsidRDefault="0061220F" w:rsidP="0061220F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61220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 </w:t>
            </w:r>
            <w:r w:rsidRPr="0061220F">
              <w:rPr>
                <w:sz w:val="16"/>
                <w:szCs w:val="16"/>
              </w:rPr>
              <w:t>808</w:t>
            </w:r>
            <w:r>
              <w:rPr>
                <w:sz w:val="16"/>
                <w:szCs w:val="16"/>
              </w:rPr>
              <w:t>.</w:t>
            </w:r>
            <w:r w:rsidRPr="0061220F">
              <w:rPr>
                <w:sz w:val="16"/>
                <w:szCs w:val="16"/>
              </w:rPr>
              <w:t>6</w:t>
            </w:r>
          </w:p>
        </w:tc>
        <w:tc>
          <w:tcPr>
            <w:tcW w:w="930" w:type="dxa"/>
            <w:shd w:val="clear" w:color="auto" w:fill="auto"/>
          </w:tcPr>
          <w:p w14:paraId="4D6E7C45" w14:textId="0E2D23E8" w:rsidR="0061220F" w:rsidRPr="0061220F" w:rsidRDefault="0061220F" w:rsidP="0061220F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61220F">
              <w:rPr>
                <w:sz w:val="16"/>
                <w:szCs w:val="16"/>
              </w:rPr>
              <w:t>106</w:t>
            </w:r>
            <w:r>
              <w:rPr>
                <w:sz w:val="16"/>
                <w:szCs w:val="16"/>
              </w:rPr>
              <w:t>.</w:t>
            </w:r>
            <w:r w:rsidRPr="0061220F">
              <w:rPr>
                <w:sz w:val="16"/>
                <w:szCs w:val="16"/>
              </w:rPr>
              <w:t>0</w:t>
            </w:r>
          </w:p>
        </w:tc>
      </w:tr>
      <w:tr w:rsidR="0061220F" w:rsidRPr="00137A55" w14:paraId="1A70514D" w14:textId="77777777" w:rsidTr="00C362CA">
        <w:trPr>
          <w:trHeight w:val="315"/>
        </w:trPr>
        <w:tc>
          <w:tcPr>
            <w:tcW w:w="4239" w:type="dxa"/>
            <w:shd w:val="clear" w:color="auto" w:fill="auto"/>
            <w:vAlign w:val="center"/>
            <w:hideMark/>
          </w:tcPr>
          <w:p w14:paraId="46A82F33" w14:textId="419AECF7" w:rsidR="0061220F" w:rsidRPr="00880BA4" w:rsidRDefault="0061220F" w:rsidP="0061220F">
            <w:pPr>
              <w:spacing w:before="0" w:after="0"/>
              <w:rPr>
                <w:rFonts w:eastAsia="Times New Roman" w:cs="Calibri"/>
                <w:sz w:val="16"/>
                <w:szCs w:val="16"/>
                <w:lang w:val="en-US" w:eastAsia="pl-PL"/>
              </w:rPr>
            </w:pPr>
            <w:r w:rsidRPr="00281994">
              <w:rPr>
                <w:rFonts w:eastAsia="Times New Roman" w:cs="Calibri"/>
                <w:sz w:val="16"/>
                <w:szCs w:val="16"/>
                <w:lang w:val="en-GB" w:eastAsia="pl-PL"/>
              </w:rPr>
              <w:t>Amount of housing allowances paid in thousand PLN</w:t>
            </w:r>
          </w:p>
        </w:tc>
        <w:tc>
          <w:tcPr>
            <w:tcW w:w="850" w:type="dxa"/>
            <w:shd w:val="clear" w:color="auto" w:fill="auto"/>
          </w:tcPr>
          <w:p w14:paraId="3D27A12D" w14:textId="341E0E4F" w:rsidR="0061220F" w:rsidRPr="0061220F" w:rsidRDefault="0061220F" w:rsidP="0061220F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61220F">
              <w:rPr>
                <w:sz w:val="16"/>
                <w:szCs w:val="16"/>
              </w:rPr>
              <w:t>730</w:t>
            </w:r>
            <w:r>
              <w:rPr>
                <w:sz w:val="16"/>
                <w:szCs w:val="16"/>
              </w:rPr>
              <w:t> </w:t>
            </w:r>
            <w:r w:rsidRPr="0061220F">
              <w:rPr>
                <w:sz w:val="16"/>
                <w:szCs w:val="16"/>
              </w:rPr>
              <w:t>520</w:t>
            </w:r>
            <w:r>
              <w:rPr>
                <w:sz w:val="16"/>
                <w:szCs w:val="16"/>
              </w:rPr>
              <w:t>.</w:t>
            </w:r>
            <w:r w:rsidRPr="0061220F">
              <w:rPr>
                <w:sz w:val="16"/>
                <w:szCs w:val="16"/>
              </w:rPr>
              <w:t>9</w:t>
            </w:r>
          </w:p>
        </w:tc>
        <w:tc>
          <w:tcPr>
            <w:tcW w:w="987" w:type="dxa"/>
            <w:shd w:val="clear" w:color="auto" w:fill="auto"/>
          </w:tcPr>
          <w:p w14:paraId="345F1989" w14:textId="29486367" w:rsidR="0061220F" w:rsidRPr="0061220F" w:rsidRDefault="0061220F" w:rsidP="0061220F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61220F">
              <w:rPr>
                <w:sz w:val="16"/>
                <w:szCs w:val="16"/>
              </w:rPr>
              <w:t>118</w:t>
            </w:r>
            <w:r>
              <w:rPr>
                <w:sz w:val="16"/>
                <w:szCs w:val="16"/>
              </w:rPr>
              <w:t>.</w:t>
            </w:r>
            <w:r w:rsidRPr="0061220F">
              <w:rPr>
                <w:sz w:val="16"/>
                <w:szCs w:val="16"/>
              </w:rPr>
              <w:t>7</w:t>
            </w:r>
          </w:p>
        </w:tc>
        <w:tc>
          <w:tcPr>
            <w:tcW w:w="872" w:type="dxa"/>
            <w:shd w:val="clear" w:color="auto" w:fill="auto"/>
          </w:tcPr>
          <w:p w14:paraId="3F635C9C" w14:textId="1051BD7E" w:rsidR="0061220F" w:rsidRPr="0061220F" w:rsidRDefault="0061220F" w:rsidP="0061220F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61220F">
              <w:rPr>
                <w:sz w:val="16"/>
                <w:szCs w:val="16"/>
              </w:rPr>
              <w:t>879</w:t>
            </w:r>
            <w:r>
              <w:rPr>
                <w:sz w:val="16"/>
                <w:szCs w:val="16"/>
              </w:rPr>
              <w:t> </w:t>
            </w:r>
            <w:r w:rsidRPr="0061220F">
              <w:rPr>
                <w:sz w:val="16"/>
                <w:szCs w:val="16"/>
              </w:rPr>
              <w:t>301</w:t>
            </w:r>
            <w:r>
              <w:rPr>
                <w:sz w:val="16"/>
                <w:szCs w:val="16"/>
              </w:rPr>
              <w:t>.</w:t>
            </w:r>
            <w:r w:rsidRPr="0061220F">
              <w:rPr>
                <w:sz w:val="16"/>
                <w:szCs w:val="16"/>
              </w:rPr>
              <w:t>2</w:t>
            </w:r>
          </w:p>
        </w:tc>
        <w:tc>
          <w:tcPr>
            <w:tcW w:w="930" w:type="dxa"/>
            <w:shd w:val="clear" w:color="auto" w:fill="auto"/>
          </w:tcPr>
          <w:p w14:paraId="61E49D38" w14:textId="17B2E1A7" w:rsidR="0061220F" w:rsidRPr="0061220F" w:rsidRDefault="0061220F" w:rsidP="0061220F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61220F">
              <w:rPr>
                <w:sz w:val="16"/>
                <w:szCs w:val="16"/>
              </w:rPr>
              <w:t>120</w:t>
            </w:r>
            <w:r>
              <w:rPr>
                <w:sz w:val="16"/>
                <w:szCs w:val="16"/>
              </w:rPr>
              <w:t>.</w:t>
            </w:r>
            <w:r w:rsidRPr="0061220F">
              <w:rPr>
                <w:sz w:val="16"/>
                <w:szCs w:val="16"/>
              </w:rPr>
              <w:t>4</w:t>
            </w:r>
          </w:p>
        </w:tc>
      </w:tr>
      <w:tr w:rsidR="0061220F" w:rsidRPr="00137A55" w14:paraId="51FC80B0" w14:textId="77777777" w:rsidTr="00C362CA">
        <w:trPr>
          <w:trHeight w:val="315"/>
        </w:trPr>
        <w:tc>
          <w:tcPr>
            <w:tcW w:w="4239" w:type="dxa"/>
            <w:shd w:val="clear" w:color="auto" w:fill="auto"/>
            <w:vAlign w:val="center"/>
          </w:tcPr>
          <w:p w14:paraId="61EBB649" w14:textId="59520EB1" w:rsidR="0061220F" w:rsidRPr="00880BA4" w:rsidRDefault="0061220F" w:rsidP="0061220F">
            <w:pPr>
              <w:spacing w:before="0" w:after="0"/>
              <w:rPr>
                <w:rFonts w:eastAsia="Times New Roman" w:cs="Calibri"/>
                <w:sz w:val="16"/>
                <w:szCs w:val="16"/>
                <w:lang w:val="en-US" w:eastAsia="pl-PL"/>
              </w:rPr>
            </w:pPr>
            <w:r w:rsidRPr="00281994">
              <w:rPr>
                <w:rFonts w:eastAsia="Times New Roman" w:cs="Calibri"/>
                <w:sz w:val="16"/>
                <w:szCs w:val="16"/>
                <w:lang w:val="en-GB" w:eastAsia="pl-PL"/>
              </w:rPr>
              <w:t>Average amount of housing allowance in PLN</w:t>
            </w:r>
          </w:p>
        </w:tc>
        <w:tc>
          <w:tcPr>
            <w:tcW w:w="850" w:type="dxa"/>
            <w:shd w:val="clear" w:color="auto" w:fill="auto"/>
          </w:tcPr>
          <w:p w14:paraId="2ABCFB04" w14:textId="1D2D05D5" w:rsidR="0061220F" w:rsidRPr="0061220F" w:rsidRDefault="0061220F" w:rsidP="0061220F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61220F">
              <w:rPr>
                <w:sz w:val="16"/>
                <w:szCs w:val="16"/>
              </w:rPr>
              <w:t>275</w:t>
            </w:r>
            <w:r>
              <w:rPr>
                <w:sz w:val="16"/>
                <w:szCs w:val="16"/>
              </w:rPr>
              <w:t>.</w:t>
            </w:r>
            <w:r w:rsidRPr="0061220F">
              <w:rPr>
                <w:sz w:val="16"/>
                <w:szCs w:val="16"/>
              </w:rPr>
              <w:t>8</w:t>
            </w:r>
          </w:p>
        </w:tc>
        <w:tc>
          <w:tcPr>
            <w:tcW w:w="987" w:type="dxa"/>
            <w:shd w:val="clear" w:color="auto" w:fill="auto"/>
          </w:tcPr>
          <w:p w14:paraId="2EF6A2E5" w14:textId="5727B3C7" w:rsidR="0061220F" w:rsidRPr="0061220F" w:rsidRDefault="0061220F" w:rsidP="0061220F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61220F">
              <w:rPr>
                <w:sz w:val="16"/>
                <w:szCs w:val="16"/>
              </w:rPr>
              <w:t>111</w:t>
            </w:r>
            <w:r>
              <w:rPr>
                <w:sz w:val="16"/>
                <w:szCs w:val="16"/>
              </w:rPr>
              <w:t>.</w:t>
            </w:r>
            <w:r w:rsidRPr="0061220F">
              <w:rPr>
                <w:sz w:val="16"/>
                <w:szCs w:val="16"/>
              </w:rPr>
              <w:t>3</w:t>
            </w:r>
          </w:p>
        </w:tc>
        <w:tc>
          <w:tcPr>
            <w:tcW w:w="872" w:type="dxa"/>
            <w:shd w:val="clear" w:color="auto" w:fill="auto"/>
          </w:tcPr>
          <w:p w14:paraId="46D3E7E2" w14:textId="62C98E08" w:rsidR="0061220F" w:rsidRPr="0061220F" w:rsidRDefault="0061220F" w:rsidP="0061220F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61220F">
              <w:rPr>
                <w:sz w:val="16"/>
                <w:szCs w:val="16"/>
              </w:rPr>
              <w:t>313</w:t>
            </w:r>
            <w:r>
              <w:rPr>
                <w:sz w:val="16"/>
                <w:szCs w:val="16"/>
              </w:rPr>
              <w:t>.</w:t>
            </w:r>
            <w:r w:rsidRPr="0061220F">
              <w:rPr>
                <w:sz w:val="16"/>
                <w:szCs w:val="16"/>
              </w:rPr>
              <w:t>1</w:t>
            </w:r>
          </w:p>
        </w:tc>
        <w:tc>
          <w:tcPr>
            <w:tcW w:w="930" w:type="dxa"/>
            <w:shd w:val="clear" w:color="auto" w:fill="auto"/>
          </w:tcPr>
          <w:p w14:paraId="4A73A7E3" w14:textId="1D3489A2" w:rsidR="0061220F" w:rsidRPr="0061220F" w:rsidRDefault="0061220F" w:rsidP="0061220F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61220F">
              <w:rPr>
                <w:sz w:val="16"/>
                <w:szCs w:val="16"/>
              </w:rPr>
              <w:t>113</w:t>
            </w:r>
            <w:r>
              <w:rPr>
                <w:sz w:val="16"/>
                <w:szCs w:val="16"/>
              </w:rPr>
              <w:t>.</w:t>
            </w:r>
            <w:r w:rsidRPr="0061220F">
              <w:rPr>
                <w:sz w:val="16"/>
                <w:szCs w:val="16"/>
              </w:rPr>
              <w:t>5</w:t>
            </w:r>
          </w:p>
        </w:tc>
      </w:tr>
    </w:tbl>
    <w:p w14:paraId="5EE1B5E1" w14:textId="37A6D1ED" w:rsidR="00781CE2" w:rsidRPr="00781CE2" w:rsidRDefault="00781CE2" w:rsidP="00DF0B22">
      <w:pPr>
        <w:pStyle w:val="tekstnaniebieskimtle"/>
        <w:rPr>
          <w:lang w:eastAsia="pl-PL"/>
        </w:rPr>
      </w:pPr>
    </w:p>
    <w:p w14:paraId="5DFAAC6E" w14:textId="77777777" w:rsidR="003D4A6E" w:rsidRDefault="003D4A6E" w:rsidP="00781CE2">
      <w:pPr>
        <w:keepNext/>
        <w:spacing w:before="0" w:after="0" w:line="240" w:lineRule="auto"/>
        <w:outlineLvl w:val="0"/>
        <w:rPr>
          <w:rFonts w:ascii="Fira Sans SemiBold" w:hAnsi="Fira Sans SemiBold"/>
          <w:noProof/>
          <w:color w:val="001D77"/>
          <w:szCs w:val="19"/>
          <w:lang w:val="en-GB" w:eastAsia="pl-PL"/>
        </w:rPr>
      </w:pPr>
    </w:p>
    <w:p w14:paraId="140B5FB1" w14:textId="2B320095" w:rsidR="00781CE2" w:rsidRPr="001272CB" w:rsidRDefault="001272CB" w:rsidP="00781CE2">
      <w:pPr>
        <w:keepNext/>
        <w:spacing w:before="0" w:after="0" w:line="240" w:lineRule="auto"/>
        <w:outlineLvl w:val="0"/>
        <w:rPr>
          <w:rFonts w:eastAsia="Times New Roman" w:cs="Times New Roman"/>
          <w:b/>
          <w:bCs/>
          <w:color w:val="001D77"/>
          <w:szCs w:val="19"/>
          <w:lang w:val="en-US" w:eastAsia="pl-PL"/>
        </w:rPr>
      </w:pPr>
      <w:r w:rsidRPr="00281994">
        <w:rPr>
          <w:rFonts w:ascii="Fira Sans SemiBold" w:hAnsi="Fira Sans SemiBold"/>
          <w:noProof/>
          <w:color w:val="001D77"/>
          <w:szCs w:val="19"/>
          <w:lang w:val="en-GB" w:eastAsia="pl-PL"/>
        </w:rPr>
        <w:t>Management of land for housing constructio</w:t>
      </w:r>
      <w:r>
        <w:rPr>
          <w:rFonts w:ascii="Fira Sans SemiBold" w:hAnsi="Fira Sans SemiBold"/>
          <w:noProof/>
          <w:color w:val="001D77"/>
          <w:szCs w:val="19"/>
          <w:lang w:val="en-GB" w:eastAsia="pl-PL"/>
        </w:rPr>
        <w:t>n</w:t>
      </w:r>
    </w:p>
    <w:p w14:paraId="1362D2CF" w14:textId="6D0011D8" w:rsidR="00781CE2" w:rsidRPr="001272CB" w:rsidRDefault="001B04A2" w:rsidP="00781CE2">
      <w:pPr>
        <w:spacing w:before="0" w:after="0" w:line="240" w:lineRule="auto"/>
        <w:rPr>
          <w:szCs w:val="19"/>
          <w:lang w:val="en-US" w:eastAsia="pl-PL"/>
        </w:rPr>
      </w:pPr>
      <w:r w:rsidRPr="00781CE2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0016" behindDoc="1" locked="0" layoutInCell="1" allowOverlap="1" wp14:anchorId="27364A1E" wp14:editId="4A694A17">
                <wp:simplePos x="0" y="0"/>
                <wp:positionH relativeFrom="rightMargin">
                  <wp:posOffset>-3810</wp:posOffset>
                </wp:positionH>
                <wp:positionV relativeFrom="paragraph">
                  <wp:posOffset>99695</wp:posOffset>
                </wp:positionV>
                <wp:extent cx="1752600" cy="1047750"/>
                <wp:effectExtent l="0" t="0" r="0" b="0"/>
                <wp:wrapTight wrapText="bothSides">
                  <wp:wrapPolygon edited="0">
                    <wp:start x="704" y="0"/>
                    <wp:lineTo x="704" y="21207"/>
                    <wp:lineTo x="20661" y="21207"/>
                    <wp:lineTo x="20661" y="0"/>
                    <wp:lineTo x="704" y="0"/>
                  </wp:wrapPolygon>
                </wp:wrapTight>
                <wp:docPr id="199" name="Pole tekstowe 199" descr="Gminas owned 24,431.4.0 ha of land destined for housing construction, of which 75.8 % of their total area for single-family housing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8506B" w14:textId="10D43C3B" w:rsidR="000558C2" w:rsidRPr="001B04A2" w:rsidRDefault="001B04A2" w:rsidP="00F1102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281994">
                              <w:rPr>
                                <w:lang w:val="en-GB"/>
                              </w:rPr>
                              <w:t>Gminas</w:t>
                            </w:r>
                            <w:proofErr w:type="spellEnd"/>
                            <w:r w:rsidRPr="00281994">
                              <w:rPr>
                                <w:lang w:val="en-GB"/>
                              </w:rPr>
                              <w:t xml:space="preserve"> owned 2</w:t>
                            </w:r>
                            <w:r w:rsidR="0061220F">
                              <w:rPr>
                                <w:lang w:val="en-GB"/>
                              </w:rPr>
                              <w:t>4,431.4</w:t>
                            </w:r>
                            <w:r>
                              <w:rPr>
                                <w:lang w:val="en-GB"/>
                              </w:rPr>
                              <w:t>.0</w:t>
                            </w:r>
                            <w:r w:rsidRPr="00281994">
                              <w:rPr>
                                <w:lang w:val="en-GB"/>
                              </w:rPr>
                              <w:t xml:space="preserve"> ha of land destined for housing construction, of which 7</w:t>
                            </w:r>
                            <w:r w:rsidR="0061220F">
                              <w:rPr>
                                <w:lang w:val="en-GB"/>
                              </w:rPr>
                              <w:t>5</w:t>
                            </w:r>
                            <w:r>
                              <w:rPr>
                                <w:lang w:val="en-GB"/>
                              </w:rPr>
                              <w:t>.</w:t>
                            </w:r>
                            <w:r w:rsidR="0061220F">
                              <w:rPr>
                                <w:lang w:val="en-GB"/>
                              </w:rPr>
                              <w:t>8</w:t>
                            </w:r>
                            <w:r w:rsidRPr="00281994">
                              <w:rPr>
                                <w:lang w:val="en-GB"/>
                              </w:rPr>
                              <w:t> </w:t>
                            </w:r>
                            <w:r w:rsidRPr="001B04A2">
                              <w:rPr>
                                <w:lang w:val="en-US"/>
                              </w:rPr>
                              <w:t>% of their total area for single</w:t>
                            </w:r>
                            <w:r w:rsidRPr="001B04A2">
                              <w:rPr>
                                <w:lang w:val="en-US"/>
                              </w:rPr>
                              <w:noBreakHyphen/>
                              <w:t xml:space="preserve">family housing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64A1E" id="Pole tekstowe 199" o:spid="_x0000_s1032" type="#_x0000_t202" alt="Gminas owned 24,431.4.0 ha of land destined for housing construction, of which 75.8 % of their total area for single-family housing." style="position:absolute;margin-left:-.3pt;margin-top:7.85pt;width:138pt;height:82.5pt;z-index:-25164646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" filled="f" stroked="f">
                <v:textbox>
                  <w:txbxContent>
                    <w:p w14:paraId="2C98506B" w14:textId="10D43C3B" w:rsidR="000558C2" w:rsidRPr="001B04A2" w:rsidRDefault="001B04A2" w:rsidP="00F1102B">
                      <w:pPr>
                        <w:pStyle w:val="tekstzboku"/>
                        <w:rPr>
                          <w:lang w:val="en-US"/>
                        </w:rPr>
                      </w:pPr>
                      <w:proofErr w:type="spellStart"/>
                      <w:r w:rsidRPr="00281994">
                        <w:rPr>
                          <w:lang w:val="en-GB"/>
                        </w:rPr>
                        <w:t>Gminas</w:t>
                      </w:r>
                      <w:proofErr w:type="spellEnd"/>
                      <w:r w:rsidRPr="00281994">
                        <w:rPr>
                          <w:lang w:val="en-GB"/>
                        </w:rPr>
                        <w:t xml:space="preserve"> owned 2</w:t>
                      </w:r>
                      <w:r w:rsidR="0061220F">
                        <w:rPr>
                          <w:lang w:val="en-GB"/>
                        </w:rPr>
                        <w:t>4,431.4</w:t>
                      </w:r>
                      <w:r>
                        <w:rPr>
                          <w:lang w:val="en-GB"/>
                        </w:rPr>
                        <w:t>.0</w:t>
                      </w:r>
                      <w:r w:rsidRPr="00281994">
                        <w:rPr>
                          <w:lang w:val="en-GB"/>
                        </w:rPr>
                        <w:t xml:space="preserve"> ha of land destined for housing construction, of which 7</w:t>
                      </w:r>
                      <w:r w:rsidR="0061220F">
                        <w:rPr>
                          <w:lang w:val="en-GB"/>
                        </w:rPr>
                        <w:t>5</w:t>
                      </w:r>
                      <w:r>
                        <w:rPr>
                          <w:lang w:val="en-GB"/>
                        </w:rPr>
                        <w:t>.</w:t>
                      </w:r>
                      <w:r w:rsidR="0061220F">
                        <w:rPr>
                          <w:lang w:val="en-GB"/>
                        </w:rPr>
                        <w:t>8</w:t>
                      </w:r>
                      <w:r w:rsidRPr="00281994">
                        <w:rPr>
                          <w:lang w:val="en-GB"/>
                        </w:rPr>
                        <w:t> </w:t>
                      </w:r>
                      <w:r w:rsidRPr="001B04A2">
                        <w:rPr>
                          <w:lang w:val="en-US"/>
                        </w:rPr>
                        <w:t>% of their total area for single</w:t>
                      </w:r>
                      <w:r w:rsidRPr="001B04A2">
                        <w:rPr>
                          <w:lang w:val="en-US"/>
                        </w:rPr>
                        <w:noBreakHyphen/>
                        <w:t xml:space="preserve">family housing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4B9662FC" w14:textId="6C44AD3A" w:rsidR="00333523" w:rsidRPr="003D4A6E" w:rsidRDefault="00D012B8" w:rsidP="00333523">
      <w:pPr>
        <w:spacing w:after="0"/>
        <w:rPr>
          <w:shd w:val="clear" w:color="auto" w:fill="FFFFFF"/>
          <w:lang w:val="en-GB"/>
        </w:rPr>
      </w:pPr>
      <w:r w:rsidRPr="003D4A6E">
        <w:rPr>
          <w:lang w:val="en-US"/>
        </w:rPr>
        <w:t xml:space="preserve">In Poland, </w:t>
      </w:r>
      <w:r w:rsidR="000E78F7" w:rsidRPr="003D4A6E">
        <w:rPr>
          <w:lang w:val="en-US"/>
        </w:rPr>
        <w:t xml:space="preserve"> </w:t>
      </w:r>
      <w:r w:rsidRPr="003D4A6E">
        <w:rPr>
          <w:shd w:val="clear" w:color="auto" w:fill="FFFFFF"/>
          <w:lang w:val="en-US"/>
        </w:rPr>
        <w:t>land (</w:t>
      </w:r>
      <w:r w:rsidRPr="003D4A6E">
        <w:rPr>
          <w:lang w:val="en-US"/>
        </w:rPr>
        <w:t xml:space="preserve">not built up) </w:t>
      </w:r>
      <w:r w:rsidRPr="003D4A6E">
        <w:rPr>
          <w:shd w:val="clear" w:color="auto" w:fill="FFFFFF"/>
          <w:lang w:val="en-US"/>
        </w:rPr>
        <w:t xml:space="preserve"> being part of </w:t>
      </w:r>
      <w:proofErr w:type="spellStart"/>
      <w:r w:rsidRPr="003D4A6E">
        <w:rPr>
          <w:shd w:val="clear" w:color="auto" w:fill="FFFFFF"/>
          <w:lang w:val="en-US"/>
        </w:rPr>
        <w:t>gminas</w:t>
      </w:r>
      <w:proofErr w:type="spellEnd"/>
      <w:r w:rsidRPr="003D4A6E">
        <w:rPr>
          <w:shd w:val="clear" w:color="auto" w:fill="FFFFFF"/>
          <w:lang w:val="en-US"/>
        </w:rPr>
        <w:t>’ stocks meant for housing construction</w:t>
      </w:r>
      <w:r w:rsidRPr="003D4A6E">
        <w:rPr>
          <w:lang w:val="en-US"/>
        </w:rPr>
        <w:t>, comprised 2</w:t>
      </w:r>
      <w:r w:rsidR="0061220F">
        <w:rPr>
          <w:lang w:val="en-US"/>
        </w:rPr>
        <w:t>4,431</w:t>
      </w:r>
      <w:r w:rsidRPr="003D4A6E">
        <w:rPr>
          <w:lang w:val="en-US"/>
        </w:rPr>
        <w:t xml:space="preserve">.0 </w:t>
      </w:r>
      <w:r w:rsidR="000E78F7" w:rsidRPr="003D4A6E">
        <w:rPr>
          <w:lang w:val="en-US"/>
        </w:rPr>
        <w:t>ha</w:t>
      </w:r>
      <w:r w:rsidRPr="003D4A6E">
        <w:rPr>
          <w:lang w:val="en-US"/>
        </w:rPr>
        <w:t>.</w:t>
      </w:r>
      <w:r w:rsidRPr="003D4A6E">
        <w:rPr>
          <w:shd w:val="clear" w:color="auto" w:fill="FFFFFF"/>
          <w:lang w:val="en-US"/>
        </w:rPr>
        <w:t xml:space="preserve"> A</w:t>
      </w:r>
      <w:r w:rsidRPr="003D4A6E">
        <w:rPr>
          <w:shd w:val="clear" w:color="auto" w:fill="FFFFFF"/>
          <w:lang w:val="en-GB"/>
        </w:rPr>
        <w:t>s of the end of 202</w:t>
      </w:r>
      <w:r w:rsidR="0061220F">
        <w:rPr>
          <w:shd w:val="clear" w:color="auto" w:fill="FFFFFF"/>
          <w:lang w:val="en-GB"/>
        </w:rPr>
        <w:t>3</w:t>
      </w:r>
      <w:r w:rsidRPr="003D4A6E">
        <w:rPr>
          <w:shd w:val="clear" w:color="auto" w:fill="FFFFFF"/>
          <w:lang w:val="en-GB"/>
        </w:rPr>
        <w:t xml:space="preserve">, </w:t>
      </w:r>
      <w:r w:rsidR="0061220F">
        <w:rPr>
          <w:shd w:val="clear" w:color="auto" w:fill="FFFFFF"/>
          <w:lang w:val="en-GB"/>
        </w:rPr>
        <w:t>62.5</w:t>
      </w:r>
      <w:r w:rsidRPr="003D4A6E">
        <w:rPr>
          <w:shd w:val="clear" w:color="auto" w:fill="FFFFFF"/>
          <w:lang w:val="en-GB"/>
        </w:rPr>
        <w:t xml:space="preserve"> % </w:t>
      </w:r>
      <w:r w:rsidR="00F60E03" w:rsidRPr="003D4A6E">
        <w:rPr>
          <w:shd w:val="clear" w:color="auto" w:fill="FFFFFF"/>
          <w:lang w:val="en-GB"/>
        </w:rPr>
        <w:t xml:space="preserve">such a kind of land </w:t>
      </w:r>
      <w:r w:rsidRPr="003D4A6E">
        <w:rPr>
          <w:shd w:val="clear" w:color="auto" w:fill="FFFFFF"/>
          <w:lang w:val="en-GB"/>
        </w:rPr>
        <w:t xml:space="preserve">was located in urban areas, </w:t>
      </w:r>
      <w:r w:rsidR="00333523" w:rsidRPr="003D4A6E">
        <w:rPr>
          <w:shd w:val="clear" w:color="auto" w:fill="FFFFFF"/>
          <w:lang w:val="en-GB"/>
        </w:rPr>
        <w:t xml:space="preserve">of which </w:t>
      </w:r>
      <w:r w:rsidRPr="003D4A6E">
        <w:rPr>
          <w:shd w:val="clear" w:color="auto" w:fill="FFFFFF"/>
          <w:lang w:val="en-GB"/>
        </w:rPr>
        <w:t>6</w:t>
      </w:r>
      <w:r w:rsidR="00F60E03" w:rsidRPr="003D4A6E">
        <w:rPr>
          <w:shd w:val="clear" w:color="auto" w:fill="FFFFFF"/>
          <w:lang w:val="en-GB"/>
        </w:rPr>
        <w:t>4</w:t>
      </w:r>
      <w:r w:rsidRPr="003D4A6E">
        <w:rPr>
          <w:shd w:val="clear" w:color="auto" w:fill="FFFFFF"/>
          <w:lang w:val="en-GB"/>
        </w:rPr>
        <w:t>.</w:t>
      </w:r>
      <w:r w:rsidR="0007169B">
        <w:rPr>
          <w:shd w:val="clear" w:color="auto" w:fill="FFFFFF"/>
          <w:lang w:val="en-GB"/>
        </w:rPr>
        <w:t>0</w:t>
      </w:r>
      <w:r w:rsidRPr="003D4A6E">
        <w:rPr>
          <w:shd w:val="clear" w:color="auto" w:fill="FFFFFF"/>
          <w:lang w:val="en-GB"/>
        </w:rPr>
        <w:t> % of urban land meant for single</w:t>
      </w:r>
      <w:r w:rsidRPr="003D4A6E">
        <w:rPr>
          <w:shd w:val="clear" w:color="auto" w:fill="FFFFFF"/>
          <w:lang w:val="en-GB"/>
        </w:rPr>
        <w:noBreakHyphen/>
        <w:t>family housing.</w:t>
      </w:r>
      <w:r w:rsidR="0007169B">
        <w:rPr>
          <w:shd w:val="clear" w:color="auto" w:fill="FFFFFF"/>
          <w:lang w:val="en-GB"/>
        </w:rPr>
        <w:t xml:space="preserve"> </w:t>
      </w:r>
      <w:r w:rsidR="00333523" w:rsidRPr="003D4A6E">
        <w:rPr>
          <w:shd w:val="clear" w:color="auto" w:fill="FFFFFF"/>
          <w:lang w:val="en-GB"/>
        </w:rPr>
        <w:t>Out of the total area of land meant for housing construction, 4</w:t>
      </w:r>
      <w:r w:rsidR="0007169B">
        <w:rPr>
          <w:shd w:val="clear" w:color="auto" w:fill="FFFFFF"/>
          <w:lang w:val="en-GB"/>
        </w:rPr>
        <w:t>8</w:t>
      </w:r>
      <w:r w:rsidR="00333523" w:rsidRPr="003D4A6E">
        <w:rPr>
          <w:shd w:val="clear" w:color="auto" w:fill="FFFFFF"/>
          <w:lang w:val="en-GB"/>
        </w:rPr>
        <w:t>.</w:t>
      </w:r>
      <w:r w:rsidR="0007169B">
        <w:rPr>
          <w:shd w:val="clear" w:color="auto" w:fill="FFFFFF"/>
          <w:lang w:val="en-GB"/>
        </w:rPr>
        <w:t>0</w:t>
      </w:r>
      <w:r w:rsidR="00333523" w:rsidRPr="003D4A6E">
        <w:rPr>
          <w:shd w:val="clear" w:color="auto" w:fill="FFFFFF"/>
          <w:lang w:val="en-GB"/>
        </w:rPr>
        <w:t> % accounted for land</w:t>
      </w:r>
      <w:r w:rsidR="003D7F14" w:rsidRPr="003D4A6E">
        <w:rPr>
          <w:shd w:val="clear" w:color="auto" w:fill="FFFFFF"/>
          <w:lang w:val="en-GB"/>
        </w:rPr>
        <w:t xml:space="preserve"> with infrastructure facilities</w:t>
      </w:r>
      <w:r w:rsidR="00333523" w:rsidRPr="003D4A6E">
        <w:rPr>
          <w:shd w:val="clear" w:color="auto" w:fill="FFFFFF"/>
          <w:lang w:val="en-GB"/>
        </w:rPr>
        <w:t xml:space="preserve"> (of which 62.</w:t>
      </w:r>
      <w:r w:rsidR="0007169B">
        <w:rPr>
          <w:shd w:val="clear" w:color="auto" w:fill="FFFFFF"/>
          <w:lang w:val="en-GB"/>
        </w:rPr>
        <w:t>5</w:t>
      </w:r>
      <w:r w:rsidR="00333523" w:rsidRPr="003D4A6E">
        <w:rPr>
          <w:shd w:val="clear" w:color="auto" w:fill="FFFFFF"/>
          <w:lang w:val="en-GB"/>
        </w:rPr>
        <w:t> % was in urban areas).</w:t>
      </w:r>
    </w:p>
    <w:p w14:paraId="264FFBC5" w14:textId="699D4D13" w:rsidR="00DC479D" w:rsidRPr="003D4A6E" w:rsidRDefault="00DC479D" w:rsidP="00DC479D">
      <w:pPr>
        <w:spacing w:after="0" w:line="240" w:lineRule="auto"/>
        <w:rPr>
          <w:shd w:val="clear" w:color="auto" w:fill="FFFFFF"/>
          <w:lang w:val="en-GB"/>
        </w:rPr>
      </w:pPr>
      <w:r w:rsidRPr="003D4A6E">
        <w:rPr>
          <w:shd w:val="clear" w:color="auto" w:fill="FFFFFF"/>
          <w:lang w:val="en-GB"/>
        </w:rPr>
        <w:t>In 202</w:t>
      </w:r>
      <w:r w:rsidR="0007169B">
        <w:rPr>
          <w:shd w:val="clear" w:color="auto" w:fill="FFFFFF"/>
          <w:lang w:val="en-GB"/>
        </w:rPr>
        <w:t>3</w:t>
      </w:r>
      <w:r w:rsidRPr="003D4A6E">
        <w:rPr>
          <w:shd w:val="clear" w:color="auto" w:fill="FFFFFF"/>
          <w:lang w:val="en-GB"/>
        </w:rPr>
        <w:t xml:space="preserve">, </w:t>
      </w:r>
      <w:proofErr w:type="spellStart"/>
      <w:r w:rsidRPr="003D4A6E">
        <w:rPr>
          <w:shd w:val="clear" w:color="auto" w:fill="FFFFFF"/>
          <w:lang w:val="en-GB"/>
        </w:rPr>
        <w:t>gminas</w:t>
      </w:r>
      <w:proofErr w:type="spellEnd"/>
      <w:r w:rsidRPr="003D4A6E">
        <w:rPr>
          <w:shd w:val="clear" w:color="auto" w:fill="FFFFFF"/>
          <w:lang w:val="en-GB"/>
        </w:rPr>
        <w:t xml:space="preserve"> handed over to investors </w:t>
      </w:r>
      <w:r w:rsidR="0007169B">
        <w:rPr>
          <w:shd w:val="clear" w:color="auto" w:fill="FFFFFF"/>
          <w:lang w:val="en-GB"/>
        </w:rPr>
        <w:t>679</w:t>
      </w:r>
      <w:r w:rsidRPr="003D4A6E">
        <w:rPr>
          <w:shd w:val="clear" w:color="auto" w:fill="FFFFFF"/>
          <w:lang w:val="en-GB"/>
        </w:rPr>
        <w:t>.</w:t>
      </w:r>
      <w:r w:rsidR="0007169B">
        <w:rPr>
          <w:shd w:val="clear" w:color="auto" w:fill="FFFFFF"/>
          <w:lang w:val="en-GB"/>
        </w:rPr>
        <w:t>1</w:t>
      </w:r>
      <w:r w:rsidRPr="003D4A6E">
        <w:rPr>
          <w:shd w:val="clear" w:color="auto" w:fill="FFFFFF"/>
          <w:lang w:val="en-GB"/>
        </w:rPr>
        <w:t xml:space="preserve"> ha of land for housing construction, of which 79.</w:t>
      </w:r>
      <w:r w:rsidR="0007169B">
        <w:rPr>
          <w:shd w:val="clear" w:color="auto" w:fill="FFFFFF"/>
          <w:lang w:val="en-GB"/>
        </w:rPr>
        <w:t>2</w:t>
      </w:r>
      <w:r w:rsidRPr="003D4A6E">
        <w:rPr>
          <w:shd w:val="clear" w:color="auto" w:fill="FFFFFF"/>
          <w:lang w:val="en-GB"/>
        </w:rPr>
        <w:t> % were meant for single-family housing. Of the total area of land meant for housing construction, 5</w:t>
      </w:r>
      <w:r w:rsidR="0007169B">
        <w:rPr>
          <w:shd w:val="clear" w:color="auto" w:fill="FFFFFF"/>
          <w:lang w:val="en-GB"/>
        </w:rPr>
        <w:t>5</w:t>
      </w:r>
      <w:r w:rsidRPr="003D4A6E">
        <w:rPr>
          <w:shd w:val="clear" w:color="auto" w:fill="FFFFFF"/>
          <w:lang w:val="en-GB"/>
        </w:rPr>
        <w:t>.</w:t>
      </w:r>
      <w:r w:rsidR="0007169B">
        <w:rPr>
          <w:shd w:val="clear" w:color="auto" w:fill="FFFFFF"/>
          <w:lang w:val="en-GB"/>
        </w:rPr>
        <w:t>8</w:t>
      </w:r>
      <w:r w:rsidRPr="003D4A6E">
        <w:rPr>
          <w:shd w:val="clear" w:color="auto" w:fill="FFFFFF"/>
          <w:lang w:val="en-GB"/>
        </w:rPr>
        <w:t> % accounted for land in urban areas.</w:t>
      </w:r>
    </w:p>
    <w:p w14:paraId="3AA63AF7" w14:textId="77777777" w:rsidR="00DC479D" w:rsidRPr="003D4A6E" w:rsidRDefault="00DC479D" w:rsidP="00DC479D">
      <w:pPr>
        <w:rPr>
          <w:iCs/>
          <w:lang w:val="en-GB"/>
        </w:rPr>
      </w:pPr>
      <w:r w:rsidRPr="003D4A6E">
        <w:rPr>
          <w:iCs/>
          <w:lang w:val="en-GB"/>
        </w:rPr>
        <w:t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</w:t>
      </w:r>
    </w:p>
    <w:p w14:paraId="1630DA71" w14:textId="77777777" w:rsidR="00DC479D" w:rsidRPr="003D4A6E" w:rsidRDefault="00DC479D" w:rsidP="00DC479D">
      <w:pPr>
        <w:rPr>
          <w:sz w:val="18"/>
          <w:lang w:val="en-US"/>
        </w:rPr>
        <w:sectPr w:rsidR="00DC479D" w:rsidRPr="003D4A6E" w:rsidSect="00D02CCD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720" w:right="2975" w:bottom="720" w:left="720" w:header="284" w:footer="284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ED651B" w14:paraId="0B8383B5" w14:textId="77777777" w:rsidTr="00A143F5">
        <w:trPr>
          <w:trHeight w:val="1626"/>
        </w:trPr>
        <w:tc>
          <w:tcPr>
            <w:tcW w:w="4926" w:type="dxa"/>
          </w:tcPr>
          <w:p w14:paraId="1C638C88" w14:textId="77777777" w:rsidR="00ED651B" w:rsidRPr="00F93341" w:rsidRDefault="00ED651B" w:rsidP="00ED651B">
            <w:pPr>
              <w:spacing w:before="0" w:after="0" w:line="276" w:lineRule="auto"/>
              <w:rPr>
                <w:rFonts w:cs="Arial"/>
                <w:sz w:val="20"/>
                <w:lang w:val="en-US"/>
              </w:rPr>
            </w:pPr>
            <w:r w:rsidRPr="00F93341">
              <w:rPr>
                <w:rFonts w:cs="Arial"/>
                <w:sz w:val="20"/>
                <w:lang w:val="en-US"/>
              </w:rPr>
              <w:lastRenderedPageBreak/>
              <w:t>Prepared by:</w:t>
            </w:r>
          </w:p>
          <w:p w14:paraId="3212FB00" w14:textId="77777777" w:rsidR="00ED651B" w:rsidRDefault="00ED651B" w:rsidP="00ED651B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Statistical Office in Lublin</w:t>
            </w:r>
          </w:p>
          <w:p w14:paraId="1D33EE51" w14:textId="77777777" w:rsidR="00ED651B" w:rsidRPr="00AE54DC" w:rsidRDefault="00ED651B" w:rsidP="00ED651B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AE54DC">
              <w:rPr>
                <w:b/>
                <w:sz w:val="20"/>
                <w:szCs w:val="20"/>
                <w:lang w:val="fi-FI"/>
              </w:rPr>
              <w:t xml:space="preserve">Director </w:t>
            </w:r>
            <w:r>
              <w:rPr>
                <w:b/>
                <w:sz w:val="20"/>
                <w:szCs w:val="20"/>
                <w:lang w:val="fi-FI"/>
              </w:rPr>
              <w:t>dr Krzysztof Markowski</w:t>
            </w:r>
          </w:p>
          <w:p w14:paraId="7E571BE5" w14:textId="6C4A5F8E" w:rsidR="00ED651B" w:rsidRPr="00AB24E4" w:rsidRDefault="00ED651B" w:rsidP="00ED651B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(+48 81)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Pr="004352D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465 20 18</w:t>
            </w:r>
          </w:p>
        </w:tc>
        <w:tc>
          <w:tcPr>
            <w:tcW w:w="4927" w:type="dxa"/>
          </w:tcPr>
          <w:p w14:paraId="7C40CB62" w14:textId="77777777" w:rsidR="00ED651B" w:rsidRPr="00C93861" w:rsidRDefault="00ED651B" w:rsidP="00ED651B">
            <w:pPr>
              <w:spacing w:before="0" w:line="276" w:lineRule="auto"/>
              <w:rPr>
                <w:rFonts w:cs="Arial"/>
                <w:b/>
                <w:sz w:val="20"/>
                <w:lang w:val="en-US"/>
              </w:rPr>
            </w:pPr>
            <w:r w:rsidRPr="00F93341">
              <w:rPr>
                <w:rFonts w:cs="Arial"/>
                <w:sz w:val="20"/>
                <w:lang w:val="en-US"/>
              </w:rPr>
              <w:t>Issued by:</w:t>
            </w:r>
            <w:r w:rsidRPr="00F93341">
              <w:rPr>
                <w:rFonts w:cs="Arial"/>
                <w:sz w:val="20"/>
                <w:lang w:val="en-US"/>
              </w:rPr>
              <w:br/>
            </w:r>
            <w:r w:rsidRPr="00C93861">
              <w:rPr>
                <w:rFonts w:cs="Arial"/>
                <w:b/>
                <w:sz w:val="20"/>
                <w:lang w:val="en-US"/>
              </w:rPr>
              <w:t>Press Office</w:t>
            </w:r>
          </w:p>
          <w:p w14:paraId="5CC77818" w14:textId="77777777" w:rsidR="00ED651B" w:rsidRPr="00C93861" w:rsidRDefault="00ED651B" w:rsidP="00ED651B">
            <w:pPr>
              <w:spacing w:before="0" w:line="276" w:lineRule="auto"/>
              <w:rPr>
                <w:rFonts w:cs="Arial"/>
                <w:sz w:val="20"/>
                <w:lang w:val="en-US"/>
              </w:rPr>
            </w:pPr>
            <w:r w:rsidRPr="00C93861">
              <w:rPr>
                <w:rFonts w:cs="Arial"/>
                <w:sz w:val="20"/>
                <w:lang w:val="en-US"/>
              </w:rPr>
              <w:t>Mobile: (+48) 695 255 032</w:t>
            </w:r>
          </w:p>
          <w:p w14:paraId="6B57168B" w14:textId="77777777" w:rsidR="00ED651B" w:rsidRPr="00C93861" w:rsidRDefault="00ED651B" w:rsidP="00ED651B">
            <w:pPr>
              <w:spacing w:before="0" w:line="276" w:lineRule="auto"/>
              <w:rPr>
                <w:rFonts w:cs="Arial"/>
                <w:sz w:val="20"/>
                <w:lang w:val="en-US"/>
              </w:rPr>
            </w:pPr>
            <w:r w:rsidRPr="00C93861">
              <w:rPr>
                <w:rFonts w:cs="Arial"/>
                <w:sz w:val="20"/>
                <w:lang w:val="en-US"/>
              </w:rPr>
              <w:t xml:space="preserve">Phone: (+48 22) 608 38 04, (+48 22) 449 41 45, </w:t>
            </w:r>
          </w:p>
          <w:p w14:paraId="0708CCEF" w14:textId="77777777" w:rsidR="00ED651B" w:rsidRPr="00C93861" w:rsidRDefault="00ED651B" w:rsidP="00ED651B">
            <w:pPr>
              <w:spacing w:before="0" w:line="276" w:lineRule="auto"/>
              <w:rPr>
                <w:rFonts w:cs="Arial"/>
                <w:sz w:val="20"/>
                <w:lang w:val="en-US"/>
              </w:rPr>
            </w:pPr>
            <w:r w:rsidRPr="00C93861">
              <w:rPr>
                <w:rFonts w:cs="Arial"/>
                <w:sz w:val="20"/>
                <w:lang w:val="en-US"/>
              </w:rPr>
              <w:t xml:space="preserve">             (+48 22) 608 30 09</w:t>
            </w:r>
          </w:p>
          <w:p w14:paraId="77AA98CE" w14:textId="77777777" w:rsidR="00ED651B" w:rsidRPr="00C93861" w:rsidRDefault="00ED651B" w:rsidP="00ED651B">
            <w:pPr>
              <w:rPr>
                <w:rFonts w:cs="Arial"/>
                <w:b/>
                <w:sz w:val="20"/>
                <w:u w:val="single"/>
                <w:lang w:val="en-US"/>
              </w:rPr>
            </w:pPr>
            <w:r w:rsidRPr="00C93861">
              <w:rPr>
                <w:b/>
                <w:sz w:val="20"/>
                <w:lang w:val="en-GB"/>
              </w:rPr>
              <w:t>e-mail:</w:t>
            </w:r>
            <w:r w:rsidRPr="00C93861">
              <w:rPr>
                <w:sz w:val="20"/>
                <w:lang w:val="en-GB"/>
              </w:rPr>
              <w:t xml:space="preserve"> </w:t>
            </w:r>
            <w:hyperlink r:id="rId15" w:history="1">
              <w:r w:rsidRPr="00C93861">
                <w:rPr>
                  <w:rStyle w:val="Hipercze"/>
                  <w:rFonts w:cs="Arial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  <w:p w14:paraId="37106871" w14:textId="77777777" w:rsidR="00ED651B" w:rsidRDefault="00ED651B" w:rsidP="00ED651B">
            <w:pPr>
              <w:rPr>
                <w:sz w:val="18"/>
              </w:rPr>
            </w:pPr>
          </w:p>
        </w:tc>
      </w:tr>
      <w:tr w:rsidR="00ED651B" w14:paraId="3D3A888D" w14:textId="77777777" w:rsidTr="00A143F5">
        <w:trPr>
          <w:trHeight w:val="418"/>
        </w:trPr>
        <w:tc>
          <w:tcPr>
            <w:tcW w:w="4926" w:type="dxa"/>
            <w:vMerge w:val="restart"/>
          </w:tcPr>
          <w:p w14:paraId="30660C5E" w14:textId="66B50893" w:rsidR="00ED651B" w:rsidRPr="00F05FC7" w:rsidRDefault="00ED651B" w:rsidP="00ED651B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55F543E5" w14:textId="6B6BF091" w:rsidR="00ED651B" w:rsidRDefault="00ED651B" w:rsidP="00ED651B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10464" behindDoc="0" locked="0" layoutInCell="1" allowOverlap="1" wp14:anchorId="26F8DB72" wp14:editId="3407662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  <w:r>
              <w:rPr>
                <w:sz w:val="20"/>
              </w:rPr>
              <w:t>/en/</w:t>
            </w:r>
            <w:r>
              <w:rPr>
                <w:sz w:val="18"/>
              </w:rPr>
              <w:t xml:space="preserve">     </w:t>
            </w:r>
          </w:p>
        </w:tc>
      </w:tr>
      <w:tr w:rsidR="00ED651B" w14:paraId="696F4765" w14:textId="77777777" w:rsidTr="00A143F5">
        <w:trPr>
          <w:trHeight w:val="418"/>
        </w:trPr>
        <w:tc>
          <w:tcPr>
            <w:tcW w:w="4926" w:type="dxa"/>
            <w:vMerge/>
          </w:tcPr>
          <w:p w14:paraId="09955355" w14:textId="77777777" w:rsidR="00ED651B" w:rsidRPr="00C91687" w:rsidRDefault="00ED651B" w:rsidP="00ED651B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40AA89A5" w14:textId="7ADA7A1D" w:rsidR="00ED651B" w:rsidRDefault="00ED651B" w:rsidP="00ED651B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11488" behindDoc="0" locked="0" layoutInCell="1" allowOverlap="1" wp14:anchorId="2A8B9995" wp14:editId="37AAD26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9525</wp:posOffset>
                  </wp:positionV>
                  <wp:extent cx="251460" cy="251460"/>
                  <wp:effectExtent l="0" t="0" r="0" b="0"/>
                  <wp:wrapNone/>
                  <wp:docPr id="22" name="Obraz 22" descr="platform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Obraz 22" descr="platform X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r w:rsidRPr="00DE1D0A">
              <w:rPr>
                <w:noProof/>
                <w:sz w:val="20"/>
                <w:lang w:eastAsia="pl-PL"/>
              </w:rPr>
              <w:t>StatPoland</w:t>
            </w:r>
          </w:p>
        </w:tc>
      </w:tr>
      <w:tr w:rsidR="00ED651B" w14:paraId="72658889" w14:textId="77777777" w:rsidTr="00A143F5">
        <w:trPr>
          <w:trHeight w:val="480"/>
        </w:trPr>
        <w:tc>
          <w:tcPr>
            <w:tcW w:w="4926" w:type="dxa"/>
            <w:vMerge/>
          </w:tcPr>
          <w:p w14:paraId="6D12E054" w14:textId="77777777" w:rsidR="00ED651B" w:rsidRPr="00C91687" w:rsidRDefault="00ED651B" w:rsidP="00ED651B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834F346" w14:textId="475B4EA4" w:rsidR="00ED651B" w:rsidRDefault="00ED651B" w:rsidP="00ED651B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12512" behindDoc="0" locked="0" layoutInCell="1" allowOverlap="1" wp14:anchorId="14E4B6E8" wp14:editId="2549A724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ED651B" w14:paraId="683B6025" w14:textId="77777777" w:rsidTr="00A143F5">
        <w:trPr>
          <w:trHeight w:val="480"/>
        </w:trPr>
        <w:tc>
          <w:tcPr>
            <w:tcW w:w="4926" w:type="dxa"/>
          </w:tcPr>
          <w:p w14:paraId="3C33F43E" w14:textId="77777777" w:rsidR="00ED651B" w:rsidRPr="00C91687" w:rsidRDefault="00ED651B" w:rsidP="00ED651B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02DCDC2" w14:textId="65B952D3" w:rsidR="00ED651B" w:rsidRPr="003D5F42" w:rsidRDefault="00ED651B" w:rsidP="00ED651B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13536" behindDoc="0" locked="0" layoutInCell="1" allowOverlap="1" wp14:anchorId="11AB676F" wp14:editId="77ABCDA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ED651B" w14:paraId="30AEE031" w14:textId="77777777" w:rsidTr="00A143F5">
        <w:trPr>
          <w:trHeight w:val="480"/>
        </w:trPr>
        <w:tc>
          <w:tcPr>
            <w:tcW w:w="4926" w:type="dxa"/>
          </w:tcPr>
          <w:p w14:paraId="48E44F05" w14:textId="77777777" w:rsidR="00ED651B" w:rsidRPr="00C91687" w:rsidRDefault="00ED651B" w:rsidP="00ED651B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9B85C03" w14:textId="0A486C2E" w:rsidR="00ED651B" w:rsidRPr="003D5F42" w:rsidRDefault="00ED651B" w:rsidP="00ED651B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14560" behindDoc="0" locked="0" layoutInCell="1" allowOverlap="1" wp14:anchorId="176ACA39" wp14:editId="76DCB84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ED651B" w14:paraId="0CB55C64" w14:textId="77777777" w:rsidTr="00A143F5">
        <w:trPr>
          <w:trHeight w:val="953"/>
        </w:trPr>
        <w:tc>
          <w:tcPr>
            <w:tcW w:w="4926" w:type="dxa"/>
          </w:tcPr>
          <w:p w14:paraId="3FDB9071" w14:textId="77777777" w:rsidR="00ED651B" w:rsidRPr="00C91687" w:rsidRDefault="00ED651B" w:rsidP="00ED651B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5411451" w14:textId="2DF33592" w:rsidR="00ED651B" w:rsidRPr="003D5F42" w:rsidRDefault="00ED651B" w:rsidP="00ED651B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15584" behindDoc="0" locked="0" layoutInCell="1" allowOverlap="1" wp14:anchorId="665AF5CF" wp14:editId="4A94E2E3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88" name="Obraz 88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6786F" w:rsidRPr="00506046" w14:paraId="302BBE32" w14:textId="77777777" w:rsidTr="00A143F5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30589E2F" w14:textId="77777777" w:rsidR="002C39BB" w:rsidRPr="002C39BB" w:rsidRDefault="002C39BB" w:rsidP="002C39BB">
            <w:pPr>
              <w:shd w:val="clear" w:color="auto" w:fill="D9D9D9"/>
              <w:rPr>
                <w:rFonts w:eastAsia="Fira Sans Light" w:cs="Times New Roman"/>
                <w:b/>
                <w:lang w:val="en-US"/>
              </w:rPr>
            </w:pPr>
            <w:r w:rsidRPr="002C39BB">
              <w:rPr>
                <w:rFonts w:eastAsia="Fira Sans Light" w:cs="Times New Roman"/>
                <w:b/>
                <w:lang w:val="en-US"/>
              </w:rPr>
              <w:t>Related information</w:t>
            </w:r>
          </w:p>
          <w:p w14:paraId="52B94D63" w14:textId="6C1759B7" w:rsidR="002C39BB" w:rsidRPr="002C39BB" w:rsidRDefault="00E46549" w:rsidP="002C39BB">
            <w:pPr>
              <w:rPr>
                <w:rFonts w:eastAsia="Fira Sans Light" w:cs="Times New Roman"/>
                <w:color w:val="001D77"/>
                <w:u w:val="single"/>
                <w:lang w:val="en-US"/>
              </w:rPr>
            </w:pPr>
            <w:hyperlink r:id="rId22" w:tooltip="Link to the news release: Housing Economy in 2022" w:history="1">
              <w:r w:rsidR="0007169B">
                <w:rPr>
                  <w:rFonts w:eastAsia="Fira Sans Light" w:cs="Times New Roman"/>
                  <w:color w:val="001D77"/>
                  <w:u w:val="single"/>
                  <w:lang w:val="en-US"/>
                </w:rPr>
                <w:t>Housing Economy in 2022</w:t>
              </w:r>
            </w:hyperlink>
          </w:p>
          <w:p w14:paraId="776D1069" w14:textId="77777777" w:rsidR="0007169B" w:rsidRDefault="00E46549" w:rsidP="002C39BB">
            <w:pPr>
              <w:rPr>
                <w:rFonts w:eastAsia="Fira Sans Light" w:cs="Times New Roman"/>
                <w:color w:val="001D77"/>
                <w:u w:val="single"/>
                <w:lang w:val="en-US"/>
              </w:rPr>
            </w:pPr>
            <w:hyperlink r:id="rId23" w:tooltip="Link to the publication: Housing economy and municipal infrastructure in 2022" w:history="1">
              <w:r w:rsidR="0007169B">
                <w:rPr>
                  <w:rFonts w:eastAsia="Fira Sans Light" w:cs="Times New Roman"/>
                  <w:color w:val="001D77"/>
                  <w:u w:val="single"/>
                  <w:lang w:val="en-US"/>
                </w:rPr>
                <w:t>Housing Economy and Municipal Infrastructure in 2022</w:t>
              </w:r>
            </w:hyperlink>
          </w:p>
          <w:p w14:paraId="29DAA06A" w14:textId="7D1D120A" w:rsidR="002C39BB" w:rsidRPr="0007169B" w:rsidRDefault="00E46549" w:rsidP="002C39BB">
            <w:pPr>
              <w:rPr>
                <w:rFonts w:eastAsia="Fira Sans Light" w:cs="Times New Roman"/>
                <w:color w:val="001D77"/>
                <w:u w:val="single"/>
                <w:lang w:val="en-US"/>
              </w:rPr>
            </w:pPr>
            <w:hyperlink r:id="rId24" w:tooltip="Link to the publication: Housing conditions in Poland according to the resultsof the National Population and Housing Census 2021" w:history="1">
              <w:r w:rsidR="0007169B">
                <w:rPr>
                  <w:rFonts w:eastAsia="Fira Sans Light" w:cs="Times New Roman"/>
                  <w:color w:val="001D77"/>
                  <w:u w:val="single"/>
                  <w:lang w:val="en-US"/>
                </w:rPr>
                <w:t>Housing conditions in Poland according to the results of the National Population and Housing Census 2021</w:t>
              </w:r>
            </w:hyperlink>
            <w:r w:rsidR="002C39BB" w:rsidRPr="002C39BB">
              <w:rPr>
                <w:rFonts w:eastAsia="Fira Sans Light" w:cs="Times New Roman"/>
              </w:rPr>
              <w:fldChar w:fldCharType="begin"/>
            </w:r>
            <w:r w:rsidR="002C39BB" w:rsidRPr="002C39BB">
              <w:rPr>
                <w:rFonts w:eastAsia="Fira Sans Light" w:cs="Times New Roman"/>
                <w:lang w:val="en-US"/>
              </w:rPr>
              <w:instrText xml:space="preserve"> HYPERLINK "https://stat.gov.pl/" \o "Linko do opracowania pt...." </w:instrText>
            </w:r>
            <w:r w:rsidR="002C39BB" w:rsidRPr="002C39BB">
              <w:rPr>
                <w:rFonts w:eastAsia="Fira Sans Light" w:cs="Times New Roman"/>
              </w:rPr>
              <w:fldChar w:fldCharType="separate"/>
            </w:r>
          </w:p>
          <w:p w14:paraId="4348C6FE" w14:textId="77777777" w:rsidR="002C39BB" w:rsidRPr="002C39BB" w:rsidRDefault="002C39BB" w:rsidP="002C39BB">
            <w:pPr>
              <w:shd w:val="clear" w:color="auto" w:fill="D9D9D9"/>
              <w:spacing w:before="360"/>
              <w:rPr>
                <w:rFonts w:eastAsia="Fira Sans Light" w:cs="Times New Roman"/>
                <w:b/>
                <w:color w:val="000000"/>
                <w:szCs w:val="24"/>
                <w:lang w:val="en-US"/>
              </w:rPr>
            </w:pPr>
            <w:r w:rsidRPr="002C39BB">
              <w:rPr>
                <w:rFonts w:eastAsia="Fira Sans Light" w:cs="Times New Roman"/>
              </w:rPr>
              <w:fldChar w:fldCharType="end"/>
            </w:r>
            <w:r w:rsidRPr="002C39BB">
              <w:rPr>
                <w:rFonts w:eastAsia="Fira Sans Light" w:cs="Times New Roman"/>
                <w:b/>
                <w:color w:val="000000"/>
                <w:szCs w:val="24"/>
                <w:lang w:val="en-US"/>
              </w:rPr>
              <w:t>Data available in databases</w:t>
            </w:r>
          </w:p>
          <w:p w14:paraId="5A06D8DC" w14:textId="63233BEE" w:rsidR="002C39BB" w:rsidRPr="002C39BB" w:rsidRDefault="00E46549" w:rsidP="002C39BB">
            <w:pPr>
              <w:rPr>
                <w:rFonts w:eastAsia="Fira Sans Light" w:cs="Times New Roman"/>
                <w:color w:val="001D77"/>
                <w:lang w:val="en-US"/>
              </w:rPr>
            </w:pPr>
            <w:hyperlink r:id="rId25" w:tooltip="Link to the website of the Local Data Bank of the Statistics Poland" w:history="1">
              <w:r w:rsidR="002C39BB" w:rsidRPr="002C39BB">
                <w:rPr>
                  <w:rFonts w:eastAsia="Fira Sans Light" w:cs="Times New Roman"/>
                  <w:color w:val="001D77"/>
                  <w:u w:val="single"/>
                  <w:lang w:val="en-US"/>
                </w:rPr>
                <w:t>Local Data Bank</w:t>
              </w:r>
            </w:hyperlink>
          </w:p>
          <w:p w14:paraId="53BA60EA" w14:textId="4FEEAD0C" w:rsidR="002C39BB" w:rsidRPr="002C39BB" w:rsidRDefault="00E46549" w:rsidP="002C39BB">
            <w:pPr>
              <w:rPr>
                <w:rFonts w:eastAsia="Fira Sans Light" w:cs="Times New Roman"/>
                <w:b/>
                <w:color w:val="001D77"/>
                <w:szCs w:val="24"/>
                <w:lang w:val="en-US"/>
              </w:rPr>
            </w:pPr>
            <w:hyperlink r:id="rId26" w:tooltip="Link to the website of the Knowledge Database Municipal and Dwelling Infrastructure" w:history="1">
              <w:r w:rsidR="002C39BB" w:rsidRPr="002C39BB">
                <w:rPr>
                  <w:rFonts w:eastAsia="Fira Sans Light" w:cs="Times New Roman"/>
                  <w:color w:val="001D77"/>
                  <w:u w:val="single"/>
                  <w:lang w:val="en-US"/>
                </w:rPr>
                <w:t>Knowledge Database Municipal and Dwelling Infrastructure</w:t>
              </w:r>
            </w:hyperlink>
          </w:p>
          <w:p w14:paraId="3024C78D" w14:textId="77777777" w:rsidR="002C39BB" w:rsidRPr="002C39BB" w:rsidRDefault="002C39BB" w:rsidP="002C39BB">
            <w:pPr>
              <w:shd w:val="clear" w:color="auto" w:fill="D9D9D9"/>
              <w:spacing w:before="360"/>
              <w:rPr>
                <w:rFonts w:eastAsia="Fira Sans Light" w:cs="Times New Roman"/>
                <w:b/>
                <w:color w:val="000000"/>
                <w:szCs w:val="24"/>
                <w:lang w:val="en-US"/>
              </w:rPr>
            </w:pPr>
            <w:r w:rsidRPr="002C39BB">
              <w:rPr>
                <w:rFonts w:eastAsia="Fira Sans Light" w:cs="Times New Roman"/>
                <w:b/>
                <w:color w:val="000000"/>
                <w:szCs w:val="24"/>
                <w:lang w:val="en-US"/>
              </w:rPr>
              <w:t>Terms used inn official statistics</w:t>
            </w:r>
          </w:p>
          <w:p w14:paraId="0E083E33" w14:textId="5358D195" w:rsidR="002C39BB" w:rsidRPr="002C39BB" w:rsidRDefault="00E46549" w:rsidP="002C39BB">
            <w:pPr>
              <w:rPr>
                <w:rFonts w:eastAsia="Fira Sans Light" w:cs="Times New Roman"/>
                <w:color w:val="001D77"/>
                <w:szCs w:val="19"/>
                <w:u w:val="single"/>
                <w:lang w:val="en-US"/>
              </w:rPr>
            </w:pPr>
            <w:hyperlink r:id="rId27" w:tooltip="Link to glossary - term: Dwelling" w:history="1">
              <w:r w:rsidR="002C39BB" w:rsidRPr="002C39BB">
                <w:rPr>
                  <w:rFonts w:eastAsia="Fira Sans Light" w:cs="Times New Roman"/>
                  <w:color w:val="001D77"/>
                  <w:szCs w:val="19"/>
                  <w:u w:val="single"/>
                  <w:lang w:val="en-US"/>
                </w:rPr>
                <w:t>Dwelling</w:t>
              </w:r>
            </w:hyperlink>
          </w:p>
          <w:p w14:paraId="6D46D310" w14:textId="06A23CA8" w:rsidR="002C39BB" w:rsidRPr="002C39BB" w:rsidRDefault="00E46549" w:rsidP="002C39BB">
            <w:pPr>
              <w:rPr>
                <w:rFonts w:eastAsia="Fira Sans Light" w:cs="Times New Roman"/>
                <w:color w:val="001D77"/>
                <w:szCs w:val="19"/>
                <w:u w:val="single"/>
                <w:lang w:val="en-US"/>
              </w:rPr>
            </w:pPr>
            <w:hyperlink r:id="rId28" w:tooltip="Link to glossary - term: Dwellings owned by a gmina" w:history="1">
              <w:r w:rsidR="002C39BB" w:rsidRPr="002C39BB">
                <w:rPr>
                  <w:rFonts w:eastAsia="Fira Sans Light" w:cs="Times New Roman"/>
                  <w:color w:val="001D77"/>
                  <w:szCs w:val="19"/>
                  <w:u w:val="single"/>
                  <w:lang w:val="en-US"/>
                </w:rPr>
                <w:t xml:space="preserve">Dwellings owned by a </w:t>
              </w:r>
              <w:proofErr w:type="spellStart"/>
              <w:r w:rsidR="002C39BB" w:rsidRPr="002C39BB">
                <w:rPr>
                  <w:rFonts w:eastAsia="Fira Sans Light" w:cs="Times New Roman"/>
                  <w:color w:val="001D77"/>
                  <w:szCs w:val="19"/>
                  <w:u w:val="single"/>
                  <w:lang w:val="en-US"/>
                </w:rPr>
                <w:t>gmina</w:t>
              </w:r>
              <w:proofErr w:type="spellEnd"/>
            </w:hyperlink>
          </w:p>
          <w:p w14:paraId="511BF0EA" w14:textId="52A16647" w:rsidR="002C39BB" w:rsidRPr="002C39BB" w:rsidRDefault="00E46549" w:rsidP="002C39BB">
            <w:pPr>
              <w:rPr>
                <w:rFonts w:eastAsia="Fira Sans Light" w:cs="Times New Roman"/>
                <w:color w:val="001D77"/>
                <w:szCs w:val="19"/>
                <w:u w:val="single"/>
                <w:lang w:val="en-US"/>
              </w:rPr>
            </w:pPr>
            <w:hyperlink r:id="rId29" w:tooltip="Link to glossary - term: Dwelling stocks" w:history="1">
              <w:r w:rsidR="002C39BB" w:rsidRPr="002C39BB">
                <w:rPr>
                  <w:rFonts w:eastAsia="Fira Sans Light" w:cs="Times New Roman"/>
                  <w:color w:val="001D77"/>
                  <w:szCs w:val="19"/>
                  <w:u w:val="single"/>
                  <w:lang w:val="en-US"/>
                </w:rPr>
                <w:t>Dwelling stocks</w:t>
              </w:r>
            </w:hyperlink>
          </w:p>
          <w:p w14:paraId="37F6349F" w14:textId="1D36EA83" w:rsidR="002C39BB" w:rsidRPr="002C39BB" w:rsidRDefault="00E46549" w:rsidP="002C39BB">
            <w:pPr>
              <w:rPr>
                <w:rFonts w:eastAsia="Fira Sans Light" w:cs="Times New Roman"/>
                <w:color w:val="001D77"/>
                <w:szCs w:val="19"/>
                <w:u w:val="single"/>
                <w:lang w:val="en-US"/>
              </w:rPr>
            </w:pPr>
            <w:hyperlink r:id="rId30" w:tooltip="Link to glossary - term: Housing allowance" w:history="1">
              <w:r w:rsidR="002C39BB" w:rsidRPr="002C39BB">
                <w:rPr>
                  <w:rFonts w:eastAsia="Fira Sans Light" w:cs="Times New Roman"/>
                  <w:color w:val="001D77"/>
                  <w:szCs w:val="19"/>
                  <w:u w:val="single"/>
                  <w:lang w:val="en-US"/>
                </w:rPr>
                <w:t>Housing allowance</w:t>
              </w:r>
            </w:hyperlink>
          </w:p>
          <w:p w14:paraId="7B4D9C03" w14:textId="19146872" w:rsidR="002C39BB" w:rsidRPr="002C39BB" w:rsidRDefault="00E46549" w:rsidP="002C39BB">
            <w:pPr>
              <w:rPr>
                <w:rFonts w:eastAsia="Fira Sans Light" w:cs="Times New Roman"/>
                <w:color w:val="001381"/>
                <w:szCs w:val="19"/>
                <w:lang w:val="en-US"/>
              </w:rPr>
            </w:pPr>
            <w:hyperlink r:id="rId31" w:tooltip="Link to glossary - term: Households awaiting the rental of premises from a gmina" w:history="1">
              <w:r w:rsidR="002C39BB" w:rsidRPr="002C39BB">
                <w:rPr>
                  <w:rFonts w:eastAsia="Fira Sans Light" w:cs="Times New Roman"/>
                  <w:color w:val="001381"/>
                  <w:szCs w:val="19"/>
                  <w:u w:val="single"/>
                  <w:lang w:val="en-US"/>
                </w:rPr>
                <w:t xml:space="preserve">Households awaiting the rental of premises from a </w:t>
              </w:r>
              <w:proofErr w:type="spellStart"/>
              <w:r w:rsidR="002C39BB" w:rsidRPr="002C39BB">
                <w:rPr>
                  <w:rFonts w:eastAsia="Fira Sans Light" w:cs="Times New Roman"/>
                  <w:color w:val="001381"/>
                  <w:szCs w:val="19"/>
                  <w:u w:val="single"/>
                  <w:lang w:val="en-US"/>
                </w:rPr>
                <w:t>gmina</w:t>
              </w:r>
              <w:proofErr w:type="spellEnd"/>
            </w:hyperlink>
          </w:p>
          <w:p w14:paraId="6B6720A3" w14:textId="360B10E4" w:rsidR="002C39BB" w:rsidRPr="002C39BB" w:rsidRDefault="00E46549" w:rsidP="002C39BB">
            <w:pPr>
              <w:rPr>
                <w:rFonts w:eastAsia="Fira Sans Light" w:cs="Times New Roman"/>
                <w:color w:val="001381"/>
                <w:szCs w:val="19"/>
                <w:u w:val="single"/>
                <w:lang w:val="en-US"/>
              </w:rPr>
            </w:pPr>
            <w:hyperlink r:id="rId32" w:tooltip="Link to glossary - term: Improved lands" w:history="1">
              <w:r w:rsidR="002C39BB" w:rsidRPr="002C39BB">
                <w:rPr>
                  <w:rFonts w:eastAsia="Fira Sans Light" w:cs="Times New Roman"/>
                  <w:color w:val="001381"/>
                  <w:u w:val="single"/>
                  <w:lang w:val="en-US"/>
                </w:rPr>
                <w:t>Improved lands</w:t>
              </w:r>
            </w:hyperlink>
          </w:p>
          <w:p w14:paraId="316FFC38" w14:textId="4CB20A1C" w:rsidR="0096786F" w:rsidRPr="00B8637A" w:rsidRDefault="00E46549" w:rsidP="00A143F5">
            <w:pPr>
              <w:rPr>
                <w:rFonts w:cs="Times New Roman"/>
                <w:color w:val="001D77"/>
                <w:szCs w:val="19"/>
                <w:u w:val="single"/>
                <w:lang w:val="en-US"/>
              </w:rPr>
            </w:pPr>
            <w:hyperlink r:id="rId33" w:tooltip="Link to glossary - term: Social renting" w:history="1">
              <w:r w:rsidR="002C39BB" w:rsidRPr="002C39BB">
                <w:rPr>
                  <w:rFonts w:eastAsia="Fira Sans Light" w:cs="Times New Roman"/>
                  <w:color w:val="001D77"/>
                  <w:szCs w:val="19"/>
                  <w:u w:val="single"/>
                  <w:lang w:val="en-US"/>
                </w:rPr>
                <w:t>Social renting</w:t>
              </w:r>
            </w:hyperlink>
            <w:r w:rsidR="0096786F" w:rsidRPr="00BF4D13">
              <w:rPr>
                <w:rStyle w:val="Hipercze"/>
                <w:color w:val="001D77"/>
                <w:szCs w:val="19"/>
                <w:lang w:val="en-US"/>
              </w:rPr>
              <w:t xml:space="preserve"> </w:t>
            </w:r>
          </w:p>
        </w:tc>
      </w:tr>
    </w:tbl>
    <w:p w14:paraId="5FCBAA1F" w14:textId="77777777" w:rsidR="0009169D" w:rsidRDefault="0009169D" w:rsidP="0009169D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5"/>
        <w:gridCol w:w="3822"/>
      </w:tblGrid>
      <w:tr w:rsidR="0009169D" w:rsidRPr="00834D84" w14:paraId="476B9986" w14:textId="77777777" w:rsidTr="00B14C35">
        <w:trPr>
          <w:trHeight w:val="1912"/>
        </w:trPr>
        <w:tc>
          <w:tcPr>
            <w:tcW w:w="4379" w:type="dxa"/>
          </w:tcPr>
          <w:p w14:paraId="71BA2CFF" w14:textId="77777777" w:rsidR="0009169D" w:rsidRPr="008F3638" w:rsidRDefault="0009169D" w:rsidP="00B14C35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14:paraId="54868365" w14:textId="77777777" w:rsidR="0009169D" w:rsidRPr="008F3638" w:rsidRDefault="0009169D" w:rsidP="00B14C35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33C8A6FB" w14:textId="5C264683" w:rsidR="00D261A2" w:rsidRPr="00001C5B" w:rsidRDefault="00D261A2" w:rsidP="0096786F">
      <w:pPr>
        <w:rPr>
          <w:sz w:val="18"/>
        </w:rPr>
      </w:pPr>
    </w:p>
    <w:sectPr w:rsidR="00D261A2" w:rsidRPr="00001C5B" w:rsidSect="003B18B6">
      <w:headerReference w:type="default" r:id="rId34"/>
      <w:footerReference w:type="default" r:id="rId35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F7159" w14:textId="77777777" w:rsidR="00673AF8" w:rsidRDefault="00673AF8" w:rsidP="000662E2">
      <w:pPr>
        <w:spacing w:after="0" w:line="240" w:lineRule="auto"/>
      </w:pPr>
      <w:r>
        <w:separator/>
      </w:r>
    </w:p>
  </w:endnote>
  <w:endnote w:type="continuationSeparator" w:id="0">
    <w:p w14:paraId="2977A573" w14:textId="77777777" w:rsidR="00673AF8" w:rsidRDefault="00673AF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 Condensed SemiBold">
    <w:altName w:val="Fira Sans Condensed SemiBold"/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6410854"/>
      <w:docPartObj>
        <w:docPartGallery w:val="Page Numbers (Bottom of Page)"/>
        <w:docPartUnique/>
      </w:docPartObj>
    </w:sdtPr>
    <w:sdtEndPr/>
    <w:sdtContent>
      <w:p w14:paraId="5844EE4C" w14:textId="77777777" w:rsidR="00DC479D" w:rsidRDefault="00DC479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BDC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3321397"/>
      <w:docPartObj>
        <w:docPartGallery w:val="Page Numbers (Bottom of Page)"/>
        <w:docPartUnique/>
      </w:docPartObj>
    </w:sdtPr>
    <w:sdtEndPr/>
    <w:sdtContent>
      <w:p w14:paraId="236C9F2D" w14:textId="77777777" w:rsidR="00DC479D" w:rsidRDefault="00DC479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BDC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D369F" w14:textId="77777777" w:rsidR="000558C2" w:rsidRDefault="000558C2" w:rsidP="003B18B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763BDC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256E9" w14:textId="77777777" w:rsidR="00673AF8" w:rsidRDefault="00673AF8" w:rsidP="000662E2">
      <w:pPr>
        <w:spacing w:after="0" w:line="240" w:lineRule="auto"/>
      </w:pPr>
      <w:r>
        <w:separator/>
      </w:r>
    </w:p>
  </w:footnote>
  <w:footnote w:type="continuationSeparator" w:id="0">
    <w:p w14:paraId="2AAF1483" w14:textId="77777777" w:rsidR="00673AF8" w:rsidRDefault="00673AF8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1A059" w14:textId="77777777" w:rsidR="00DC479D" w:rsidRDefault="00DC479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9E18F77" wp14:editId="5D49B06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14" name="Prostokąt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50336B" id="Prostokąt 1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7rM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Jk/usy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14:paraId="0CC144B6" w14:textId="77777777" w:rsidR="00DC479D" w:rsidRDefault="00DC47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B4639" w14:textId="77777777" w:rsidR="00DC479D" w:rsidRDefault="00DC479D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F0065A8" wp14:editId="7D48D7DC">
              <wp:simplePos x="0" y="0"/>
              <wp:positionH relativeFrom="page">
                <wp:align>right</wp:align>
              </wp:positionH>
              <wp:positionV relativeFrom="paragraph">
                <wp:posOffset>483235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6" name="Prostokąt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3B2880" id="Prostokąt 16" o:spid="_x0000_s1026" style="position:absolute;margin-left:96.2pt;margin-top:38.05pt;width:147.4pt;height:1803.55pt;z-index:-25165312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" fillcolor="#f2f2f2" stroked="f" strokeweight="1pt">
              <v:path arrowok="t"/>
              <w10:wrap type="tight" anchorx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E8E209C" wp14:editId="201D226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7" name="Schemat blokowy: opóźnienie 6" descr="News Release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B38EA2E" w14:textId="77777777" w:rsidR="00DC479D" w:rsidRPr="003C6C8D" w:rsidRDefault="00DC479D" w:rsidP="002670FC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8E209C" id="Schemat blokowy: opóźnienie 6" o:spid="_x0000_s1033" alt="News Releases" style="position:absolute;margin-left:396.6pt;margin-top:15.65pt;width:162.25pt;height:28.1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B38EA2E" w14:textId="77777777" w:rsidR="00DC479D" w:rsidRPr="003C6C8D" w:rsidRDefault="00DC479D" w:rsidP="002670FC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75E58543" wp14:editId="67EC8A46">
          <wp:extent cx="2079603" cy="720000"/>
          <wp:effectExtent l="0" t="0" r="0" b="4445"/>
          <wp:docPr id="15" name="Obraz 15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 15" descr="Statistics Poland logoty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9603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91D924" w14:textId="77777777" w:rsidR="00DC479D" w:rsidRDefault="00DC479D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AADF47D" wp14:editId="1DF4389E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18" name="Pole tekstowe 2" descr="16.09.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7CCB58" w14:textId="6F7281E6" w:rsidR="00DC479D" w:rsidRPr="00C97596" w:rsidRDefault="009714CA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5E1EC0">
                            <w:rPr>
                              <w:rFonts w:ascii="Fira Sans SemiBold" w:hAnsi="Fira Sans SemiBold"/>
                              <w:color w:val="001D77"/>
                            </w:rPr>
                            <w:t>6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.09.202</w:t>
                          </w:r>
                          <w:r w:rsidR="00787FD4">
                            <w:rPr>
                              <w:rFonts w:ascii="Fira Sans SemiBold" w:hAnsi="Fira Sans SemiBold"/>
                              <w:color w:val="001D77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ADF47D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16.09.2024" style="position:absolute;margin-left:411pt;margin-top:20.95pt;width:112.8pt;height:26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" filled="f" stroked="f">
              <v:textbox>
                <w:txbxContent>
                  <w:p w14:paraId="017CCB58" w14:textId="6F7281E6" w:rsidR="00DC479D" w:rsidRPr="00C97596" w:rsidRDefault="009714CA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5E1EC0">
                      <w:rPr>
                        <w:rFonts w:ascii="Fira Sans SemiBold" w:hAnsi="Fira Sans SemiBold"/>
                        <w:color w:val="001D77"/>
                      </w:rPr>
                      <w:t>6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.09.202</w:t>
                    </w:r>
                    <w:r w:rsidR="00787FD4">
                      <w:rPr>
                        <w:rFonts w:ascii="Fira Sans SemiBold" w:hAnsi="Fira Sans SemiBold"/>
                        <w:color w:val="001D77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3697D" w14:textId="77777777" w:rsidR="000558C2" w:rsidRDefault="000558C2">
    <w:pPr>
      <w:pStyle w:val="Nagwek"/>
    </w:pPr>
  </w:p>
  <w:p w14:paraId="076296F6" w14:textId="77777777" w:rsidR="000558C2" w:rsidRDefault="000558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35pt;height:125pt;visibility:visible" o:bullet="t">
        <v:imagedata r:id="rId1" o:title=""/>
      </v:shape>
    </w:pict>
  </w:numPicBullet>
  <w:numPicBullet w:numPicBulletId="1">
    <w:pict>
      <v:shape id="_x0000_i1027" type="#_x0000_t75" style="width:123.35pt;height:125pt;visibility:visible" o:bullet="t">
        <v:imagedata r:id="rId2" o:title=""/>
      </v:shape>
    </w:pict>
  </w:numPicBullet>
  <w:abstractNum w:abstractNumId="0" w15:restartNumberingAfterBreak="0">
    <w:nsid w:val="03A87B56"/>
    <w:multiLevelType w:val="hybridMultilevel"/>
    <w:tmpl w:val="708E6468"/>
    <w:lvl w:ilvl="0" w:tplc="EE5C0796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200E06"/>
    <w:multiLevelType w:val="hybridMultilevel"/>
    <w:tmpl w:val="8E3281A8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20D001B8"/>
    <w:multiLevelType w:val="hybridMultilevel"/>
    <w:tmpl w:val="48D45F60"/>
    <w:lvl w:ilvl="0" w:tplc="63DC600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A5A3F41"/>
    <w:multiLevelType w:val="hybridMultilevel"/>
    <w:tmpl w:val="D8943DA4"/>
    <w:lvl w:ilvl="0" w:tplc="C1602318">
      <w:start w:val="1"/>
      <w:numFmt w:val="decimal"/>
      <w:lvlText w:val="%1)"/>
      <w:lvlJc w:val="left"/>
      <w:pPr>
        <w:ind w:left="720" w:hanging="360"/>
      </w:pPr>
      <w:rPr>
        <w:rFonts w:cs="Calibri" w:hint="default"/>
        <w:sz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A3EC4"/>
    <w:multiLevelType w:val="hybridMultilevel"/>
    <w:tmpl w:val="7B4A4C98"/>
    <w:lvl w:ilvl="0" w:tplc="FB2EC802">
      <w:start w:val="1"/>
      <w:numFmt w:val="decimal"/>
      <w:lvlText w:val="%1)"/>
      <w:lvlJc w:val="left"/>
      <w:pPr>
        <w:ind w:left="720" w:hanging="360"/>
      </w:pPr>
      <w:rPr>
        <w:rFonts w:cs="Calibri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4334D"/>
    <w:multiLevelType w:val="hybridMultilevel"/>
    <w:tmpl w:val="766458C8"/>
    <w:lvl w:ilvl="0" w:tplc="C2CCAC88">
      <w:start w:val="1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B2DFE"/>
    <w:multiLevelType w:val="hybridMultilevel"/>
    <w:tmpl w:val="BB727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6A65EB"/>
    <w:multiLevelType w:val="hybridMultilevel"/>
    <w:tmpl w:val="A0926CF6"/>
    <w:lvl w:ilvl="0" w:tplc="97B0A65C">
      <w:start w:val="1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1B4357"/>
    <w:multiLevelType w:val="hybridMultilevel"/>
    <w:tmpl w:val="1A3E1E6C"/>
    <w:lvl w:ilvl="0" w:tplc="FBB276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9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3437"/>
    <w:rsid w:val="00004CA6"/>
    <w:rsid w:val="0000709F"/>
    <w:rsid w:val="0001041C"/>
    <w:rsid w:val="000108B8"/>
    <w:rsid w:val="0001266D"/>
    <w:rsid w:val="000152F5"/>
    <w:rsid w:val="00021C8F"/>
    <w:rsid w:val="00021F28"/>
    <w:rsid w:val="00027791"/>
    <w:rsid w:val="000300FB"/>
    <w:rsid w:val="0003255C"/>
    <w:rsid w:val="0003490B"/>
    <w:rsid w:val="00035198"/>
    <w:rsid w:val="00036128"/>
    <w:rsid w:val="000420B1"/>
    <w:rsid w:val="00042DA2"/>
    <w:rsid w:val="0004582E"/>
    <w:rsid w:val="000470AA"/>
    <w:rsid w:val="00051E39"/>
    <w:rsid w:val="00052330"/>
    <w:rsid w:val="000558C2"/>
    <w:rsid w:val="00057CA1"/>
    <w:rsid w:val="00057D10"/>
    <w:rsid w:val="000626A5"/>
    <w:rsid w:val="000662E2"/>
    <w:rsid w:val="00066883"/>
    <w:rsid w:val="00070963"/>
    <w:rsid w:val="0007169B"/>
    <w:rsid w:val="00074DD8"/>
    <w:rsid w:val="000806F7"/>
    <w:rsid w:val="0008281C"/>
    <w:rsid w:val="00083F50"/>
    <w:rsid w:val="0009169D"/>
    <w:rsid w:val="00093065"/>
    <w:rsid w:val="0009387B"/>
    <w:rsid w:val="00093FCD"/>
    <w:rsid w:val="00097840"/>
    <w:rsid w:val="000A3422"/>
    <w:rsid w:val="000A4E32"/>
    <w:rsid w:val="000A6FC0"/>
    <w:rsid w:val="000B0727"/>
    <w:rsid w:val="000C072D"/>
    <w:rsid w:val="000C135D"/>
    <w:rsid w:val="000C48F6"/>
    <w:rsid w:val="000C5B83"/>
    <w:rsid w:val="000D1D43"/>
    <w:rsid w:val="000D225C"/>
    <w:rsid w:val="000D2A5C"/>
    <w:rsid w:val="000D578D"/>
    <w:rsid w:val="000D6DDD"/>
    <w:rsid w:val="000D7EC6"/>
    <w:rsid w:val="000E0918"/>
    <w:rsid w:val="000E0B0A"/>
    <w:rsid w:val="000E218E"/>
    <w:rsid w:val="000E52D9"/>
    <w:rsid w:val="000E78F7"/>
    <w:rsid w:val="000F5453"/>
    <w:rsid w:val="00100FCA"/>
    <w:rsid w:val="001011C3"/>
    <w:rsid w:val="001022EA"/>
    <w:rsid w:val="00103B16"/>
    <w:rsid w:val="00106A70"/>
    <w:rsid w:val="00110D87"/>
    <w:rsid w:val="00113606"/>
    <w:rsid w:val="00114DB9"/>
    <w:rsid w:val="00116087"/>
    <w:rsid w:val="0011639F"/>
    <w:rsid w:val="00123B64"/>
    <w:rsid w:val="0012631A"/>
    <w:rsid w:val="00127001"/>
    <w:rsid w:val="001272CB"/>
    <w:rsid w:val="00130296"/>
    <w:rsid w:val="00133C04"/>
    <w:rsid w:val="00137A55"/>
    <w:rsid w:val="00137E3D"/>
    <w:rsid w:val="001423B6"/>
    <w:rsid w:val="001431BA"/>
    <w:rsid w:val="001441CE"/>
    <w:rsid w:val="001448A7"/>
    <w:rsid w:val="001448FA"/>
    <w:rsid w:val="00146621"/>
    <w:rsid w:val="00154F47"/>
    <w:rsid w:val="00162325"/>
    <w:rsid w:val="001643A3"/>
    <w:rsid w:val="001651D7"/>
    <w:rsid w:val="001759EA"/>
    <w:rsid w:val="00181E90"/>
    <w:rsid w:val="00182BC3"/>
    <w:rsid w:val="00192C99"/>
    <w:rsid w:val="001951DA"/>
    <w:rsid w:val="001A1812"/>
    <w:rsid w:val="001A47DD"/>
    <w:rsid w:val="001A6B1E"/>
    <w:rsid w:val="001B04A2"/>
    <w:rsid w:val="001B1677"/>
    <w:rsid w:val="001B5867"/>
    <w:rsid w:val="001C3269"/>
    <w:rsid w:val="001C3DB8"/>
    <w:rsid w:val="001D1214"/>
    <w:rsid w:val="001D1DB4"/>
    <w:rsid w:val="001D433A"/>
    <w:rsid w:val="001D4A83"/>
    <w:rsid w:val="001E159D"/>
    <w:rsid w:val="001E4721"/>
    <w:rsid w:val="001E4C60"/>
    <w:rsid w:val="001E785D"/>
    <w:rsid w:val="001F1048"/>
    <w:rsid w:val="001F69CB"/>
    <w:rsid w:val="0020226E"/>
    <w:rsid w:val="00202C00"/>
    <w:rsid w:val="00206D73"/>
    <w:rsid w:val="002072FC"/>
    <w:rsid w:val="00207D57"/>
    <w:rsid w:val="00210015"/>
    <w:rsid w:val="002108B8"/>
    <w:rsid w:val="00223788"/>
    <w:rsid w:val="0022731A"/>
    <w:rsid w:val="002311DA"/>
    <w:rsid w:val="00231F5E"/>
    <w:rsid w:val="00232FAA"/>
    <w:rsid w:val="00234C2D"/>
    <w:rsid w:val="00235562"/>
    <w:rsid w:val="00235726"/>
    <w:rsid w:val="00241155"/>
    <w:rsid w:val="00245B7F"/>
    <w:rsid w:val="002463D2"/>
    <w:rsid w:val="00250127"/>
    <w:rsid w:val="002574F9"/>
    <w:rsid w:val="00261383"/>
    <w:rsid w:val="002620FE"/>
    <w:rsid w:val="00262B61"/>
    <w:rsid w:val="0026322E"/>
    <w:rsid w:val="00264DBF"/>
    <w:rsid w:val="00265051"/>
    <w:rsid w:val="002655AB"/>
    <w:rsid w:val="00265626"/>
    <w:rsid w:val="002657C6"/>
    <w:rsid w:val="00272785"/>
    <w:rsid w:val="00276811"/>
    <w:rsid w:val="00281EB7"/>
    <w:rsid w:val="00282699"/>
    <w:rsid w:val="002828E5"/>
    <w:rsid w:val="002857D5"/>
    <w:rsid w:val="00285BC1"/>
    <w:rsid w:val="00286A22"/>
    <w:rsid w:val="00286F19"/>
    <w:rsid w:val="002915BA"/>
    <w:rsid w:val="002926DF"/>
    <w:rsid w:val="00296697"/>
    <w:rsid w:val="002A0CB2"/>
    <w:rsid w:val="002A19E4"/>
    <w:rsid w:val="002A1B4D"/>
    <w:rsid w:val="002A4300"/>
    <w:rsid w:val="002B0472"/>
    <w:rsid w:val="002B2632"/>
    <w:rsid w:val="002B37FF"/>
    <w:rsid w:val="002B5320"/>
    <w:rsid w:val="002B5602"/>
    <w:rsid w:val="002B5932"/>
    <w:rsid w:val="002B6B12"/>
    <w:rsid w:val="002B7098"/>
    <w:rsid w:val="002C1F80"/>
    <w:rsid w:val="002C39BB"/>
    <w:rsid w:val="002C6197"/>
    <w:rsid w:val="002D63C1"/>
    <w:rsid w:val="002E3864"/>
    <w:rsid w:val="002E4142"/>
    <w:rsid w:val="002E6140"/>
    <w:rsid w:val="002E6180"/>
    <w:rsid w:val="002E6985"/>
    <w:rsid w:val="002E71B6"/>
    <w:rsid w:val="002F113C"/>
    <w:rsid w:val="002F3B22"/>
    <w:rsid w:val="002F5CB4"/>
    <w:rsid w:val="002F77C8"/>
    <w:rsid w:val="002F7B44"/>
    <w:rsid w:val="0030066C"/>
    <w:rsid w:val="00300931"/>
    <w:rsid w:val="0030130D"/>
    <w:rsid w:val="00304F22"/>
    <w:rsid w:val="00306C7C"/>
    <w:rsid w:val="00312CA1"/>
    <w:rsid w:val="003170CE"/>
    <w:rsid w:val="00320AAB"/>
    <w:rsid w:val="00322EDD"/>
    <w:rsid w:val="0032561D"/>
    <w:rsid w:val="00325B5B"/>
    <w:rsid w:val="00331D50"/>
    <w:rsid w:val="00332320"/>
    <w:rsid w:val="00333523"/>
    <w:rsid w:val="00334BC6"/>
    <w:rsid w:val="00335C1D"/>
    <w:rsid w:val="00341722"/>
    <w:rsid w:val="00343F08"/>
    <w:rsid w:val="00347D72"/>
    <w:rsid w:val="003509C1"/>
    <w:rsid w:val="00350CCF"/>
    <w:rsid w:val="003531A8"/>
    <w:rsid w:val="00355BA6"/>
    <w:rsid w:val="00357611"/>
    <w:rsid w:val="003578BD"/>
    <w:rsid w:val="00360FE5"/>
    <w:rsid w:val="00363878"/>
    <w:rsid w:val="00365427"/>
    <w:rsid w:val="00367237"/>
    <w:rsid w:val="0037077F"/>
    <w:rsid w:val="00372411"/>
    <w:rsid w:val="00372600"/>
    <w:rsid w:val="00373882"/>
    <w:rsid w:val="00373963"/>
    <w:rsid w:val="00373A8A"/>
    <w:rsid w:val="00376583"/>
    <w:rsid w:val="00377845"/>
    <w:rsid w:val="00377AA0"/>
    <w:rsid w:val="00382928"/>
    <w:rsid w:val="003843DB"/>
    <w:rsid w:val="0038453C"/>
    <w:rsid w:val="00384AFC"/>
    <w:rsid w:val="00384E63"/>
    <w:rsid w:val="00385867"/>
    <w:rsid w:val="00393761"/>
    <w:rsid w:val="00395C05"/>
    <w:rsid w:val="00396F76"/>
    <w:rsid w:val="00397D18"/>
    <w:rsid w:val="003A1B36"/>
    <w:rsid w:val="003A1BEF"/>
    <w:rsid w:val="003A31EB"/>
    <w:rsid w:val="003B1454"/>
    <w:rsid w:val="003B18B6"/>
    <w:rsid w:val="003B1B67"/>
    <w:rsid w:val="003B1F7B"/>
    <w:rsid w:val="003B3B38"/>
    <w:rsid w:val="003B70F7"/>
    <w:rsid w:val="003B79CB"/>
    <w:rsid w:val="003C5507"/>
    <w:rsid w:val="003C5642"/>
    <w:rsid w:val="003C59E0"/>
    <w:rsid w:val="003C65B9"/>
    <w:rsid w:val="003C6C8D"/>
    <w:rsid w:val="003C7357"/>
    <w:rsid w:val="003C7BCB"/>
    <w:rsid w:val="003D25FD"/>
    <w:rsid w:val="003D2EB8"/>
    <w:rsid w:val="003D4A6E"/>
    <w:rsid w:val="003D4F95"/>
    <w:rsid w:val="003D5F42"/>
    <w:rsid w:val="003D60A9"/>
    <w:rsid w:val="003D7F14"/>
    <w:rsid w:val="003E2ACD"/>
    <w:rsid w:val="003E5931"/>
    <w:rsid w:val="003E5D54"/>
    <w:rsid w:val="003E6B2A"/>
    <w:rsid w:val="003E7187"/>
    <w:rsid w:val="003F4C97"/>
    <w:rsid w:val="003F7FE6"/>
    <w:rsid w:val="00400193"/>
    <w:rsid w:val="00401454"/>
    <w:rsid w:val="0040571D"/>
    <w:rsid w:val="004071D7"/>
    <w:rsid w:val="00416C79"/>
    <w:rsid w:val="00417EA9"/>
    <w:rsid w:val="0042030D"/>
    <w:rsid w:val="004209BA"/>
    <w:rsid w:val="004212E7"/>
    <w:rsid w:val="004219A1"/>
    <w:rsid w:val="00422082"/>
    <w:rsid w:val="0042270A"/>
    <w:rsid w:val="00422E26"/>
    <w:rsid w:val="0042446D"/>
    <w:rsid w:val="00426D1A"/>
    <w:rsid w:val="00427BF8"/>
    <w:rsid w:val="00431C02"/>
    <w:rsid w:val="00437395"/>
    <w:rsid w:val="004423D9"/>
    <w:rsid w:val="00442767"/>
    <w:rsid w:val="00442CA1"/>
    <w:rsid w:val="00445047"/>
    <w:rsid w:val="0044573A"/>
    <w:rsid w:val="004514A2"/>
    <w:rsid w:val="004604AD"/>
    <w:rsid w:val="004608C7"/>
    <w:rsid w:val="00460B43"/>
    <w:rsid w:val="00462101"/>
    <w:rsid w:val="00463E39"/>
    <w:rsid w:val="004657FC"/>
    <w:rsid w:val="004661D9"/>
    <w:rsid w:val="004723C4"/>
    <w:rsid w:val="004733F6"/>
    <w:rsid w:val="00474E69"/>
    <w:rsid w:val="00482BF3"/>
    <w:rsid w:val="004847E5"/>
    <w:rsid w:val="004903D7"/>
    <w:rsid w:val="0049138C"/>
    <w:rsid w:val="004926F1"/>
    <w:rsid w:val="00493214"/>
    <w:rsid w:val="0049621B"/>
    <w:rsid w:val="00496EE1"/>
    <w:rsid w:val="004A2432"/>
    <w:rsid w:val="004A3E9E"/>
    <w:rsid w:val="004B0478"/>
    <w:rsid w:val="004B1366"/>
    <w:rsid w:val="004C10DC"/>
    <w:rsid w:val="004C1895"/>
    <w:rsid w:val="004C2834"/>
    <w:rsid w:val="004C483E"/>
    <w:rsid w:val="004C6810"/>
    <w:rsid w:val="004C6D40"/>
    <w:rsid w:val="004D51E6"/>
    <w:rsid w:val="004E1FDB"/>
    <w:rsid w:val="004E75AC"/>
    <w:rsid w:val="004F0C3C"/>
    <w:rsid w:val="004F3B49"/>
    <w:rsid w:val="004F63FC"/>
    <w:rsid w:val="00505A92"/>
    <w:rsid w:val="005065EF"/>
    <w:rsid w:val="00511165"/>
    <w:rsid w:val="0051602F"/>
    <w:rsid w:val="005160F9"/>
    <w:rsid w:val="005203F1"/>
    <w:rsid w:val="00521BC3"/>
    <w:rsid w:val="00523F8D"/>
    <w:rsid w:val="00524536"/>
    <w:rsid w:val="005270CB"/>
    <w:rsid w:val="0052781B"/>
    <w:rsid w:val="00527ADD"/>
    <w:rsid w:val="00531348"/>
    <w:rsid w:val="005326B1"/>
    <w:rsid w:val="00533632"/>
    <w:rsid w:val="00541E6E"/>
    <w:rsid w:val="0054251F"/>
    <w:rsid w:val="005520D8"/>
    <w:rsid w:val="00554C05"/>
    <w:rsid w:val="00554F24"/>
    <w:rsid w:val="00556CF1"/>
    <w:rsid w:val="00561043"/>
    <w:rsid w:val="00565D94"/>
    <w:rsid w:val="00570D80"/>
    <w:rsid w:val="00571F48"/>
    <w:rsid w:val="005733FA"/>
    <w:rsid w:val="005762A7"/>
    <w:rsid w:val="00580933"/>
    <w:rsid w:val="005916D7"/>
    <w:rsid w:val="00593DBF"/>
    <w:rsid w:val="00596BDB"/>
    <w:rsid w:val="005A4B6E"/>
    <w:rsid w:val="005A698C"/>
    <w:rsid w:val="005A7DB6"/>
    <w:rsid w:val="005B655D"/>
    <w:rsid w:val="005B7D72"/>
    <w:rsid w:val="005C5A96"/>
    <w:rsid w:val="005D3692"/>
    <w:rsid w:val="005D59A8"/>
    <w:rsid w:val="005D741F"/>
    <w:rsid w:val="005E0799"/>
    <w:rsid w:val="005E156C"/>
    <w:rsid w:val="005E1B77"/>
    <w:rsid w:val="005E1EC0"/>
    <w:rsid w:val="005E3082"/>
    <w:rsid w:val="005E3C25"/>
    <w:rsid w:val="005E5603"/>
    <w:rsid w:val="005E5CA7"/>
    <w:rsid w:val="005F37BA"/>
    <w:rsid w:val="005F5A80"/>
    <w:rsid w:val="00603929"/>
    <w:rsid w:val="006044FF"/>
    <w:rsid w:val="006064EC"/>
    <w:rsid w:val="0060749B"/>
    <w:rsid w:val="00607796"/>
    <w:rsid w:val="00607CC5"/>
    <w:rsid w:val="0061220F"/>
    <w:rsid w:val="00624E3A"/>
    <w:rsid w:val="0062502F"/>
    <w:rsid w:val="00625167"/>
    <w:rsid w:val="0062763C"/>
    <w:rsid w:val="006276E8"/>
    <w:rsid w:val="00627EAB"/>
    <w:rsid w:val="00632723"/>
    <w:rsid w:val="00633014"/>
    <w:rsid w:val="0063437B"/>
    <w:rsid w:val="00635413"/>
    <w:rsid w:val="006409FD"/>
    <w:rsid w:val="00651B2C"/>
    <w:rsid w:val="00652655"/>
    <w:rsid w:val="0065395C"/>
    <w:rsid w:val="00656811"/>
    <w:rsid w:val="00660001"/>
    <w:rsid w:val="006600AD"/>
    <w:rsid w:val="006612F9"/>
    <w:rsid w:val="006663D3"/>
    <w:rsid w:val="00666C8A"/>
    <w:rsid w:val="00666CA2"/>
    <w:rsid w:val="006673CA"/>
    <w:rsid w:val="00667D50"/>
    <w:rsid w:val="00671847"/>
    <w:rsid w:val="0067317E"/>
    <w:rsid w:val="006735CC"/>
    <w:rsid w:val="00673AF8"/>
    <w:rsid w:val="00673C26"/>
    <w:rsid w:val="00674745"/>
    <w:rsid w:val="00674775"/>
    <w:rsid w:val="006750E0"/>
    <w:rsid w:val="006812AF"/>
    <w:rsid w:val="006829C1"/>
    <w:rsid w:val="0068327D"/>
    <w:rsid w:val="00692576"/>
    <w:rsid w:val="00694185"/>
    <w:rsid w:val="00694AF0"/>
    <w:rsid w:val="006955E8"/>
    <w:rsid w:val="006960DA"/>
    <w:rsid w:val="006A3899"/>
    <w:rsid w:val="006A4686"/>
    <w:rsid w:val="006A5B53"/>
    <w:rsid w:val="006B0E9E"/>
    <w:rsid w:val="006B5AE4"/>
    <w:rsid w:val="006B7D12"/>
    <w:rsid w:val="006C01F1"/>
    <w:rsid w:val="006C61DC"/>
    <w:rsid w:val="006D0F90"/>
    <w:rsid w:val="006D1507"/>
    <w:rsid w:val="006D31FD"/>
    <w:rsid w:val="006D4054"/>
    <w:rsid w:val="006D4787"/>
    <w:rsid w:val="006D7C05"/>
    <w:rsid w:val="006E02EC"/>
    <w:rsid w:val="006E0786"/>
    <w:rsid w:val="006E3DBA"/>
    <w:rsid w:val="006E4295"/>
    <w:rsid w:val="006E47AF"/>
    <w:rsid w:val="006F5DCB"/>
    <w:rsid w:val="007029A1"/>
    <w:rsid w:val="00706B84"/>
    <w:rsid w:val="00707473"/>
    <w:rsid w:val="00713618"/>
    <w:rsid w:val="00713959"/>
    <w:rsid w:val="00716EE5"/>
    <w:rsid w:val="00720068"/>
    <w:rsid w:val="007211B1"/>
    <w:rsid w:val="00726FEB"/>
    <w:rsid w:val="00727AC5"/>
    <w:rsid w:val="0073361C"/>
    <w:rsid w:val="00737644"/>
    <w:rsid w:val="00741483"/>
    <w:rsid w:val="00741D4F"/>
    <w:rsid w:val="00746187"/>
    <w:rsid w:val="00746BBA"/>
    <w:rsid w:val="00746DEF"/>
    <w:rsid w:val="00747E59"/>
    <w:rsid w:val="00750A0F"/>
    <w:rsid w:val="007573F9"/>
    <w:rsid w:val="0076254F"/>
    <w:rsid w:val="00763BDC"/>
    <w:rsid w:val="00763DF2"/>
    <w:rsid w:val="00774449"/>
    <w:rsid w:val="00775995"/>
    <w:rsid w:val="007801F5"/>
    <w:rsid w:val="007802E6"/>
    <w:rsid w:val="00781CE2"/>
    <w:rsid w:val="00782C2E"/>
    <w:rsid w:val="00783CA4"/>
    <w:rsid w:val="007842FB"/>
    <w:rsid w:val="00786124"/>
    <w:rsid w:val="00787FD4"/>
    <w:rsid w:val="00791159"/>
    <w:rsid w:val="00794FE9"/>
    <w:rsid w:val="0079514B"/>
    <w:rsid w:val="007A2DC1"/>
    <w:rsid w:val="007A38B8"/>
    <w:rsid w:val="007A5FB7"/>
    <w:rsid w:val="007B7F3C"/>
    <w:rsid w:val="007C049E"/>
    <w:rsid w:val="007C0907"/>
    <w:rsid w:val="007C5361"/>
    <w:rsid w:val="007D3319"/>
    <w:rsid w:val="007D335D"/>
    <w:rsid w:val="007D4EA1"/>
    <w:rsid w:val="007D592E"/>
    <w:rsid w:val="007E3314"/>
    <w:rsid w:val="007E4621"/>
    <w:rsid w:val="007E4B03"/>
    <w:rsid w:val="007F19C0"/>
    <w:rsid w:val="007F26E4"/>
    <w:rsid w:val="007F324B"/>
    <w:rsid w:val="00800D4E"/>
    <w:rsid w:val="0080553C"/>
    <w:rsid w:val="00805B46"/>
    <w:rsid w:val="0080613E"/>
    <w:rsid w:val="00806878"/>
    <w:rsid w:val="008079F8"/>
    <w:rsid w:val="00810D15"/>
    <w:rsid w:val="008135BB"/>
    <w:rsid w:val="00813BE2"/>
    <w:rsid w:val="008202DF"/>
    <w:rsid w:val="00820C18"/>
    <w:rsid w:val="00824A20"/>
    <w:rsid w:val="00825DC2"/>
    <w:rsid w:val="008335DA"/>
    <w:rsid w:val="008349DB"/>
    <w:rsid w:val="00834A43"/>
    <w:rsid w:val="00834AD3"/>
    <w:rsid w:val="0083727A"/>
    <w:rsid w:val="00837430"/>
    <w:rsid w:val="00837EFE"/>
    <w:rsid w:val="008404D2"/>
    <w:rsid w:val="00840C7C"/>
    <w:rsid w:val="00843795"/>
    <w:rsid w:val="00844042"/>
    <w:rsid w:val="00847F0F"/>
    <w:rsid w:val="008514C5"/>
    <w:rsid w:val="00852448"/>
    <w:rsid w:val="008531B0"/>
    <w:rsid w:val="008562E1"/>
    <w:rsid w:val="008620CE"/>
    <w:rsid w:val="00862C65"/>
    <w:rsid w:val="00866807"/>
    <w:rsid w:val="008717AE"/>
    <w:rsid w:val="00871AB4"/>
    <w:rsid w:val="00872012"/>
    <w:rsid w:val="00876F94"/>
    <w:rsid w:val="00880BA4"/>
    <w:rsid w:val="0088258A"/>
    <w:rsid w:val="00884808"/>
    <w:rsid w:val="00885136"/>
    <w:rsid w:val="00885AD2"/>
    <w:rsid w:val="00886332"/>
    <w:rsid w:val="00887F80"/>
    <w:rsid w:val="00891A8B"/>
    <w:rsid w:val="00893F77"/>
    <w:rsid w:val="008954CD"/>
    <w:rsid w:val="00896A0B"/>
    <w:rsid w:val="008975D3"/>
    <w:rsid w:val="008A26D9"/>
    <w:rsid w:val="008A5220"/>
    <w:rsid w:val="008B14CD"/>
    <w:rsid w:val="008B3161"/>
    <w:rsid w:val="008B6789"/>
    <w:rsid w:val="008C0C29"/>
    <w:rsid w:val="008C40CB"/>
    <w:rsid w:val="008C57D3"/>
    <w:rsid w:val="008C7BFC"/>
    <w:rsid w:val="008D3C14"/>
    <w:rsid w:val="008D3DDD"/>
    <w:rsid w:val="008D4C43"/>
    <w:rsid w:val="008E150F"/>
    <w:rsid w:val="008E1C76"/>
    <w:rsid w:val="008E3A31"/>
    <w:rsid w:val="008E4184"/>
    <w:rsid w:val="008F3638"/>
    <w:rsid w:val="008F4441"/>
    <w:rsid w:val="008F54D4"/>
    <w:rsid w:val="008F6F31"/>
    <w:rsid w:val="008F74DF"/>
    <w:rsid w:val="009033F7"/>
    <w:rsid w:val="00906EE7"/>
    <w:rsid w:val="00911C62"/>
    <w:rsid w:val="009127BA"/>
    <w:rsid w:val="00917388"/>
    <w:rsid w:val="009174E9"/>
    <w:rsid w:val="00920A55"/>
    <w:rsid w:val="009227A6"/>
    <w:rsid w:val="00927392"/>
    <w:rsid w:val="009302EF"/>
    <w:rsid w:val="00930BB2"/>
    <w:rsid w:val="009329F0"/>
    <w:rsid w:val="00933EC1"/>
    <w:rsid w:val="009417C0"/>
    <w:rsid w:val="00944286"/>
    <w:rsid w:val="00947365"/>
    <w:rsid w:val="00951338"/>
    <w:rsid w:val="009513D2"/>
    <w:rsid w:val="009514ED"/>
    <w:rsid w:val="009530DB"/>
    <w:rsid w:val="00953676"/>
    <w:rsid w:val="0095719E"/>
    <w:rsid w:val="00960E39"/>
    <w:rsid w:val="00964090"/>
    <w:rsid w:val="0096786F"/>
    <w:rsid w:val="00967E95"/>
    <w:rsid w:val="009701DA"/>
    <w:rsid w:val="009705EE"/>
    <w:rsid w:val="0097136B"/>
    <w:rsid w:val="009714CA"/>
    <w:rsid w:val="00975484"/>
    <w:rsid w:val="00976067"/>
    <w:rsid w:val="00977032"/>
    <w:rsid w:val="00977284"/>
    <w:rsid w:val="00977927"/>
    <w:rsid w:val="0098110A"/>
    <w:rsid w:val="0098135C"/>
    <w:rsid w:val="0098156A"/>
    <w:rsid w:val="009817A4"/>
    <w:rsid w:val="00985DD1"/>
    <w:rsid w:val="00991BAC"/>
    <w:rsid w:val="00992FCE"/>
    <w:rsid w:val="00994A0E"/>
    <w:rsid w:val="00997A7D"/>
    <w:rsid w:val="009A101D"/>
    <w:rsid w:val="009A337E"/>
    <w:rsid w:val="009A3802"/>
    <w:rsid w:val="009A69ED"/>
    <w:rsid w:val="009A6EA0"/>
    <w:rsid w:val="009B03C5"/>
    <w:rsid w:val="009B3644"/>
    <w:rsid w:val="009B429F"/>
    <w:rsid w:val="009B44F1"/>
    <w:rsid w:val="009B50DD"/>
    <w:rsid w:val="009C1335"/>
    <w:rsid w:val="009C1AB2"/>
    <w:rsid w:val="009C4CDB"/>
    <w:rsid w:val="009C7251"/>
    <w:rsid w:val="009D1622"/>
    <w:rsid w:val="009D50CA"/>
    <w:rsid w:val="009D5E0D"/>
    <w:rsid w:val="009E1972"/>
    <w:rsid w:val="009E2E91"/>
    <w:rsid w:val="009F1320"/>
    <w:rsid w:val="009F270F"/>
    <w:rsid w:val="00A00930"/>
    <w:rsid w:val="00A03C39"/>
    <w:rsid w:val="00A10F8C"/>
    <w:rsid w:val="00A12C70"/>
    <w:rsid w:val="00A139F5"/>
    <w:rsid w:val="00A16188"/>
    <w:rsid w:val="00A233CD"/>
    <w:rsid w:val="00A2473C"/>
    <w:rsid w:val="00A257E3"/>
    <w:rsid w:val="00A2734F"/>
    <w:rsid w:val="00A365F4"/>
    <w:rsid w:val="00A417AE"/>
    <w:rsid w:val="00A47D80"/>
    <w:rsid w:val="00A51D4D"/>
    <w:rsid w:val="00A53132"/>
    <w:rsid w:val="00A53FD5"/>
    <w:rsid w:val="00A55947"/>
    <w:rsid w:val="00A563F2"/>
    <w:rsid w:val="00A566E8"/>
    <w:rsid w:val="00A57748"/>
    <w:rsid w:val="00A57CA1"/>
    <w:rsid w:val="00A63006"/>
    <w:rsid w:val="00A72049"/>
    <w:rsid w:val="00A72918"/>
    <w:rsid w:val="00A72EFD"/>
    <w:rsid w:val="00A7403E"/>
    <w:rsid w:val="00A7445D"/>
    <w:rsid w:val="00A810F9"/>
    <w:rsid w:val="00A84ADE"/>
    <w:rsid w:val="00A8579A"/>
    <w:rsid w:val="00A8676F"/>
    <w:rsid w:val="00A86ECC"/>
    <w:rsid w:val="00A86FCC"/>
    <w:rsid w:val="00A911C5"/>
    <w:rsid w:val="00A9186C"/>
    <w:rsid w:val="00A9201B"/>
    <w:rsid w:val="00A94181"/>
    <w:rsid w:val="00AA1EFA"/>
    <w:rsid w:val="00AA6E57"/>
    <w:rsid w:val="00AA710D"/>
    <w:rsid w:val="00AB6D25"/>
    <w:rsid w:val="00AB7F34"/>
    <w:rsid w:val="00AC09BB"/>
    <w:rsid w:val="00AC1C24"/>
    <w:rsid w:val="00AC2C31"/>
    <w:rsid w:val="00AC3075"/>
    <w:rsid w:val="00AC3769"/>
    <w:rsid w:val="00AC3C97"/>
    <w:rsid w:val="00AC5A46"/>
    <w:rsid w:val="00AC5F4D"/>
    <w:rsid w:val="00AD1169"/>
    <w:rsid w:val="00AD4A02"/>
    <w:rsid w:val="00AE2D4B"/>
    <w:rsid w:val="00AE4F99"/>
    <w:rsid w:val="00AE4FAF"/>
    <w:rsid w:val="00AE5B74"/>
    <w:rsid w:val="00AE686E"/>
    <w:rsid w:val="00AF2254"/>
    <w:rsid w:val="00AF2DF1"/>
    <w:rsid w:val="00AF323E"/>
    <w:rsid w:val="00B003C7"/>
    <w:rsid w:val="00B02EAA"/>
    <w:rsid w:val="00B04EE6"/>
    <w:rsid w:val="00B0642E"/>
    <w:rsid w:val="00B065C1"/>
    <w:rsid w:val="00B11B69"/>
    <w:rsid w:val="00B12650"/>
    <w:rsid w:val="00B138F8"/>
    <w:rsid w:val="00B14789"/>
    <w:rsid w:val="00B14952"/>
    <w:rsid w:val="00B14C35"/>
    <w:rsid w:val="00B174F0"/>
    <w:rsid w:val="00B20162"/>
    <w:rsid w:val="00B201DB"/>
    <w:rsid w:val="00B2484E"/>
    <w:rsid w:val="00B24FAF"/>
    <w:rsid w:val="00B251F9"/>
    <w:rsid w:val="00B30E95"/>
    <w:rsid w:val="00B315E6"/>
    <w:rsid w:val="00B31E5A"/>
    <w:rsid w:val="00B36AB8"/>
    <w:rsid w:val="00B40EA9"/>
    <w:rsid w:val="00B45508"/>
    <w:rsid w:val="00B46DE6"/>
    <w:rsid w:val="00B46E63"/>
    <w:rsid w:val="00B53A00"/>
    <w:rsid w:val="00B54313"/>
    <w:rsid w:val="00B60075"/>
    <w:rsid w:val="00B64DE8"/>
    <w:rsid w:val="00B653AB"/>
    <w:rsid w:val="00B65F9E"/>
    <w:rsid w:val="00B6640F"/>
    <w:rsid w:val="00B66B19"/>
    <w:rsid w:val="00B7011B"/>
    <w:rsid w:val="00B70F93"/>
    <w:rsid w:val="00B7368E"/>
    <w:rsid w:val="00B73DCB"/>
    <w:rsid w:val="00B754AD"/>
    <w:rsid w:val="00B761CA"/>
    <w:rsid w:val="00B77C4E"/>
    <w:rsid w:val="00B8074B"/>
    <w:rsid w:val="00B83DEA"/>
    <w:rsid w:val="00B83EA6"/>
    <w:rsid w:val="00B8637A"/>
    <w:rsid w:val="00B87446"/>
    <w:rsid w:val="00B914E9"/>
    <w:rsid w:val="00B91D8E"/>
    <w:rsid w:val="00B956EE"/>
    <w:rsid w:val="00BA1994"/>
    <w:rsid w:val="00BA2BA1"/>
    <w:rsid w:val="00BA31DE"/>
    <w:rsid w:val="00BA3562"/>
    <w:rsid w:val="00BA7A62"/>
    <w:rsid w:val="00BB4F09"/>
    <w:rsid w:val="00BB51F0"/>
    <w:rsid w:val="00BB6F7D"/>
    <w:rsid w:val="00BC234E"/>
    <w:rsid w:val="00BC2A97"/>
    <w:rsid w:val="00BC7172"/>
    <w:rsid w:val="00BC7213"/>
    <w:rsid w:val="00BD31CC"/>
    <w:rsid w:val="00BD3467"/>
    <w:rsid w:val="00BD4E33"/>
    <w:rsid w:val="00BE0E1D"/>
    <w:rsid w:val="00BE3E23"/>
    <w:rsid w:val="00BF3836"/>
    <w:rsid w:val="00BF52CB"/>
    <w:rsid w:val="00BF578A"/>
    <w:rsid w:val="00C00112"/>
    <w:rsid w:val="00C02E38"/>
    <w:rsid w:val="00C030DE"/>
    <w:rsid w:val="00C031BE"/>
    <w:rsid w:val="00C03B6D"/>
    <w:rsid w:val="00C051B6"/>
    <w:rsid w:val="00C114AB"/>
    <w:rsid w:val="00C11A08"/>
    <w:rsid w:val="00C1288E"/>
    <w:rsid w:val="00C2159E"/>
    <w:rsid w:val="00C22105"/>
    <w:rsid w:val="00C23C96"/>
    <w:rsid w:val="00C244B6"/>
    <w:rsid w:val="00C31CA6"/>
    <w:rsid w:val="00C33615"/>
    <w:rsid w:val="00C36A86"/>
    <w:rsid w:val="00C3702F"/>
    <w:rsid w:val="00C371EC"/>
    <w:rsid w:val="00C40CEE"/>
    <w:rsid w:val="00C41D1A"/>
    <w:rsid w:val="00C41FDA"/>
    <w:rsid w:val="00C4500A"/>
    <w:rsid w:val="00C46AFF"/>
    <w:rsid w:val="00C47C35"/>
    <w:rsid w:val="00C51540"/>
    <w:rsid w:val="00C51A30"/>
    <w:rsid w:val="00C52918"/>
    <w:rsid w:val="00C53020"/>
    <w:rsid w:val="00C54129"/>
    <w:rsid w:val="00C55AFF"/>
    <w:rsid w:val="00C64A37"/>
    <w:rsid w:val="00C7068A"/>
    <w:rsid w:val="00C7158E"/>
    <w:rsid w:val="00C7250B"/>
    <w:rsid w:val="00C7346B"/>
    <w:rsid w:val="00C748E3"/>
    <w:rsid w:val="00C765EC"/>
    <w:rsid w:val="00C77C0E"/>
    <w:rsid w:val="00C83AEE"/>
    <w:rsid w:val="00C86FB6"/>
    <w:rsid w:val="00C87891"/>
    <w:rsid w:val="00C914E1"/>
    <w:rsid w:val="00C91687"/>
    <w:rsid w:val="00C924A8"/>
    <w:rsid w:val="00C92930"/>
    <w:rsid w:val="00C945FE"/>
    <w:rsid w:val="00C953EF"/>
    <w:rsid w:val="00C96FAA"/>
    <w:rsid w:val="00C972A5"/>
    <w:rsid w:val="00C97A04"/>
    <w:rsid w:val="00CA107B"/>
    <w:rsid w:val="00CA18C1"/>
    <w:rsid w:val="00CA484D"/>
    <w:rsid w:val="00CA4FB6"/>
    <w:rsid w:val="00CA7CE8"/>
    <w:rsid w:val="00CB26CA"/>
    <w:rsid w:val="00CB3432"/>
    <w:rsid w:val="00CB5CEB"/>
    <w:rsid w:val="00CC739E"/>
    <w:rsid w:val="00CD2891"/>
    <w:rsid w:val="00CD3A82"/>
    <w:rsid w:val="00CD58B7"/>
    <w:rsid w:val="00CD790B"/>
    <w:rsid w:val="00CE1749"/>
    <w:rsid w:val="00CE26E5"/>
    <w:rsid w:val="00CE2EE5"/>
    <w:rsid w:val="00CE5BD5"/>
    <w:rsid w:val="00CF141E"/>
    <w:rsid w:val="00CF3B55"/>
    <w:rsid w:val="00CF4099"/>
    <w:rsid w:val="00D00796"/>
    <w:rsid w:val="00D010E7"/>
    <w:rsid w:val="00D012B8"/>
    <w:rsid w:val="00D02B9F"/>
    <w:rsid w:val="00D02CCD"/>
    <w:rsid w:val="00D136AA"/>
    <w:rsid w:val="00D144E5"/>
    <w:rsid w:val="00D1645A"/>
    <w:rsid w:val="00D215A3"/>
    <w:rsid w:val="00D217E3"/>
    <w:rsid w:val="00D25CFA"/>
    <w:rsid w:val="00D261A2"/>
    <w:rsid w:val="00D3299E"/>
    <w:rsid w:val="00D35579"/>
    <w:rsid w:val="00D45C32"/>
    <w:rsid w:val="00D56D33"/>
    <w:rsid w:val="00D616D2"/>
    <w:rsid w:val="00D63B5F"/>
    <w:rsid w:val="00D64AAD"/>
    <w:rsid w:val="00D65847"/>
    <w:rsid w:val="00D70EF7"/>
    <w:rsid w:val="00D7413A"/>
    <w:rsid w:val="00D77510"/>
    <w:rsid w:val="00D77650"/>
    <w:rsid w:val="00D808F8"/>
    <w:rsid w:val="00D8397C"/>
    <w:rsid w:val="00D85181"/>
    <w:rsid w:val="00D91092"/>
    <w:rsid w:val="00D94786"/>
    <w:rsid w:val="00D94EED"/>
    <w:rsid w:val="00D94FD2"/>
    <w:rsid w:val="00D96026"/>
    <w:rsid w:val="00DA1979"/>
    <w:rsid w:val="00DA5462"/>
    <w:rsid w:val="00DA632D"/>
    <w:rsid w:val="00DA6AC5"/>
    <w:rsid w:val="00DA7C1C"/>
    <w:rsid w:val="00DB147A"/>
    <w:rsid w:val="00DB1B7A"/>
    <w:rsid w:val="00DB23A8"/>
    <w:rsid w:val="00DB2480"/>
    <w:rsid w:val="00DB31A0"/>
    <w:rsid w:val="00DB368F"/>
    <w:rsid w:val="00DB6942"/>
    <w:rsid w:val="00DC17C5"/>
    <w:rsid w:val="00DC377B"/>
    <w:rsid w:val="00DC479D"/>
    <w:rsid w:val="00DC6708"/>
    <w:rsid w:val="00DD16F5"/>
    <w:rsid w:val="00DD1A90"/>
    <w:rsid w:val="00DD1ECA"/>
    <w:rsid w:val="00DE3958"/>
    <w:rsid w:val="00DE4F0C"/>
    <w:rsid w:val="00DF0B22"/>
    <w:rsid w:val="00DF2A73"/>
    <w:rsid w:val="00DF2BA7"/>
    <w:rsid w:val="00DF3119"/>
    <w:rsid w:val="00DF5866"/>
    <w:rsid w:val="00DF7DC0"/>
    <w:rsid w:val="00E00B90"/>
    <w:rsid w:val="00E01436"/>
    <w:rsid w:val="00E01455"/>
    <w:rsid w:val="00E045BD"/>
    <w:rsid w:val="00E127B0"/>
    <w:rsid w:val="00E17613"/>
    <w:rsid w:val="00E17B77"/>
    <w:rsid w:val="00E224DD"/>
    <w:rsid w:val="00E23337"/>
    <w:rsid w:val="00E236E0"/>
    <w:rsid w:val="00E24FCC"/>
    <w:rsid w:val="00E259EA"/>
    <w:rsid w:val="00E2731E"/>
    <w:rsid w:val="00E30A3E"/>
    <w:rsid w:val="00E32061"/>
    <w:rsid w:val="00E33B28"/>
    <w:rsid w:val="00E42FF9"/>
    <w:rsid w:val="00E46549"/>
    <w:rsid w:val="00E4714C"/>
    <w:rsid w:val="00E5089F"/>
    <w:rsid w:val="00E51AEB"/>
    <w:rsid w:val="00E51F4D"/>
    <w:rsid w:val="00E522A7"/>
    <w:rsid w:val="00E53BE8"/>
    <w:rsid w:val="00E54076"/>
    <w:rsid w:val="00E54452"/>
    <w:rsid w:val="00E55600"/>
    <w:rsid w:val="00E62BE9"/>
    <w:rsid w:val="00E62C94"/>
    <w:rsid w:val="00E65DFB"/>
    <w:rsid w:val="00E664C5"/>
    <w:rsid w:val="00E671A2"/>
    <w:rsid w:val="00E7065C"/>
    <w:rsid w:val="00E713D6"/>
    <w:rsid w:val="00E72954"/>
    <w:rsid w:val="00E72A65"/>
    <w:rsid w:val="00E72B3E"/>
    <w:rsid w:val="00E762A1"/>
    <w:rsid w:val="00E76D26"/>
    <w:rsid w:val="00E86317"/>
    <w:rsid w:val="00E866C2"/>
    <w:rsid w:val="00E90466"/>
    <w:rsid w:val="00E9538F"/>
    <w:rsid w:val="00EA6C89"/>
    <w:rsid w:val="00EA7625"/>
    <w:rsid w:val="00EB0396"/>
    <w:rsid w:val="00EB1390"/>
    <w:rsid w:val="00EB243C"/>
    <w:rsid w:val="00EB255B"/>
    <w:rsid w:val="00EB2893"/>
    <w:rsid w:val="00EB2C71"/>
    <w:rsid w:val="00EB420D"/>
    <w:rsid w:val="00EB4340"/>
    <w:rsid w:val="00EB4703"/>
    <w:rsid w:val="00EB556D"/>
    <w:rsid w:val="00EB57BA"/>
    <w:rsid w:val="00EB5A7D"/>
    <w:rsid w:val="00EB682C"/>
    <w:rsid w:val="00EB72BA"/>
    <w:rsid w:val="00EB7E4E"/>
    <w:rsid w:val="00EB7EE3"/>
    <w:rsid w:val="00EC1A34"/>
    <w:rsid w:val="00EC2D62"/>
    <w:rsid w:val="00EC3AB3"/>
    <w:rsid w:val="00EC4A57"/>
    <w:rsid w:val="00EC4F60"/>
    <w:rsid w:val="00EC717E"/>
    <w:rsid w:val="00ED253D"/>
    <w:rsid w:val="00ED47D9"/>
    <w:rsid w:val="00ED55C0"/>
    <w:rsid w:val="00ED651B"/>
    <w:rsid w:val="00ED682B"/>
    <w:rsid w:val="00EE310A"/>
    <w:rsid w:val="00EE32E2"/>
    <w:rsid w:val="00EE41D5"/>
    <w:rsid w:val="00EE6D04"/>
    <w:rsid w:val="00EE6D38"/>
    <w:rsid w:val="00EF1AAF"/>
    <w:rsid w:val="00EF2B0E"/>
    <w:rsid w:val="00EF6AA6"/>
    <w:rsid w:val="00F037A4"/>
    <w:rsid w:val="00F1017B"/>
    <w:rsid w:val="00F1039C"/>
    <w:rsid w:val="00F1102B"/>
    <w:rsid w:val="00F121E5"/>
    <w:rsid w:val="00F14D54"/>
    <w:rsid w:val="00F16DC6"/>
    <w:rsid w:val="00F20063"/>
    <w:rsid w:val="00F26489"/>
    <w:rsid w:val="00F27C8F"/>
    <w:rsid w:val="00F32590"/>
    <w:rsid w:val="00F32749"/>
    <w:rsid w:val="00F32BF3"/>
    <w:rsid w:val="00F339BB"/>
    <w:rsid w:val="00F348CA"/>
    <w:rsid w:val="00F37172"/>
    <w:rsid w:val="00F4477E"/>
    <w:rsid w:val="00F458CE"/>
    <w:rsid w:val="00F473A1"/>
    <w:rsid w:val="00F6000C"/>
    <w:rsid w:val="00F60A54"/>
    <w:rsid w:val="00F60E03"/>
    <w:rsid w:val="00F62CBA"/>
    <w:rsid w:val="00F63D80"/>
    <w:rsid w:val="00F6727E"/>
    <w:rsid w:val="00F672E4"/>
    <w:rsid w:val="00F67844"/>
    <w:rsid w:val="00F67D8F"/>
    <w:rsid w:val="00F741F4"/>
    <w:rsid w:val="00F7496A"/>
    <w:rsid w:val="00F769CE"/>
    <w:rsid w:val="00F802BE"/>
    <w:rsid w:val="00F80948"/>
    <w:rsid w:val="00F80E93"/>
    <w:rsid w:val="00F81CDC"/>
    <w:rsid w:val="00F85AC1"/>
    <w:rsid w:val="00F86024"/>
    <w:rsid w:val="00F8611A"/>
    <w:rsid w:val="00F87C30"/>
    <w:rsid w:val="00F92147"/>
    <w:rsid w:val="00F959F7"/>
    <w:rsid w:val="00FA1A2B"/>
    <w:rsid w:val="00FA5128"/>
    <w:rsid w:val="00FB42D4"/>
    <w:rsid w:val="00FB5906"/>
    <w:rsid w:val="00FB6A5C"/>
    <w:rsid w:val="00FB762F"/>
    <w:rsid w:val="00FC2AED"/>
    <w:rsid w:val="00FC5D93"/>
    <w:rsid w:val="00FD368D"/>
    <w:rsid w:val="00FD40DE"/>
    <w:rsid w:val="00FD5EA7"/>
    <w:rsid w:val="00FE5A66"/>
    <w:rsid w:val="00FE6B60"/>
    <w:rsid w:val="00FF2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B4DD39"/>
  <w15:docId w15:val="{9E92894B-0FC5-4863-A299-5A8EF1A3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informacji"/>
    <w:qFormat/>
    <w:rsid w:val="00D77650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uiPriority w:val="1"/>
    <w:qFormat/>
    <w:rsid w:val="00C03B6D"/>
    <w:pPr>
      <w:widowControl w:val="0"/>
      <w:autoSpaceDE w:val="0"/>
      <w:autoSpaceDN w:val="0"/>
      <w:adjustRightInd w:val="0"/>
      <w:spacing w:before="0" w:after="0" w:line="240" w:lineRule="auto"/>
      <w:ind w:left="100"/>
    </w:pPr>
    <w:rPr>
      <w:rFonts w:eastAsia="Times New Roman" w:cs="Fira Sans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03B6D"/>
    <w:rPr>
      <w:rFonts w:ascii="Fira Sans" w:eastAsia="Times New Roman" w:hAnsi="Fira Sans" w:cs="Fira Sans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09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09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09C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09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09C1"/>
    <w:rPr>
      <w:rFonts w:ascii="Fira Sans" w:hAnsi="Fira Sans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D64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64AAD"/>
    <w:pPr>
      <w:spacing w:before="0" w:after="200" w:line="276" w:lineRule="auto"/>
    </w:pPr>
    <w:rPr>
      <w:rFonts w:ascii="Times New Roman" w:hAnsi="Times New Roman"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0E218E"/>
    <w:rPr>
      <w:color w:val="954F72" w:themeColor="followedHyperlink"/>
      <w:u w:val="single"/>
    </w:rPr>
  </w:style>
  <w:style w:type="paragraph" w:styleId="Legenda">
    <w:name w:val="caption"/>
    <w:basedOn w:val="Normalny"/>
    <w:next w:val="Normalny"/>
    <w:qFormat/>
    <w:rsid w:val="00E54076"/>
    <w:pPr>
      <w:spacing w:before="360" w:after="0" w:line="360" w:lineRule="exact"/>
      <w:jc w:val="both"/>
    </w:pPr>
    <w:rPr>
      <w:rFonts w:ascii="Times New Roman" w:eastAsia="Times New Roman" w:hAnsi="Times New Roman" w:cs="Times New Roman"/>
      <w:b/>
      <w:i/>
      <w:sz w:val="24"/>
      <w:szCs w:val="20"/>
      <w:lang w:val="en-US"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81CE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74745"/>
    <w:pPr>
      <w:spacing w:after="0" w:line="240" w:lineRule="auto"/>
    </w:pPr>
    <w:rPr>
      <w:rFonts w:ascii="Fira Sans" w:hAnsi="Fira Sans"/>
      <w:sz w:val="19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23788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2655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2655AB"/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2655AB"/>
    <w:pPr>
      <w:autoSpaceDE w:val="0"/>
      <w:autoSpaceDN w:val="0"/>
      <w:adjustRightInd w:val="0"/>
      <w:spacing w:before="16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Opiswskanika">
    <w:name w:val="Opis wskaźnika"/>
    <w:basedOn w:val="tekstnaniebieskimtle"/>
    <w:link w:val="OpiswskanikaZnak"/>
    <w:qFormat/>
    <w:rsid w:val="002655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2655AB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2655AB"/>
    <w:rPr>
      <w:rFonts w:ascii="Fira Sans" w:hAnsi="Fira Sans"/>
      <w:color w:val="FFFFFF" w:themeColor="background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6.png"/><Relationship Id="rId26" Type="http://schemas.openxmlformats.org/officeDocument/2006/relationships/hyperlink" Target="https://dbw.stat.gov.pl/dashboard/24" TargetMode="External"/><Relationship Id="rId21" Type="http://schemas.openxmlformats.org/officeDocument/2006/relationships/image" Target="media/image9.png"/><Relationship Id="rId34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5.png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hyperlink" Target="https://stat.gov.pl/en/metainformation/glossary/terms-used-in-official-statistics/4043,term.htm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hyperlink" Target="https://stat.gov.pl/en/metainformation/glossary/terms-used-in-official-statistics/651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s://stat.gov.pl/en/national-census/national-population-and-housing-census-2021/final-results-of-the-national-population-and-housing-census-2021/housing-conditions-in-poland-according-to-the-resultsof-the-national-population-and-housing-census-2021,5,1.html" TargetMode="External"/><Relationship Id="rId32" Type="http://schemas.openxmlformats.org/officeDocument/2006/relationships/hyperlink" Target="https://stat.gov.pl/en/metainformation/glossary/terms-used-in-official-statistics/3538,term.html" TargetMode="Externa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s://stat.gov.pl/en/topics/municipal-infrastructure/municipal-infrastructure/housing-economy-and-municipal-infrastructure-in-2022,5,19.html" TargetMode="External"/><Relationship Id="rId28" Type="http://schemas.openxmlformats.org/officeDocument/2006/relationships/hyperlink" Target="https://stat.gov.pl/en/metainformation/glossary/terms-used-in-official-statistics/745,term.html" TargetMode="External"/><Relationship Id="rId36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7.png"/><Relationship Id="rId31" Type="http://schemas.openxmlformats.org/officeDocument/2006/relationships/hyperlink" Target="https://stat.gov.pl/en/metainformation/glossary/terms-used-in-official-statistics/4615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s://stat.gov.pl/en/topics/municipal-infrastructure/municipal-infrastructure/housing-economy-in-2022,10,6.html" TargetMode="External"/><Relationship Id="rId27" Type="http://schemas.openxmlformats.org/officeDocument/2006/relationships/hyperlink" Target="https://stat.gov.pl/en/metainformation/glossary/terms-used-in-official-statistics/202,term.html" TargetMode="External"/><Relationship Id="rId30" Type="http://schemas.openxmlformats.org/officeDocument/2006/relationships/hyperlink" Target="https://stat.gov.pl/en/metainformation/glossary/terms-used-in-official-statistics/1481,term.html" TargetMode="External"/><Relationship Id="rId35" Type="http://schemas.openxmlformats.org/officeDocument/2006/relationships/footer" Target="foot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1"/>
          <c:order val="0"/>
          <c:tx>
            <c:strRef>
              <c:f>'Chart.1'!$M$8</c:f>
              <c:strCache>
                <c:ptCount val="1"/>
                <c:pt idx="0">
                  <c:v>Rural areas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cat>
            <c:strRef>
              <c:f>'Chart.1'!$N$5:$R$5</c:f>
              <c:strCache>
                <c:ptCount val="5"/>
                <c:pt idx="0">
                  <c:v>water supply system</c:v>
                </c:pt>
                <c:pt idx="1">
                  <c:v>lavatory</c:v>
                </c:pt>
                <c:pt idx="2">
                  <c:v>bathroom</c:v>
                </c:pt>
                <c:pt idx="3">
                  <c:v>gas supply system</c:v>
                </c:pt>
                <c:pt idx="4">
                  <c:v>central heating</c:v>
                </c:pt>
              </c:strCache>
            </c:strRef>
          </c:cat>
          <c:val>
            <c:numRef>
              <c:f>'Chart.1'!$N$8:$R$8</c:f>
              <c:numCache>
                <c:formatCode>0.0</c:formatCode>
                <c:ptCount val="5"/>
                <c:pt idx="0">
                  <c:v>96.1</c:v>
                </c:pt>
                <c:pt idx="1">
                  <c:v>91</c:v>
                </c:pt>
                <c:pt idx="2">
                  <c:v>88.3</c:v>
                </c:pt>
                <c:pt idx="3">
                  <c:v>31.8</c:v>
                </c:pt>
                <c:pt idx="4">
                  <c:v>78.8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84F-4187-95E1-31F2C3C32F8B}"/>
            </c:ext>
          </c:extLst>
        </c:ser>
        <c:ser>
          <c:idx val="0"/>
          <c:order val="1"/>
          <c:tx>
            <c:strRef>
              <c:f>'Chart.1'!$M$7</c:f>
              <c:strCache>
                <c:ptCount val="1"/>
                <c:pt idx="0">
                  <c:v>Urban areas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cat>
            <c:strRef>
              <c:f>'Chart.1'!$N$5:$R$5</c:f>
              <c:strCache>
                <c:ptCount val="5"/>
                <c:pt idx="0">
                  <c:v>water supply system</c:v>
                </c:pt>
                <c:pt idx="1">
                  <c:v>lavatory</c:v>
                </c:pt>
                <c:pt idx="2">
                  <c:v>bathroom</c:v>
                </c:pt>
                <c:pt idx="3">
                  <c:v>gas supply system</c:v>
                </c:pt>
                <c:pt idx="4">
                  <c:v>central heating</c:v>
                </c:pt>
              </c:strCache>
            </c:strRef>
          </c:cat>
          <c:val>
            <c:numRef>
              <c:f>'Chart.1'!$N$7:$R$7</c:f>
              <c:numCache>
                <c:formatCode>0.0</c:formatCode>
                <c:ptCount val="5"/>
                <c:pt idx="0">
                  <c:v>98.6</c:v>
                </c:pt>
                <c:pt idx="1">
                  <c:v>97.3</c:v>
                </c:pt>
                <c:pt idx="2">
                  <c:v>96.5</c:v>
                </c:pt>
                <c:pt idx="3">
                  <c:v>71.7</c:v>
                </c:pt>
                <c:pt idx="4">
                  <c:v>89.5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84F-4187-95E1-31F2C3C32F8B}"/>
            </c:ext>
          </c:extLst>
        </c:ser>
        <c:ser>
          <c:idx val="2"/>
          <c:order val="2"/>
          <c:tx>
            <c:strRef>
              <c:f>'Chart.1'!$M$6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'Chart.1'!$N$5:$R$5</c:f>
              <c:strCache>
                <c:ptCount val="5"/>
                <c:pt idx="0">
                  <c:v>water supply system</c:v>
                </c:pt>
                <c:pt idx="1">
                  <c:v>lavatory</c:v>
                </c:pt>
                <c:pt idx="2">
                  <c:v>bathroom</c:v>
                </c:pt>
                <c:pt idx="3">
                  <c:v>gas supply system</c:v>
                </c:pt>
                <c:pt idx="4">
                  <c:v>central heating</c:v>
                </c:pt>
              </c:strCache>
            </c:strRef>
          </c:cat>
          <c:val>
            <c:numRef>
              <c:f>'Chart.1'!$N$6:$R$6</c:f>
              <c:numCache>
                <c:formatCode>0.0</c:formatCode>
                <c:ptCount val="5"/>
                <c:pt idx="0">
                  <c:v>97.8</c:v>
                </c:pt>
                <c:pt idx="1">
                  <c:v>95.2</c:v>
                </c:pt>
                <c:pt idx="2">
                  <c:v>93.8</c:v>
                </c:pt>
                <c:pt idx="3">
                  <c:v>58.9</c:v>
                </c:pt>
                <c:pt idx="4">
                  <c:v>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84F-4187-95E1-31F2C3C32F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87763768"/>
        <c:axId val="187836392"/>
      </c:barChart>
      <c:catAx>
        <c:axId val="1877637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87836392"/>
        <c:crosses val="autoZero"/>
        <c:auto val="1"/>
        <c:lblAlgn val="ctr"/>
        <c:lblOffset val="100"/>
        <c:noMultiLvlLbl val="0"/>
      </c:catAx>
      <c:valAx>
        <c:axId val="187836392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87763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  <NazwaPliku xmlns="1E9983FF-DC4B-4F4E-A072-0441E2B88E6D">Housing_economy_in_2023.docx.docx</NazwaPliku>
    <Osoba xmlns="1E9983FF-DC4B-4F4E-A072-0441E2B88E6D">STAT\SIPAK</Osoba>
    <Odbiorcy2 xmlns="1E9983FF-DC4B-4F4E-A072-0441E2B88E6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D39804-E15D-40D9-A3F2-808567566B96}"/>
</file>

<file path=customXml/itemProps2.xml><?xml version="1.0" encoding="utf-8"?>
<ds:datastoreItem xmlns:ds="http://schemas.openxmlformats.org/officeDocument/2006/customXml" ds:itemID="{EB4D7500-5082-4B3D-9A27-B6340C88D5DF}"/>
</file>

<file path=customXml/itemProps3.xml><?xml version="1.0" encoding="utf-8"?>
<ds:datastoreItem xmlns:ds="http://schemas.openxmlformats.org/officeDocument/2006/customXml" ds:itemID="{90B71F41-0097-4939-8A6C-93BF5120DB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1589</Words>
  <Characters>9536</Characters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Housing economy in 2022 r.</vt:lpstr>
    </vt:vector>
  </TitlesOfParts>
  <Company/>
  <LinksUpToDate>false</LinksUpToDate>
  <CharactersWithSpaces>11103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Housing economy in 2023</dc:title>
  <dc:description/>
  <cp:lastPrinted>2023-09-13T09:34:00Z</cp:lastPrinted>
  <dcterms:created xsi:type="dcterms:W3CDTF">2024-09-04T09:24:00Z</dcterms:created>
  <dcterms:modified xsi:type="dcterms:W3CDTF">2024-09-04T09:24:00Z</dcterms:modified>
  <cp:category>Municipal infrastructure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