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9.xml" ContentType="application/vnd.openxmlformats-officedocument.drawingml.chartshapes+xml"/>
  <Override PartName="/word/charts/chart20.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0.xml" ContentType="application/vnd.openxmlformats-officedocument.drawingml.chartshapes+xml"/>
  <Override PartName="/word/charts/chart21.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E94DB2" w14:textId="305B930A" w:rsidR="003A25B8" w:rsidRDefault="003A25B8" w:rsidP="00764D9C">
      <w:pPr>
        <w:pStyle w:val="tytuinformacji"/>
        <w:rPr>
          <w:shd w:val="clear" w:color="auto" w:fill="FFFFFF"/>
        </w:rPr>
      </w:pPr>
    </w:p>
    <w:p w14:paraId="7EE94DB3" w14:textId="69BA75C7" w:rsidR="003A25B8" w:rsidRPr="00127FCF" w:rsidRDefault="003A25B8" w:rsidP="00764D9C">
      <w:pPr>
        <w:pStyle w:val="tytuinformacji"/>
        <w:rPr>
          <w:sz w:val="18"/>
          <w:szCs w:val="18"/>
          <w:shd w:val="clear" w:color="auto" w:fill="FFFFFF"/>
        </w:rPr>
      </w:pPr>
      <w:bookmarkStart w:id="0" w:name="_Hlk71794721"/>
      <w:bookmarkEnd w:id="0"/>
    </w:p>
    <w:p w14:paraId="7EE94DB4" w14:textId="304BF71C" w:rsidR="00AB520C" w:rsidRPr="003A25B8" w:rsidRDefault="00AB520C" w:rsidP="00764D9C">
      <w:pPr>
        <w:pStyle w:val="tytuinformacji"/>
        <w:rPr>
          <w:shd w:val="clear" w:color="auto" w:fill="FFFFFF"/>
          <w:lang w:val="en-GB"/>
        </w:rPr>
      </w:pPr>
      <w:r w:rsidRPr="003A25B8">
        <w:rPr>
          <w:shd w:val="clear" w:color="auto" w:fill="FFFFFF"/>
          <w:lang w:val="en-GB"/>
        </w:rPr>
        <w:t>The situation of households in 20</w:t>
      </w:r>
      <w:r w:rsidR="00EC7A9B">
        <w:rPr>
          <w:shd w:val="clear" w:color="auto" w:fill="FFFFFF"/>
          <w:lang w:val="en-GB"/>
        </w:rPr>
        <w:t>2</w:t>
      </w:r>
      <w:r w:rsidR="0060146F">
        <w:rPr>
          <w:shd w:val="clear" w:color="auto" w:fill="FFFFFF"/>
          <w:lang w:val="en-GB"/>
        </w:rPr>
        <w:t>4</w:t>
      </w:r>
      <w:r w:rsidRPr="003A25B8">
        <w:rPr>
          <w:shd w:val="clear" w:color="auto" w:fill="FFFFFF"/>
          <w:lang w:val="en-GB"/>
        </w:rPr>
        <w:t xml:space="preserve"> on the bas</w:t>
      </w:r>
      <w:r w:rsidR="00EC7A9B">
        <w:rPr>
          <w:shd w:val="clear" w:color="auto" w:fill="FFFFFF"/>
          <w:lang w:val="en-GB"/>
        </w:rPr>
        <w:t>is</w:t>
      </w:r>
      <w:r w:rsidRPr="003A25B8">
        <w:rPr>
          <w:shd w:val="clear" w:color="auto" w:fill="FFFFFF"/>
          <w:lang w:val="en-GB"/>
        </w:rPr>
        <w:t xml:space="preserve"> of result</w:t>
      </w:r>
      <w:r w:rsidR="00EC7A9B">
        <w:rPr>
          <w:shd w:val="clear" w:color="auto" w:fill="FFFFFF"/>
          <w:lang w:val="en-GB"/>
        </w:rPr>
        <w:t>s</w:t>
      </w:r>
      <w:r w:rsidRPr="003A25B8">
        <w:rPr>
          <w:shd w:val="clear" w:color="auto" w:fill="FFFFFF"/>
          <w:lang w:val="en-GB"/>
        </w:rPr>
        <w:t xml:space="preserve"> of </w:t>
      </w:r>
      <w:r w:rsidR="00EC7A9B">
        <w:rPr>
          <w:shd w:val="clear" w:color="auto" w:fill="FFFFFF"/>
          <w:lang w:val="en-GB"/>
        </w:rPr>
        <w:t xml:space="preserve">the </w:t>
      </w:r>
      <w:r w:rsidRPr="003A25B8">
        <w:rPr>
          <w:shd w:val="clear" w:color="auto" w:fill="FFFFFF"/>
          <w:lang w:val="en-GB"/>
        </w:rPr>
        <w:t>Household Budget Survey</w:t>
      </w:r>
      <w:bookmarkStart w:id="1" w:name="_GoBack"/>
      <w:bookmarkEnd w:id="1"/>
    </w:p>
    <w:p w14:paraId="7EE94DB5" w14:textId="77777777" w:rsidR="00764D9C" w:rsidRPr="003A25B8" w:rsidRDefault="0080273B" w:rsidP="00764D9C">
      <w:pPr>
        <w:pStyle w:val="tytuinformacji"/>
        <w:rPr>
          <w:i/>
          <w:shd w:val="clear" w:color="auto" w:fill="FFFFFF"/>
          <w:lang w:val="en-GB"/>
        </w:rPr>
      </w:pPr>
      <w:r>
        <w:rPr>
          <w:i/>
          <w:noProof/>
          <w:lang w:eastAsia="pl-PL"/>
        </w:rPr>
        <mc:AlternateContent>
          <mc:Choice Requires="wps">
            <w:drawing>
              <wp:anchor distT="45720" distB="45720" distL="114300" distR="114300" simplePos="0" relativeHeight="251798528" behindDoc="1" locked="0" layoutInCell="1" allowOverlap="1" wp14:anchorId="7EE94F90" wp14:editId="16C3FB12">
                <wp:simplePos x="0" y="0"/>
                <wp:positionH relativeFrom="column">
                  <wp:posOffset>5219700</wp:posOffset>
                </wp:positionH>
                <wp:positionV relativeFrom="paragraph">
                  <wp:posOffset>316865</wp:posOffset>
                </wp:positionV>
                <wp:extent cx="1725295" cy="2838450"/>
                <wp:effectExtent l="0" t="0" r="0" b="0"/>
                <wp:wrapTight wrapText="bothSides">
                  <wp:wrapPolygon edited="0">
                    <wp:start x="715" y="0"/>
                    <wp:lineTo x="715" y="21455"/>
                    <wp:lineTo x="20749" y="21455"/>
                    <wp:lineTo x="20749" y="0"/>
                    <wp:lineTo x="715" y="0"/>
                  </wp:wrapPolygon>
                </wp:wrapTight>
                <wp:docPr id="227" name="Pole tekstowe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838450"/>
                        </a:xfrm>
                        <a:prstGeom prst="rect">
                          <a:avLst/>
                        </a:prstGeom>
                        <a:noFill/>
                        <a:ln w="9525">
                          <a:noFill/>
                          <a:miter lim="800000"/>
                          <a:headEnd/>
                          <a:tailEnd/>
                        </a:ln>
                      </wps:spPr>
                      <wps:txbx>
                        <w:txbxContent>
                          <w:p w14:paraId="7EE95009" w14:textId="19620AB3" w:rsidR="00882B10" w:rsidRDefault="00882B10" w:rsidP="00764D9C">
                            <w:pPr>
                              <w:pStyle w:val="tekstzboku"/>
                              <w:rPr>
                                <w:lang w:val="en-GB"/>
                              </w:rPr>
                            </w:pPr>
                            <w:r w:rsidRPr="004968D1">
                              <w:rPr>
                                <w:lang w:val="en-GB"/>
                              </w:rPr>
                              <w:t>In 202</w:t>
                            </w:r>
                            <w:r>
                              <w:rPr>
                                <w:lang w:val="en-GB"/>
                              </w:rPr>
                              <w:t>4</w:t>
                            </w:r>
                            <w:r w:rsidRPr="004968D1">
                              <w:rPr>
                                <w:lang w:val="en-GB"/>
                              </w:rPr>
                              <w:t>,</w:t>
                            </w:r>
                            <w:r>
                              <w:rPr>
                                <w:lang w:val="en-GB"/>
                              </w:rPr>
                              <w:t xml:space="preserve"> the income situation </w:t>
                            </w:r>
                            <w:r w:rsidRPr="004968D1">
                              <w:rPr>
                                <w:lang w:val="en-GB"/>
                              </w:rPr>
                              <w:t xml:space="preserve">of households </w:t>
                            </w:r>
                            <w:r>
                              <w:rPr>
                                <w:lang w:val="en-GB"/>
                              </w:rPr>
                              <w:t xml:space="preserve">significantly </w:t>
                            </w:r>
                            <w:r w:rsidRPr="004968D1">
                              <w:rPr>
                                <w:lang w:val="en-GB"/>
                              </w:rPr>
                              <w:t>improved</w:t>
                            </w:r>
                            <w:r>
                              <w:rPr>
                                <w:lang w:val="en-GB"/>
                              </w:rPr>
                              <w:t xml:space="preserve">. </w:t>
                            </w:r>
                            <w:r w:rsidRPr="00A140DA">
                              <w:rPr>
                                <w:lang w:val="en-GB"/>
                              </w:rPr>
                              <w:t xml:space="preserve">Average </w:t>
                            </w:r>
                            <w:r>
                              <w:rPr>
                                <w:lang w:val="en-GB"/>
                              </w:rPr>
                              <w:t xml:space="preserve">monthly </w:t>
                            </w:r>
                            <w:r w:rsidRPr="00A140DA">
                              <w:rPr>
                                <w:lang w:val="en-GB"/>
                              </w:rPr>
                              <w:t xml:space="preserve">income and average </w:t>
                            </w:r>
                            <w:r>
                              <w:rPr>
                                <w:lang w:val="en-GB"/>
                              </w:rPr>
                              <w:t>monthly expenditure</w:t>
                            </w:r>
                            <w:r w:rsidRPr="00A140DA">
                              <w:rPr>
                                <w:lang w:val="en-GB"/>
                              </w:rPr>
                              <w:t xml:space="preserve"> </w:t>
                            </w:r>
                            <w:r>
                              <w:rPr>
                                <w:lang w:val="en-GB"/>
                              </w:rPr>
                              <w:t xml:space="preserve">per capita in households </w:t>
                            </w:r>
                            <w:r w:rsidRPr="00A140DA">
                              <w:rPr>
                                <w:lang w:val="en-GB"/>
                              </w:rPr>
                              <w:t xml:space="preserve">increased both </w:t>
                            </w:r>
                            <w:r>
                              <w:rPr>
                                <w:lang w:val="en-GB"/>
                              </w:rPr>
                              <w:t xml:space="preserve">in </w:t>
                            </w:r>
                            <w:r w:rsidRPr="00A140DA">
                              <w:rPr>
                                <w:lang w:val="en-GB"/>
                              </w:rPr>
                              <w:t>nominal and in real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EE94F90" id="_x0000_t202" coordsize="21600,21600" o:spt="202" path="m,l,21600r21600,l21600,xe">
                <v:stroke joinstyle="miter"/>
                <v:path gradientshapeok="t" o:connecttype="rect"/>
              </v:shapetype>
              <v:shape id="Pole tekstowe 227" o:spid="_x0000_s1026" type="#_x0000_t202" style="position:absolute;margin-left:411pt;margin-top:24.95pt;width:135.85pt;height:223.5pt;z-index:-25151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" filled="f" stroked="f">
                <v:textbox>
                  <w:txbxContent>
                    <w:p w14:paraId="7EE95009" w14:textId="19620AB3" w:rsidR="00882B10" w:rsidRDefault="00882B10" w:rsidP="00764D9C">
                      <w:pPr>
                        <w:pStyle w:val="tekstzboku"/>
                        <w:rPr>
                          <w:lang w:val="en-GB"/>
                        </w:rPr>
                      </w:pPr>
                      <w:r w:rsidRPr="004968D1">
                        <w:rPr>
                          <w:lang w:val="en-GB"/>
                        </w:rPr>
                        <w:t>In 202</w:t>
                      </w:r>
                      <w:r>
                        <w:rPr>
                          <w:lang w:val="en-GB"/>
                        </w:rPr>
                        <w:t>4</w:t>
                      </w:r>
                      <w:r w:rsidRPr="004968D1">
                        <w:rPr>
                          <w:lang w:val="en-GB"/>
                        </w:rPr>
                        <w:t>,</w:t>
                      </w:r>
                      <w:r>
                        <w:rPr>
                          <w:lang w:val="en-GB"/>
                        </w:rPr>
                        <w:t xml:space="preserve"> the income situation </w:t>
                      </w:r>
                      <w:r w:rsidRPr="004968D1">
                        <w:rPr>
                          <w:lang w:val="en-GB"/>
                        </w:rPr>
                        <w:t xml:space="preserve">of households </w:t>
                      </w:r>
                      <w:r>
                        <w:rPr>
                          <w:lang w:val="en-GB"/>
                        </w:rPr>
                        <w:t xml:space="preserve">significantly </w:t>
                      </w:r>
                      <w:r w:rsidRPr="004968D1">
                        <w:rPr>
                          <w:lang w:val="en-GB"/>
                        </w:rPr>
                        <w:t>improved</w:t>
                      </w:r>
                      <w:r>
                        <w:rPr>
                          <w:lang w:val="en-GB"/>
                        </w:rPr>
                        <w:t xml:space="preserve">. </w:t>
                      </w:r>
                      <w:r w:rsidRPr="00A140DA">
                        <w:rPr>
                          <w:lang w:val="en-GB"/>
                        </w:rPr>
                        <w:t xml:space="preserve">Average </w:t>
                      </w:r>
                      <w:r>
                        <w:rPr>
                          <w:lang w:val="en-GB"/>
                        </w:rPr>
                        <w:t xml:space="preserve">monthly </w:t>
                      </w:r>
                      <w:r w:rsidRPr="00A140DA">
                        <w:rPr>
                          <w:lang w:val="en-GB"/>
                        </w:rPr>
                        <w:t xml:space="preserve">income and average </w:t>
                      </w:r>
                      <w:r>
                        <w:rPr>
                          <w:lang w:val="en-GB"/>
                        </w:rPr>
                        <w:t>monthly expenditure</w:t>
                      </w:r>
                      <w:r w:rsidRPr="00A140DA">
                        <w:rPr>
                          <w:lang w:val="en-GB"/>
                        </w:rPr>
                        <w:t xml:space="preserve"> </w:t>
                      </w:r>
                      <w:r>
                        <w:rPr>
                          <w:lang w:val="en-GB"/>
                        </w:rPr>
                        <w:t xml:space="preserve">per capita in households </w:t>
                      </w:r>
                      <w:r w:rsidRPr="00A140DA">
                        <w:rPr>
                          <w:lang w:val="en-GB"/>
                        </w:rPr>
                        <w:t xml:space="preserve">increased both </w:t>
                      </w:r>
                      <w:r>
                        <w:rPr>
                          <w:lang w:val="en-GB"/>
                        </w:rPr>
                        <w:t xml:space="preserve">in </w:t>
                      </w:r>
                      <w:r w:rsidRPr="00A140DA">
                        <w:rPr>
                          <w:lang w:val="en-GB"/>
                        </w:rPr>
                        <w:t>nominal and in real terms</w:t>
                      </w:r>
                    </w:p>
                  </w:txbxContent>
                </v:textbox>
                <w10:wrap type="tight"/>
              </v:shape>
            </w:pict>
          </mc:Fallback>
        </mc:AlternateContent>
      </w:r>
    </w:p>
    <w:p w14:paraId="7EE94DB7" w14:textId="4CB1F39B" w:rsidR="00907638" w:rsidRDefault="00BF6020" w:rsidP="00D43603">
      <w:pPr>
        <w:pStyle w:val="LID"/>
        <w:rPr>
          <w:lang w:val="en-GB"/>
        </w:rPr>
      </w:pPr>
      <w:r>
        <w:rPr>
          <w:rFonts w:ascii="Times New Roman" w:hAnsi="Times New Roman" w:cs="Times New Roman"/>
          <w:sz w:val="24"/>
          <w:szCs w:val="24"/>
        </w:rPr>
        <mc:AlternateContent>
          <mc:Choice Requires="wps">
            <w:drawing>
              <wp:anchor distT="45720" distB="45720" distL="114300" distR="114300" simplePos="0" relativeHeight="251840512" behindDoc="0" locked="0" layoutInCell="1" allowOverlap="1" wp14:anchorId="30055143" wp14:editId="1609400A">
                <wp:simplePos x="0" y="0"/>
                <wp:positionH relativeFrom="margin">
                  <wp:posOffset>0</wp:posOffset>
                </wp:positionH>
                <wp:positionV relativeFrom="paragraph">
                  <wp:posOffset>88900</wp:posOffset>
                </wp:positionV>
                <wp:extent cx="2203200" cy="1555200"/>
                <wp:effectExtent l="0" t="0" r="6985" b="6985"/>
                <wp:wrapSquare wrapText="bothSides"/>
                <wp:docPr id="16" name="Pole tekstowe 16" descr="Opis wskaźnik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200" cy="1555200"/>
                        </a:xfrm>
                        <a:prstGeom prst="roundRect">
                          <a:avLst/>
                        </a:prstGeom>
                        <a:solidFill>
                          <a:srgbClr val="001D77"/>
                        </a:solidFill>
                        <a:ln w="9525">
                          <a:noFill/>
                          <a:miter lim="800000"/>
                          <a:headEnd/>
                          <a:tailEnd/>
                        </a:ln>
                      </wps:spPr>
                      <wps:txbx>
                        <w:txbxContent>
                          <w:p w14:paraId="570B5440" w14:textId="0907D1FB" w:rsidR="00882B10" w:rsidRPr="0003344D" w:rsidRDefault="00882B10" w:rsidP="00BF6020">
                            <w:pPr>
                              <w:spacing w:after="0" w:line="240" w:lineRule="auto"/>
                              <w:rPr>
                                <w:rFonts w:ascii="Fira Sans SemiBold" w:hAnsi="Fira Sans SemiBold"/>
                                <w:color w:val="FFFFFF"/>
                                <w:sz w:val="72"/>
                                <w:lang w:val="en-GB"/>
                              </w:rPr>
                            </w:pPr>
                            <w:r>
                              <w:rPr>
                                <w:rStyle w:val="IkonawskanikaZnak"/>
                                <w:sz w:val="76"/>
                                <w:szCs w:val="76"/>
                              </w:rPr>
                              <w:sym w:font="Wingdings" w:char="F0F1"/>
                            </w:r>
                            <w:r w:rsidRPr="0003344D">
                              <w:rPr>
                                <w:i/>
                                <w:noProof/>
                                <w:color w:val="001D77"/>
                                <w:lang w:val="en-GB" w:eastAsia="pl-PL"/>
                              </w:rPr>
                              <w:t xml:space="preserve"> </w:t>
                            </w:r>
                            <w:r>
                              <w:rPr>
                                <w:rFonts w:ascii="Fira Sans SemiBold" w:hAnsi="Fira Sans SemiBold"/>
                                <w:color w:val="FFFFFF"/>
                                <w:sz w:val="72"/>
                                <w:lang w:val="en-GB"/>
                              </w:rPr>
                              <w:t>14</w:t>
                            </w:r>
                            <w:r w:rsidRPr="0003344D">
                              <w:rPr>
                                <w:rFonts w:ascii="Fira Sans SemiBold" w:hAnsi="Fira Sans SemiBold"/>
                                <w:color w:val="FFFFFF"/>
                                <w:sz w:val="72"/>
                                <w:lang w:val="en-GB"/>
                              </w:rPr>
                              <w:t>.</w:t>
                            </w:r>
                            <w:r>
                              <w:rPr>
                                <w:rFonts w:ascii="Fira Sans SemiBold" w:hAnsi="Fira Sans SemiBold"/>
                                <w:color w:val="FFFFFF"/>
                                <w:sz w:val="72"/>
                                <w:lang w:val="en-GB"/>
                              </w:rPr>
                              <w:t>1</w:t>
                            </w:r>
                            <w:r w:rsidRPr="0003344D">
                              <w:rPr>
                                <w:rFonts w:ascii="Fira Sans SemiBold" w:hAnsi="Fira Sans SemiBold"/>
                                <w:color w:val="FFFFFF"/>
                                <w:sz w:val="72"/>
                                <w:lang w:val="en-GB"/>
                              </w:rPr>
                              <w:t>%</w:t>
                            </w:r>
                          </w:p>
                          <w:p w14:paraId="68ABFE14" w14:textId="4094E45E" w:rsidR="00882B10" w:rsidRPr="00BF6020" w:rsidRDefault="00882B10" w:rsidP="00BF6020">
                            <w:pPr>
                              <w:pStyle w:val="tekstnaniebieskimtle"/>
                              <w:rPr>
                                <w:sz w:val="18"/>
                                <w:szCs w:val="20"/>
                                <w:lang w:val="en-GB"/>
                              </w:rPr>
                            </w:pPr>
                            <w:r w:rsidRPr="00BF6020">
                              <w:rPr>
                                <w:lang w:val="en-GB"/>
                              </w:rPr>
                              <w:t xml:space="preserve">The </w:t>
                            </w:r>
                            <w:r>
                              <w:rPr>
                                <w:lang w:val="en-GB"/>
                              </w:rPr>
                              <w:t>in</w:t>
                            </w:r>
                            <w:r w:rsidRPr="00BF6020">
                              <w:rPr>
                                <w:lang w:val="en-GB"/>
                              </w:rPr>
                              <w:t>crease of the average monthly available income per capita in households in 202</w:t>
                            </w:r>
                            <w:r>
                              <w:rPr>
                                <w:lang w:val="en-GB"/>
                              </w:rPr>
                              <w:t>4</w:t>
                            </w:r>
                            <w:r w:rsidRPr="00BF6020">
                              <w:rPr>
                                <w:lang w:val="en-GB"/>
                              </w:rPr>
                              <w:t xml:space="preserve"> – in real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0055143" id="Pole tekstowe 16" o:spid="_x0000_s1027" alt="Opis wskaźnika" style="position:absolute;margin-left:0;margin-top:7pt;width:173.5pt;height:122.45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" fillcolor="#001d77" stroked="f">
                <v:stroke joinstyle="miter"/>
                <v:textbox>
                  <w:txbxContent>
                    <w:p w14:paraId="570B5440" w14:textId="0907D1FB" w:rsidR="00882B10" w:rsidRPr="0003344D" w:rsidRDefault="00882B10" w:rsidP="00BF6020">
                      <w:pPr>
                        <w:spacing w:after="0" w:line="240" w:lineRule="auto"/>
                        <w:rPr>
                          <w:rFonts w:ascii="Fira Sans SemiBold" w:hAnsi="Fira Sans SemiBold"/>
                          <w:color w:val="FFFFFF"/>
                          <w:sz w:val="72"/>
                          <w:lang w:val="en-GB"/>
                        </w:rPr>
                      </w:pPr>
                      <w:r>
                        <w:rPr>
                          <w:rStyle w:val="IkonawskanikaZnak"/>
                          <w:sz w:val="76"/>
                          <w:szCs w:val="76"/>
                        </w:rPr>
                        <w:sym w:font="Wingdings" w:char="F0F1"/>
                      </w:r>
                      <w:r w:rsidRPr="0003344D">
                        <w:rPr>
                          <w:i/>
                          <w:noProof/>
                          <w:color w:val="001D77"/>
                          <w:lang w:val="en-GB" w:eastAsia="pl-PL"/>
                        </w:rPr>
                        <w:t xml:space="preserve"> </w:t>
                      </w:r>
                      <w:r>
                        <w:rPr>
                          <w:rFonts w:ascii="Fira Sans SemiBold" w:hAnsi="Fira Sans SemiBold"/>
                          <w:color w:val="FFFFFF"/>
                          <w:sz w:val="72"/>
                          <w:lang w:val="en-GB"/>
                        </w:rPr>
                        <w:t>14</w:t>
                      </w:r>
                      <w:r w:rsidRPr="0003344D">
                        <w:rPr>
                          <w:rFonts w:ascii="Fira Sans SemiBold" w:hAnsi="Fira Sans SemiBold"/>
                          <w:color w:val="FFFFFF"/>
                          <w:sz w:val="72"/>
                          <w:lang w:val="en-GB"/>
                        </w:rPr>
                        <w:t>.</w:t>
                      </w:r>
                      <w:r>
                        <w:rPr>
                          <w:rFonts w:ascii="Fira Sans SemiBold" w:hAnsi="Fira Sans SemiBold"/>
                          <w:color w:val="FFFFFF"/>
                          <w:sz w:val="72"/>
                          <w:lang w:val="en-GB"/>
                        </w:rPr>
                        <w:t>1</w:t>
                      </w:r>
                      <w:r w:rsidRPr="0003344D">
                        <w:rPr>
                          <w:rFonts w:ascii="Fira Sans SemiBold" w:hAnsi="Fira Sans SemiBold"/>
                          <w:color w:val="FFFFFF"/>
                          <w:sz w:val="72"/>
                          <w:lang w:val="en-GB"/>
                        </w:rPr>
                        <w:t>%</w:t>
                      </w:r>
                    </w:p>
                    <w:p w14:paraId="68ABFE14" w14:textId="4094E45E" w:rsidR="00882B10" w:rsidRPr="00BF6020" w:rsidRDefault="00882B10" w:rsidP="00BF6020">
                      <w:pPr>
                        <w:pStyle w:val="tekstnaniebieskimtle"/>
                        <w:rPr>
                          <w:sz w:val="18"/>
                          <w:szCs w:val="20"/>
                          <w:lang w:val="en-GB"/>
                        </w:rPr>
                      </w:pPr>
                      <w:r w:rsidRPr="00BF6020">
                        <w:rPr>
                          <w:lang w:val="en-GB"/>
                        </w:rPr>
                        <w:t xml:space="preserve">The </w:t>
                      </w:r>
                      <w:r>
                        <w:rPr>
                          <w:lang w:val="en-GB"/>
                        </w:rPr>
                        <w:t>in</w:t>
                      </w:r>
                      <w:r w:rsidRPr="00BF6020">
                        <w:rPr>
                          <w:lang w:val="en-GB"/>
                        </w:rPr>
                        <w:t>crease of the average monthly available income per capita in households in 202</w:t>
                      </w:r>
                      <w:r>
                        <w:rPr>
                          <w:lang w:val="en-GB"/>
                        </w:rPr>
                        <w:t>4</w:t>
                      </w:r>
                      <w:r w:rsidRPr="00BF6020">
                        <w:rPr>
                          <w:lang w:val="en-GB"/>
                        </w:rPr>
                        <w:t xml:space="preserve"> – in real terms</w:t>
                      </w:r>
                    </w:p>
                  </w:txbxContent>
                </v:textbox>
                <w10:wrap type="square" anchorx="margin"/>
              </v:roundrect>
            </w:pict>
          </mc:Fallback>
        </mc:AlternateContent>
      </w:r>
      <w:r w:rsidR="00B26E28" w:rsidRPr="001075EA">
        <w:rPr>
          <w:lang w:val="en-GB"/>
        </w:rPr>
        <w:t>In 20</w:t>
      </w:r>
      <w:r w:rsidR="00EC7A9B">
        <w:rPr>
          <w:lang w:val="en-GB"/>
        </w:rPr>
        <w:t>2</w:t>
      </w:r>
      <w:r w:rsidR="0060146F">
        <w:rPr>
          <w:lang w:val="en-GB"/>
        </w:rPr>
        <w:t>4</w:t>
      </w:r>
      <w:r w:rsidR="00035A6C">
        <w:rPr>
          <w:lang w:val="en-GB"/>
        </w:rPr>
        <w:t xml:space="preserve"> </w:t>
      </w:r>
      <w:r w:rsidR="009A40BA">
        <w:rPr>
          <w:lang w:val="en-GB"/>
        </w:rPr>
        <w:t>the financial</w:t>
      </w:r>
      <w:r w:rsidR="00035A6C">
        <w:rPr>
          <w:lang w:val="en-GB"/>
        </w:rPr>
        <w:t xml:space="preserve"> situation of households</w:t>
      </w:r>
      <w:r w:rsidR="00E03B00">
        <w:rPr>
          <w:lang w:val="en-GB"/>
        </w:rPr>
        <w:t xml:space="preserve"> </w:t>
      </w:r>
      <w:r w:rsidR="0060146F">
        <w:rPr>
          <w:lang w:val="en-GB"/>
        </w:rPr>
        <w:t xml:space="preserve">significantly </w:t>
      </w:r>
      <w:r w:rsidR="00E03B00">
        <w:rPr>
          <w:lang w:val="en-GB"/>
        </w:rPr>
        <w:t>improved</w:t>
      </w:r>
      <w:r w:rsidR="006A43C7">
        <w:rPr>
          <w:lang w:val="en-GB"/>
        </w:rPr>
        <w:t xml:space="preserve"> in comparison with 2023</w:t>
      </w:r>
      <w:r w:rsidR="00411F82">
        <w:rPr>
          <w:lang w:val="en-GB"/>
        </w:rPr>
        <w:t>.</w:t>
      </w:r>
      <w:r w:rsidR="0060146F">
        <w:rPr>
          <w:lang w:val="en-GB"/>
        </w:rPr>
        <w:t xml:space="preserve"> </w:t>
      </w:r>
      <w:r w:rsidR="00411F82">
        <w:rPr>
          <w:lang w:val="en-GB"/>
        </w:rPr>
        <w:t>This</w:t>
      </w:r>
      <w:r w:rsidR="0060146F">
        <w:rPr>
          <w:lang w:val="en-GB"/>
        </w:rPr>
        <w:t xml:space="preserve"> was </w:t>
      </w:r>
      <w:r w:rsidR="00411F82">
        <w:rPr>
          <w:lang w:val="en-GB"/>
        </w:rPr>
        <w:t>due</w:t>
      </w:r>
      <w:r w:rsidR="0060146F">
        <w:rPr>
          <w:lang w:val="en-GB"/>
        </w:rPr>
        <w:t xml:space="preserve">, among others, </w:t>
      </w:r>
      <w:r w:rsidR="00411F82">
        <w:rPr>
          <w:lang w:val="en-GB"/>
        </w:rPr>
        <w:t xml:space="preserve">to a higher average monthly salary in the national economy (of which resulting from the increase in the minimum wage), as </w:t>
      </w:r>
      <w:r w:rsidR="00411F82">
        <w:rPr>
          <w:lang w:val="en-GB"/>
        </w:rPr>
        <w:t xml:space="preserve">well as an increase in social and family benefits, with a simultanouse </w:t>
      </w:r>
      <w:r w:rsidR="00A241B1">
        <w:rPr>
          <w:lang w:val="en-GB"/>
        </w:rPr>
        <w:t>decrease in the growth rate</w:t>
      </w:r>
      <w:r w:rsidR="00411F82">
        <w:rPr>
          <w:lang w:val="en-GB"/>
        </w:rPr>
        <w:t xml:space="preserve"> </w:t>
      </w:r>
      <w:r w:rsidR="00A241B1">
        <w:rPr>
          <w:lang w:val="en-GB"/>
        </w:rPr>
        <w:t xml:space="preserve">of </w:t>
      </w:r>
      <w:r w:rsidR="00411F82">
        <w:rPr>
          <w:lang w:val="en-GB"/>
        </w:rPr>
        <w:t>consumer</w:t>
      </w:r>
      <w:r w:rsidR="00A241B1">
        <w:rPr>
          <w:lang w:val="en-GB"/>
        </w:rPr>
        <w:t xml:space="preserve"> goods and services</w:t>
      </w:r>
      <w:r w:rsidR="00411F82">
        <w:rPr>
          <w:lang w:val="en-GB"/>
        </w:rPr>
        <w:t xml:space="preserve"> price</w:t>
      </w:r>
      <w:r w:rsidR="00A241B1">
        <w:rPr>
          <w:lang w:val="en-GB"/>
        </w:rPr>
        <w:t>s</w:t>
      </w:r>
      <w:r w:rsidR="00411F82">
        <w:rPr>
          <w:lang w:val="en-GB"/>
        </w:rPr>
        <w:t xml:space="preserve">. </w:t>
      </w:r>
      <w:r w:rsidR="009B7EA0" w:rsidRPr="009B7EA0">
        <w:rPr>
          <w:lang w:val="en-GB"/>
        </w:rPr>
        <w:t xml:space="preserve">Households </w:t>
      </w:r>
      <w:r w:rsidR="00411F82">
        <w:rPr>
          <w:lang w:val="en-GB"/>
        </w:rPr>
        <w:t>attained</w:t>
      </w:r>
      <w:r w:rsidR="009B7EA0" w:rsidRPr="009B7EA0">
        <w:rPr>
          <w:lang w:val="en-GB"/>
        </w:rPr>
        <w:t xml:space="preserve"> </w:t>
      </w:r>
      <w:r w:rsidR="00222FC9">
        <w:rPr>
          <w:lang w:val="en-GB"/>
        </w:rPr>
        <w:t>in nominal terms</w:t>
      </w:r>
      <w:r w:rsidR="00222FC9" w:rsidRPr="009B7EA0">
        <w:rPr>
          <w:lang w:val="en-GB"/>
        </w:rPr>
        <w:t xml:space="preserve"> </w:t>
      </w:r>
      <w:r w:rsidR="009B7EA0" w:rsidRPr="009B7EA0">
        <w:rPr>
          <w:lang w:val="en-GB"/>
        </w:rPr>
        <w:t>higher income</w:t>
      </w:r>
      <w:r w:rsidR="00411F82">
        <w:rPr>
          <w:lang w:val="en-GB"/>
        </w:rPr>
        <w:t xml:space="preserve">, </w:t>
      </w:r>
      <w:r w:rsidR="000B4D50">
        <w:rPr>
          <w:lang w:val="en-GB"/>
        </w:rPr>
        <w:t>but they also had higher</w:t>
      </w:r>
      <w:r w:rsidR="009B7EA0" w:rsidRPr="009B7EA0">
        <w:rPr>
          <w:lang w:val="en-GB"/>
        </w:rPr>
        <w:t xml:space="preserve"> expen</w:t>
      </w:r>
      <w:r w:rsidR="009B7EA0">
        <w:rPr>
          <w:lang w:val="en-GB"/>
        </w:rPr>
        <w:t>diture</w:t>
      </w:r>
      <w:r w:rsidR="009B7EA0" w:rsidRPr="009B7EA0">
        <w:rPr>
          <w:lang w:val="en-GB"/>
        </w:rPr>
        <w:t>.</w:t>
      </w:r>
      <w:r w:rsidR="00B26E28" w:rsidRPr="005C7565">
        <w:rPr>
          <w:lang w:val="en-GB"/>
        </w:rPr>
        <w:t xml:space="preserve"> The </w:t>
      </w:r>
      <w:r w:rsidR="002C087F">
        <w:rPr>
          <w:lang w:val="en-GB"/>
        </w:rPr>
        <w:t xml:space="preserve">level of </w:t>
      </w:r>
      <w:r w:rsidR="00B26E28" w:rsidRPr="005C7565">
        <w:rPr>
          <w:lang w:val="en-GB"/>
        </w:rPr>
        <w:t>average monthly available income per capita in 20</w:t>
      </w:r>
      <w:r w:rsidR="004968D1">
        <w:rPr>
          <w:lang w:val="en-GB"/>
        </w:rPr>
        <w:t>2</w:t>
      </w:r>
      <w:r w:rsidR="0060146F">
        <w:rPr>
          <w:lang w:val="en-GB"/>
        </w:rPr>
        <w:t>4</w:t>
      </w:r>
      <w:r w:rsidR="006127DE">
        <w:rPr>
          <w:lang w:val="en-GB"/>
        </w:rPr>
        <w:t xml:space="preserve"> </w:t>
      </w:r>
      <w:r w:rsidR="00B26E28" w:rsidRPr="005C7565">
        <w:rPr>
          <w:lang w:val="en-GB"/>
        </w:rPr>
        <w:t>amounted to PLN</w:t>
      </w:r>
      <w:r w:rsidR="00077E63">
        <w:rPr>
          <w:lang w:val="en-GB"/>
        </w:rPr>
        <w:t> </w:t>
      </w:r>
      <w:r w:rsidR="0060146F">
        <w:rPr>
          <w:lang w:val="en-GB"/>
        </w:rPr>
        <w:t>3167</w:t>
      </w:r>
      <w:r w:rsidR="00D01E6C">
        <w:rPr>
          <w:rStyle w:val="Odwoanieprzypisudolnego"/>
          <w:lang w:val="en-GB"/>
        </w:rPr>
        <w:footnoteReference w:id="1"/>
      </w:r>
      <w:r w:rsidR="00B26E28" w:rsidRPr="005C7565">
        <w:rPr>
          <w:lang w:val="en-GB"/>
        </w:rPr>
        <w:t xml:space="preserve"> </w:t>
      </w:r>
      <w:r w:rsidR="0099545C" w:rsidRPr="005C7565">
        <w:rPr>
          <w:lang w:val="en-GB"/>
        </w:rPr>
        <w:t xml:space="preserve">and </w:t>
      </w:r>
      <w:r w:rsidR="00713CA6">
        <w:rPr>
          <w:lang w:val="en-GB"/>
        </w:rPr>
        <w:t xml:space="preserve">was higher by </w:t>
      </w:r>
      <w:r w:rsidR="0060146F">
        <w:rPr>
          <w:lang w:val="en-GB"/>
        </w:rPr>
        <w:t>18.3</w:t>
      </w:r>
      <w:r w:rsidR="00713CA6">
        <w:rPr>
          <w:lang w:val="en-GB"/>
        </w:rPr>
        <w:t xml:space="preserve">% in nominal terms, </w:t>
      </w:r>
      <w:r w:rsidR="00222FC9">
        <w:rPr>
          <w:lang w:val="en-GB"/>
        </w:rPr>
        <w:t>and</w:t>
      </w:r>
      <w:r w:rsidR="00713CA6">
        <w:rPr>
          <w:lang w:val="en-GB"/>
        </w:rPr>
        <w:t xml:space="preserve"> by </w:t>
      </w:r>
      <w:r w:rsidR="0060146F">
        <w:rPr>
          <w:lang w:val="en-GB"/>
        </w:rPr>
        <w:t>14</w:t>
      </w:r>
      <w:r w:rsidR="00713CA6" w:rsidRPr="005C7565">
        <w:rPr>
          <w:lang w:val="en-GB"/>
        </w:rPr>
        <w:t>.</w:t>
      </w:r>
      <w:r w:rsidR="00222FC9">
        <w:rPr>
          <w:lang w:val="en-GB"/>
        </w:rPr>
        <w:t>1</w:t>
      </w:r>
      <w:r w:rsidR="00713CA6" w:rsidRPr="005C7565">
        <w:rPr>
          <w:lang w:val="en-GB"/>
        </w:rPr>
        <w:t xml:space="preserve">% </w:t>
      </w:r>
      <w:r w:rsidR="0099545C" w:rsidRPr="005C7565">
        <w:rPr>
          <w:lang w:val="en-GB"/>
        </w:rPr>
        <w:t>in real terms than the income in 20</w:t>
      </w:r>
      <w:r w:rsidR="009B7EA0">
        <w:rPr>
          <w:lang w:val="en-GB"/>
        </w:rPr>
        <w:t>2</w:t>
      </w:r>
      <w:r w:rsidR="0060146F">
        <w:rPr>
          <w:lang w:val="en-GB"/>
        </w:rPr>
        <w:t>3</w:t>
      </w:r>
      <w:r w:rsidR="0099545C" w:rsidRPr="005C7565">
        <w:rPr>
          <w:lang w:val="en-GB"/>
        </w:rPr>
        <w:t>. The average monthly expendit</w:t>
      </w:r>
      <w:r w:rsidR="00167A47">
        <w:rPr>
          <w:lang w:val="en-GB"/>
        </w:rPr>
        <w:t>ure per capita in households in </w:t>
      </w:r>
      <w:r w:rsidR="0099545C" w:rsidRPr="005C7565">
        <w:rPr>
          <w:lang w:val="en-GB"/>
        </w:rPr>
        <w:t>20</w:t>
      </w:r>
      <w:r w:rsidR="004968D1">
        <w:rPr>
          <w:lang w:val="en-GB"/>
        </w:rPr>
        <w:t>2</w:t>
      </w:r>
      <w:r w:rsidR="0060146F">
        <w:rPr>
          <w:lang w:val="en-GB"/>
        </w:rPr>
        <w:t>4</w:t>
      </w:r>
      <w:r w:rsidR="0099545C" w:rsidRPr="005C7565">
        <w:rPr>
          <w:lang w:val="en-GB"/>
        </w:rPr>
        <w:t xml:space="preserve"> </w:t>
      </w:r>
      <w:r w:rsidR="00222FC9">
        <w:rPr>
          <w:lang w:val="en-GB"/>
        </w:rPr>
        <w:t>reached the value of</w:t>
      </w:r>
      <w:r w:rsidR="0099545C" w:rsidRPr="005C7565">
        <w:rPr>
          <w:lang w:val="en-GB"/>
        </w:rPr>
        <w:t xml:space="preserve"> PLN</w:t>
      </w:r>
      <w:r w:rsidR="00077E63">
        <w:rPr>
          <w:lang w:val="en-GB"/>
        </w:rPr>
        <w:t> </w:t>
      </w:r>
      <w:r w:rsidR="0060146F">
        <w:rPr>
          <w:lang w:val="en-GB"/>
        </w:rPr>
        <w:t>1878</w:t>
      </w:r>
      <w:r w:rsidR="000B4D50">
        <w:rPr>
          <w:lang w:val="en-GB"/>
        </w:rPr>
        <w:t>, and e</w:t>
      </w:r>
      <w:r w:rsidR="000B4D50" w:rsidRPr="005C7565">
        <w:rPr>
          <w:lang w:val="en-GB"/>
        </w:rPr>
        <w:t xml:space="preserve">xpenditure on consumer goods and services </w:t>
      </w:r>
      <w:r w:rsidR="000B4D50">
        <w:rPr>
          <w:lang w:val="en-GB"/>
        </w:rPr>
        <w:t xml:space="preserve">– </w:t>
      </w:r>
      <w:r w:rsidR="000B4D50" w:rsidRPr="005C7565">
        <w:rPr>
          <w:lang w:val="en-GB"/>
        </w:rPr>
        <w:t>PLN</w:t>
      </w:r>
      <w:r w:rsidR="000B4D50">
        <w:rPr>
          <w:lang w:val="en-GB"/>
        </w:rPr>
        <w:t> 1814. In both cases those values were</w:t>
      </w:r>
      <w:r w:rsidR="00713CA6" w:rsidRPr="005C7565">
        <w:rPr>
          <w:lang w:val="en-GB"/>
        </w:rPr>
        <w:t xml:space="preserve"> </w:t>
      </w:r>
      <w:r w:rsidR="00713CA6">
        <w:rPr>
          <w:lang w:val="en-GB"/>
        </w:rPr>
        <w:t>higher</w:t>
      </w:r>
      <w:r w:rsidR="00713CA6" w:rsidRPr="005C7565">
        <w:rPr>
          <w:lang w:val="en-GB"/>
        </w:rPr>
        <w:t xml:space="preserve"> </w:t>
      </w:r>
      <w:r w:rsidR="00527B57">
        <w:rPr>
          <w:lang w:val="en-GB"/>
        </w:rPr>
        <w:t xml:space="preserve">on a yearly basis – </w:t>
      </w:r>
      <w:r w:rsidR="00713CA6">
        <w:rPr>
          <w:lang w:val="en-GB"/>
        </w:rPr>
        <w:t xml:space="preserve">by </w:t>
      </w:r>
      <w:r w:rsidR="0060146F">
        <w:rPr>
          <w:lang w:val="en-GB"/>
        </w:rPr>
        <w:t>14.8</w:t>
      </w:r>
      <w:r w:rsidR="00713CA6">
        <w:rPr>
          <w:lang w:val="en-GB"/>
        </w:rPr>
        <w:t xml:space="preserve">% in nominal terms, and by </w:t>
      </w:r>
      <w:r w:rsidR="0060146F">
        <w:rPr>
          <w:lang w:val="en-GB"/>
        </w:rPr>
        <w:t>10.8</w:t>
      </w:r>
      <w:r w:rsidR="00713CA6" w:rsidRPr="005C7565">
        <w:rPr>
          <w:lang w:val="en-GB"/>
        </w:rPr>
        <w:t xml:space="preserve">% </w:t>
      </w:r>
      <w:r w:rsidR="00167A47">
        <w:rPr>
          <w:lang w:val="en-GB"/>
        </w:rPr>
        <w:t>in </w:t>
      </w:r>
      <w:r w:rsidR="0099545C" w:rsidRPr="005C7565">
        <w:rPr>
          <w:lang w:val="en-GB"/>
        </w:rPr>
        <w:t xml:space="preserve">real terms </w:t>
      </w:r>
      <w:r w:rsidR="0081537D" w:rsidRPr="005C7565">
        <w:rPr>
          <w:lang w:val="en-GB"/>
        </w:rPr>
        <w:t xml:space="preserve">than </w:t>
      </w:r>
      <w:r w:rsidR="002C087F">
        <w:rPr>
          <w:lang w:val="en-GB"/>
        </w:rPr>
        <w:t xml:space="preserve">expenditure </w:t>
      </w:r>
      <w:r w:rsidR="0081537D" w:rsidRPr="005C7565">
        <w:rPr>
          <w:lang w:val="en-GB"/>
        </w:rPr>
        <w:t>in 20</w:t>
      </w:r>
      <w:r w:rsidR="0003344D">
        <w:rPr>
          <w:lang w:val="en-GB"/>
        </w:rPr>
        <w:t>2</w:t>
      </w:r>
      <w:r w:rsidR="0060146F">
        <w:rPr>
          <w:lang w:val="en-GB"/>
        </w:rPr>
        <w:t>3</w:t>
      </w:r>
      <w:r w:rsidR="0081537D" w:rsidRPr="005C7565">
        <w:rPr>
          <w:lang w:val="en-GB"/>
        </w:rPr>
        <w:t>.</w:t>
      </w:r>
      <w:r w:rsidR="000B4D50" w:rsidRPr="00F27CAF">
        <w:rPr>
          <w:rStyle w:val="Odwoanieprzypisudolnego"/>
          <w:color w:val="FFFFFF" w:themeColor="background1"/>
          <w:shd w:val="clear" w:color="auto" w:fill="FFFFFF"/>
        </w:rPr>
        <w:footnoteReference w:id="2"/>
      </w:r>
      <w:r w:rsidR="000B4D50" w:rsidRPr="00EC1934">
        <w:rPr>
          <w:lang w:val="en-GB"/>
        </w:rPr>
        <w:t xml:space="preserve"> </w:t>
      </w:r>
      <w:r w:rsidR="00222FC9">
        <w:rPr>
          <w:lang w:val="en-GB"/>
        </w:rPr>
        <w:t>The</w:t>
      </w:r>
      <w:r w:rsidR="00EC1934" w:rsidRPr="00EC1934">
        <w:rPr>
          <w:lang w:val="en-GB"/>
        </w:rPr>
        <w:t xml:space="preserve"> share of expenditure in </w:t>
      </w:r>
      <w:r w:rsidR="00EC1934">
        <w:rPr>
          <w:lang w:val="en-GB"/>
        </w:rPr>
        <w:t>available</w:t>
      </w:r>
      <w:r w:rsidR="00EC1934" w:rsidRPr="00EC1934">
        <w:rPr>
          <w:lang w:val="en-GB"/>
        </w:rPr>
        <w:t xml:space="preserve"> income </w:t>
      </w:r>
      <w:r w:rsidR="00222FC9">
        <w:rPr>
          <w:lang w:val="en-GB"/>
        </w:rPr>
        <w:t>de</w:t>
      </w:r>
      <w:r w:rsidR="00EC1934" w:rsidRPr="00EC1934">
        <w:rPr>
          <w:lang w:val="en-GB"/>
        </w:rPr>
        <w:t xml:space="preserve">creased from </w:t>
      </w:r>
      <w:r w:rsidR="009E1086">
        <w:rPr>
          <w:lang w:val="en-GB"/>
        </w:rPr>
        <w:t>61.1</w:t>
      </w:r>
      <w:r w:rsidR="00EC1934" w:rsidRPr="00EC1934">
        <w:rPr>
          <w:lang w:val="en-GB"/>
        </w:rPr>
        <w:t>% in 202</w:t>
      </w:r>
      <w:r w:rsidR="009E1086">
        <w:rPr>
          <w:lang w:val="en-GB"/>
        </w:rPr>
        <w:t>3</w:t>
      </w:r>
      <w:r w:rsidR="00EC1934" w:rsidRPr="00EC1934">
        <w:rPr>
          <w:lang w:val="en-GB"/>
        </w:rPr>
        <w:t xml:space="preserve"> to </w:t>
      </w:r>
      <w:r w:rsidR="009E1086">
        <w:rPr>
          <w:lang w:val="en-GB"/>
        </w:rPr>
        <w:t>59.3</w:t>
      </w:r>
      <w:r w:rsidR="00EC1934" w:rsidRPr="00EC1934">
        <w:rPr>
          <w:lang w:val="en-GB"/>
        </w:rPr>
        <w:t>% in 202</w:t>
      </w:r>
      <w:r w:rsidR="009E1086">
        <w:rPr>
          <w:lang w:val="en-GB"/>
        </w:rPr>
        <w:t>4</w:t>
      </w:r>
      <w:r w:rsidR="00EC1934" w:rsidRPr="00EC1934">
        <w:rPr>
          <w:lang w:val="en-GB"/>
        </w:rPr>
        <w:t>.</w:t>
      </w:r>
      <w:r w:rsidR="001156FC">
        <w:rPr>
          <w:lang w:val="en-GB"/>
        </w:rPr>
        <w:t xml:space="preserve"> </w:t>
      </w:r>
    </w:p>
    <w:p w14:paraId="7EE94DB8" w14:textId="2D3DCB87" w:rsidR="00764D9C" w:rsidRPr="000B4D50" w:rsidRDefault="000B4D50" w:rsidP="005D5B8E">
      <w:pPr>
        <w:spacing w:before="360" w:after="0" w:line="240" w:lineRule="auto"/>
        <w:rPr>
          <w:i/>
          <w:lang w:val="en-GB" w:eastAsia="pl-PL"/>
        </w:rPr>
      </w:pPr>
      <w:r>
        <w:rPr>
          <w:noProof/>
          <w:lang w:eastAsia="pl-PL"/>
        </w:rPr>
        <w:drawing>
          <wp:inline distT="0" distB="0" distL="0" distR="0" wp14:anchorId="36B5D621" wp14:editId="037E1A5D">
            <wp:extent cx="5122545" cy="3708000"/>
            <wp:effectExtent l="0" t="0" r="1905" b="6985"/>
            <wp:docPr id="5" name="Wykres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E94DBA" w14:textId="7738A953" w:rsidR="00764D9C" w:rsidRPr="00E8284F" w:rsidRDefault="009F4263" w:rsidP="00F64E3E">
      <w:pPr>
        <w:spacing w:before="360" w:line="240" w:lineRule="auto"/>
        <w:rPr>
          <w:lang w:val="en-GB"/>
        </w:rPr>
      </w:pPr>
      <w:r>
        <w:rPr>
          <w:noProof/>
          <w:lang w:eastAsia="pl-PL"/>
        </w:rPr>
        <w:lastRenderedPageBreak/>
        <mc:AlternateContent>
          <mc:Choice Requires="wps">
            <w:drawing>
              <wp:anchor distT="45720" distB="45720" distL="114300" distR="114300" simplePos="0" relativeHeight="251800576" behindDoc="1" locked="0" layoutInCell="1" allowOverlap="1" wp14:anchorId="7EE94F98" wp14:editId="3A23677B">
                <wp:simplePos x="0" y="0"/>
                <wp:positionH relativeFrom="column">
                  <wp:posOffset>5257800</wp:posOffset>
                </wp:positionH>
                <wp:positionV relativeFrom="paragraph">
                  <wp:posOffset>101600</wp:posOffset>
                </wp:positionV>
                <wp:extent cx="1725295" cy="1384300"/>
                <wp:effectExtent l="0" t="0" r="0" b="6350"/>
                <wp:wrapTight wrapText="bothSides">
                  <wp:wrapPolygon edited="0">
                    <wp:start x="715" y="0"/>
                    <wp:lineTo x="715" y="21402"/>
                    <wp:lineTo x="20749" y="21402"/>
                    <wp:lineTo x="20749" y="0"/>
                    <wp:lineTo x="715" y="0"/>
                  </wp:wrapPolygon>
                </wp:wrapTight>
                <wp:docPr id="223" name="Pole tekstowe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84300"/>
                        </a:xfrm>
                        <a:prstGeom prst="rect">
                          <a:avLst/>
                        </a:prstGeom>
                        <a:noFill/>
                        <a:ln w="9525">
                          <a:noFill/>
                          <a:miter lim="800000"/>
                          <a:headEnd/>
                          <a:tailEnd/>
                        </a:ln>
                      </wps:spPr>
                      <wps:txbx>
                        <w:txbxContent>
                          <w:p w14:paraId="7EE9500E" w14:textId="3EDD1C82" w:rsidR="00882B10" w:rsidRPr="00A13CB9" w:rsidRDefault="00882B10"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Households of self-employed outside farming had the highes</w:t>
                            </w:r>
                            <w:r>
                              <w:rPr>
                                <w:rFonts w:eastAsia="Times New Roman"/>
                                <w:bCs/>
                                <w:color w:val="001D77"/>
                                <w:sz w:val="18"/>
                                <w:szCs w:val="18"/>
                                <w:lang w:val="en-GB" w:eastAsia="pl-PL"/>
                              </w:rPr>
                              <w:t>t</w:t>
                            </w:r>
                            <w:r w:rsidRPr="00A13CB9">
                              <w:rPr>
                                <w:rFonts w:eastAsia="Times New Roman"/>
                                <w:bCs/>
                                <w:color w:val="001D77"/>
                                <w:sz w:val="18"/>
                                <w:szCs w:val="18"/>
                                <w:lang w:val="en-GB" w:eastAsia="pl-PL"/>
                              </w:rPr>
                              <w:t xml:space="preserve"> </w:t>
                            </w:r>
                            <w:r>
                              <w:rPr>
                                <w:rFonts w:eastAsia="Times New Roman"/>
                                <w:bCs/>
                                <w:color w:val="001D77"/>
                                <w:sz w:val="18"/>
                                <w:szCs w:val="18"/>
                                <w:lang w:val="en-GB" w:eastAsia="pl-PL"/>
                              </w:rPr>
                              <w:t xml:space="preserve">average </w:t>
                            </w:r>
                            <w:r w:rsidRPr="00A13CB9">
                              <w:rPr>
                                <w:rFonts w:eastAsia="Times New Roman"/>
                                <w:bCs/>
                                <w:color w:val="001D77"/>
                                <w:sz w:val="18"/>
                                <w:szCs w:val="18"/>
                                <w:lang w:val="en-GB" w:eastAsia="pl-PL"/>
                              </w:rPr>
                              <w:t xml:space="preserve">monthly </w:t>
                            </w:r>
                            <w:r>
                              <w:rPr>
                                <w:rFonts w:eastAsia="Times New Roman"/>
                                <w:bCs/>
                                <w:color w:val="001D77"/>
                                <w:sz w:val="18"/>
                                <w:szCs w:val="18"/>
                                <w:lang w:val="en-GB" w:eastAsia="pl-PL"/>
                              </w:rPr>
                              <w:t xml:space="preserve">available </w:t>
                            </w:r>
                            <w:r w:rsidRPr="00A13CB9">
                              <w:rPr>
                                <w:rFonts w:eastAsia="Times New Roman"/>
                                <w:bCs/>
                                <w:color w:val="001D77"/>
                                <w:sz w:val="18"/>
                                <w:szCs w:val="18"/>
                                <w:lang w:val="en-GB" w:eastAsia="pl-PL"/>
                              </w:rPr>
                              <w:t>in</w:t>
                            </w:r>
                            <w:r>
                              <w:rPr>
                                <w:rFonts w:eastAsia="Times New Roman"/>
                                <w:bCs/>
                                <w:color w:val="001D77"/>
                                <w:sz w:val="18"/>
                                <w:szCs w:val="18"/>
                                <w:lang w:val="en-GB" w:eastAsia="pl-PL"/>
                              </w:rPr>
                              <w:t xml:space="preserve">come per capita – PLN 3790, as well as </w:t>
                            </w:r>
                            <w:r w:rsidRPr="009F4263">
                              <w:rPr>
                                <w:rFonts w:eastAsia="Times New Roman"/>
                                <w:bCs/>
                                <w:color w:val="001D77"/>
                                <w:sz w:val="18"/>
                                <w:szCs w:val="18"/>
                                <w:lang w:val="en-GB" w:eastAsia="pl-PL"/>
                              </w:rPr>
                              <w:t xml:space="preserve">average monthly </w:t>
                            </w:r>
                            <w:r>
                              <w:rPr>
                                <w:rFonts w:eastAsia="Times New Roman"/>
                                <w:bCs/>
                                <w:color w:val="001D77"/>
                                <w:sz w:val="18"/>
                                <w:szCs w:val="18"/>
                                <w:lang w:val="en-GB" w:eastAsia="pl-PL"/>
                              </w:rPr>
                              <w:t>expenditure</w:t>
                            </w:r>
                            <w:r w:rsidRPr="00A13CB9">
                              <w:rPr>
                                <w:rFonts w:eastAsia="Times New Roman"/>
                                <w:bCs/>
                                <w:color w:val="001D77"/>
                                <w:sz w:val="18"/>
                                <w:szCs w:val="18"/>
                                <w:lang w:val="en-GB" w:eastAsia="pl-PL"/>
                              </w:rPr>
                              <w:t xml:space="preserve"> per capita</w:t>
                            </w:r>
                            <w:r>
                              <w:rPr>
                                <w:rFonts w:eastAsia="Times New Roman"/>
                                <w:bCs/>
                                <w:color w:val="001D77"/>
                                <w:sz w:val="18"/>
                                <w:szCs w:val="18"/>
                                <w:lang w:val="en-GB" w:eastAsia="pl-PL"/>
                              </w:rPr>
                              <w:t xml:space="preserve"> – </w:t>
                            </w:r>
                            <w:r w:rsidRPr="00A13CB9">
                              <w:rPr>
                                <w:rFonts w:eastAsia="Times New Roman"/>
                                <w:bCs/>
                                <w:color w:val="001D77"/>
                                <w:sz w:val="18"/>
                                <w:szCs w:val="18"/>
                                <w:lang w:val="en-GB" w:eastAsia="pl-PL"/>
                              </w:rPr>
                              <w:t xml:space="preserve">PLN </w:t>
                            </w:r>
                            <w:r>
                              <w:rPr>
                                <w:rFonts w:eastAsia="Times New Roman"/>
                                <w:bCs/>
                                <w:color w:val="001D77"/>
                                <w:sz w:val="18"/>
                                <w:szCs w:val="18"/>
                                <w:lang w:val="en-GB" w:eastAsia="pl-PL"/>
                              </w:rPr>
                              <w:t>2151</w:t>
                            </w:r>
                            <w:r w:rsidRPr="00A13CB9">
                              <w:rPr>
                                <w:rFonts w:eastAsia="Times New Roman"/>
                                <w:bCs/>
                                <w:color w:val="001D77"/>
                                <w:sz w:val="18"/>
                                <w:szCs w:val="18"/>
                                <w:lang w:val="en-GB" w:eastAsia="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E94F98" id="_x0000_t202" coordsize="21600,21600" o:spt="202" path="m,l,21600r21600,l21600,xe">
                <v:stroke joinstyle="miter"/>
                <v:path gradientshapeok="t" o:connecttype="rect"/>
              </v:shapetype>
              <v:shape id="Pole tekstowe 223" o:spid="_x0000_s1028" type="#_x0000_t202" style="position:absolute;margin-left:414pt;margin-top:8pt;width:135.85pt;height:109pt;z-index:-25151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" filled="f" stroked="f">
                <v:textbox>
                  <w:txbxContent>
                    <w:p w14:paraId="7EE9500E" w14:textId="3EDD1C82" w:rsidR="00882B10" w:rsidRPr="00A13CB9" w:rsidRDefault="00882B10"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Households of self-employed outside farming had the highes</w:t>
                      </w:r>
                      <w:r>
                        <w:rPr>
                          <w:rFonts w:eastAsia="Times New Roman"/>
                          <w:bCs/>
                          <w:color w:val="001D77"/>
                          <w:sz w:val="18"/>
                          <w:szCs w:val="18"/>
                          <w:lang w:val="en-GB" w:eastAsia="pl-PL"/>
                        </w:rPr>
                        <w:t>t</w:t>
                      </w:r>
                      <w:r w:rsidRPr="00A13CB9">
                        <w:rPr>
                          <w:rFonts w:eastAsia="Times New Roman"/>
                          <w:bCs/>
                          <w:color w:val="001D77"/>
                          <w:sz w:val="18"/>
                          <w:szCs w:val="18"/>
                          <w:lang w:val="en-GB" w:eastAsia="pl-PL"/>
                        </w:rPr>
                        <w:t xml:space="preserve"> </w:t>
                      </w:r>
                      <w:r>
                        <w:rPr>
                          <w:rFonts w:eastAsia="Times New Roman"/>
                          <w:bCs/>
                          <w:color w:val="001D77"/>
                          <w:sz w:val="18"/>
                          <w:szCs w:val="18"/>
                          <w:lang w:val="en-GB" w:eastAsia="pl-PL"/>
                        </w:rPr>
                        <w:t xml:space="preserve">average </w:t>
                      </w:r>
                      <w:r w:rsidRPr="00A13CB9">
                        <w:rPr>
                          <w:rFonts w:eastAsia="Times New Roman"/>
                          <w:bCs/>
                          <w:color w:val="001D77"/>
                          <w:sz w:val="18"/>
                          <w:szCs w:val="18"/>
                          <w:lang w:val="en-GB" w:eastAsia="pl-PL"/>
                        </w:rPr>
                        <w:t xml:space="preserve">monthly </w:t>
                      </w:r>
                      <w:r>
                        <w:rPr>
                          <w:rFonts w:eastAsia="Times New Roman"/>
                          <w:bCs/>
                          <w:color w:val="001D77"/>
                          <w:sz w:val="18"/>
                          <w:szCs w:val="18"/>
                          <w:lang w:val="en-GB" w:eastAsia="pl-PL"/>
                        </w:rPr>
                        <w:t xml:space="preserve">available </w:t>
                      </w:r>
                      <w:r w:rsidRPr="00A13CB9">
                        <w:rPr>
                          <w:rFonts w:eastAsia="Times New Roman"/>
                          <w:bCs/>
                          <w:color w:val="001D77"/>
                          <w:sz w:val="18"/>
                          <w:szCs w:val="18"/>
                          <w:lang w:val="en-GB" w:eastAsia="pl-PL"/>
                        </w:rPr>
                        <w:t>in</w:t>
                      </w:r>
                      <w:r>
                        <w:rPr>
                          <w:rFonts w:eastAsia="Times New Roman"/>
                          <w:bCs/>
                          <w:color w:val="001D77"/>
                          <w:sz w:val="18"/>
                          <w:szCs w:val="18"/>
                          <w:lang w:val="en-GB" w:eastAsia="pl-PL"/>
                        </w:rPr>
                        <w:t xml:space="preserve">come per capita – PLN 3790, as well as </w:t>
                      </w:r>
                      <w:r w:rsidRPr="009F4263">
                        <w:rPr>
                          <w:rFonts w:eastAsia="Times New Roman"/>
                          <w:bCs/>
                          <w:color w:val="001D77"/>
                          <w:sz w:val="18"/>
                          <w:szCs w:val="18"/>
                          <w:lang w:val="en-GB" w:eastAsia="pl-PL"/>
                        </w:rPr>
                        <w:t xml:space="preserve">average monthly </w:t>
                      </w:r>
                      <w:r>
                        <w:rPr>
                          <w:rFonts w:eastAsia="Times New Roman"/>
                          <w:bCs/>
                          <w:color w:val="001D77"/>
                          <w:sz w:val="18"/>
                          <w:szCs w:val="18"/>
                          <w:lang w:val="en-GB" w:eastAsia="pl-PL"/>
                        </w:rPr>
                        <w:t>expenditure</w:t>
                      </w:r>
                      <w:r w:rsidRPr="00A13CB9">
                        <w:rPr>
                          <w:rFonts w:eastAsia="Times New Roman"/>
                          <w:bCs/>
                          <w:color w:val="001D77"/>
                          <w:sz w:val="18"/>
                          <w:szCs w:val="18"/>
                          <w:lang w:val="en-GB" w:eastAsia="pl-PL"/>
                        </w:rPr>
                        <w:t xml:space="preserve"> per capita</w:t>
                      </w:r>
                      <w:r>
                        <w:rPr>
                          <w:rFonts w:eastAsia="Times New Roman"/>
                          <w:bCs/>
                          <w:color w:val="001D77"/>
                          <w:sz w:val="18"/>
                          <w:szCs w:val="18"/>
                          <w:lang w:val="en-GB" w:eastAsia="pl-PL"/>
                        </w:rPr>
                        <w:t xml:space="preserve"> – </w:t>
                      </w:r>
                      <w:r w:rsidRPr="00A13CB9">
                        <w:rPr>
                          <w:rFonts w:eastAsia="Times New Roman"/>
                          <w:bCs/>
                          <w:color w:val="001D77"/>
                          <w:sz w:val="18"/>
                          <w:szCs w:val="18"/>
                          <w:lang w:val="en-GB" w:eastAsia="pl-PL"/>
                        </w:rPr>
                        <w:t xml:space="preserve">PLN </w:t>
                      </w:r>
                      <w:r>
                        <w:rPr>
                          <w:rFonts w:eastAsia="Times New Roman"/>
                          <w:bCs/>
                          <w:color w:val="001D77"/>
                          <w:sz w:val="18"/>
                          <w:szCs w:val="18"/>
                          <w:lang w:val="en-GB" w:eastAsia="pl-PL"/>
                        </w:rPr>
                        <w:t>2151</w:t>
                      </w:r>
                      <w:r w:rsidRPr="00A13CB9">
                        <w:rPr>
                          <w:rFonts w:eastAsia="Times New Roman"/>
                          <w:bCs/>
                          <w:color w:val="001D77"/>
                          <w:sz w:val="18"/>
                          <w:szCs w:val="18"/>
                          <w:lang w:val="en-GB" w:eastAsia="pl-PL"/>
                        </w:rPr>
                        <w:t xml:space="preserve"> </w:t>
                      </w:r>
                    </w:p>
                  </w:txbxContent>
                </v:textbox>
                <w10:wrap type="tight"/>
              </v:shape>
            </w:pict>
          </mc:Fallback>
        </mc:AlternateContent>
      </w:r>
      <w:r w:rsidR="00EE7914" w:rsidRPr="00E8284F">
        <w:rPr>
          <w:rFonts w:ascii="Fira Sans SemiBold" w:eastAsia="Times New Roman" w:hAnsi="Fira Sans SemiBold"/>
          <w:bCs/>
          <w:color w:val="001D77"/>
          <w:szCs w:val="24"/>
          <w:lang w:val="en-GB" w:eastAsia="pl-PL"/>
        </w:rPr>
        <w:t>Income and expenditure</w:t>
      </w:r>
    </w:p>
    <w:p w14:paraId="7EE94DBB" w14:textId="447A2B1D" w:rsidR="009A70D0" w:rsidRDefault="009A70D0" w:rsidP="00764D9C">
      <w:pPr>
        <w:rPr>
          <w:spacing w:val="-2"/>
          <w:shd w:val="clear" w:color="auto" w:fill="FFFFFF"/>
          <w:lang w:val="en-GB"/>
        </w:rPr>
      </w:pPr>
      <w:r w:rsidRPr="009A70D0">
        <w:rPr>
          <w:spacing w:val="-2"/>
          <w:shd w:val="clear" w:color="auto" w:fill="FFFFFF"/>
          <w:lang w:val="en-GB"/>
        </w:rPr>
        <w:t>In 202</w:t>
      </w:r>
      <w:r w:rsidR="009E1086">
        <w:rPr>
          <w:spacing w:val="-2"/>
          <w:shd w:val="clear" w:color="auto" w:fill="FFFFFF"/>
          <w:lang w:val="en-GB"/>
        </w:rPr>
        <w:t>4</w:t>
      </w:r>
      <w:r w:rsidRPr="009A70D0">
        <w:rPr>
          <w:spacing w:val="-2"/>
          <w:shd w:val="clear" w:color="auto" w:fill="FFFFFF"/>
          <w:lang w:val="en-GB"/>
        </w:rPr>
        <w:t xml:space="preserve">, there was still a relatively large </w:t>
      </w:r>
      <w:r w:rsidR="00D913A1">
        <w:rPr>
          <w:spacing w:val="-2"/>
          <w:shd w:val="clear" w:color="auto" w:fill="FFFFFF"/>
          <w:lang w:val="en-GB"/>
        </w:rPr>
        <w:t>diversity</w:t>
      </w:r>
      <w:r w:rsidRPr="009A70D0">
        <w:rPr>
          <w:spacing w:val="-2"/>
          <w:shd w:val="clear" w:color="auto" w:fill="FFFFFF"/>
          <w:lang w:val="en-GB"/>
        </w:rPr>
        <w:t xml:space="preserve"> in average monthly income and expenditure between various socio-economic groups of households.</w:t>
      </w:r>
      <w:r>
        <w:rPr>
          <w:spacing w:val="-2"/>
          <w:shd w:val="clear" w:color="auto" w:fill="FFFFFF"/>
          <w:lang w:val="en-GB"/>
        </w:rPr>
        <w:t xml:space="preserve"> Similarly to</w:t>
      </w:r>
      <w:r w:rsidRPr="009A70D0">
        <w:rPr>
          <w:spacing w:val="-2"/>
          <w:shd w:val="clear" w:color="auto" w:fill="FFFFFF"/>
          <w:lang w:val="en-GB"/>
        </w:rPr>
        <w:t xml:space="preserve"> the previous years, the highest average monthly </w:t>
      </w:r>
      <w:r w:rsidR="001B509A">
        <w:rPr>
          <w:spacing w:val="-2"/>
          <w:shd w:val="clear" w:color="auto" w:fill="FFFFFF"/>
          <w:lang w:val="en-GB"/>
        </w:rPr>
        <w:t>available</w:t>
      </w:r>
      <w:r w:rsidRPr="009A70D0">
        <w:rPr>
          <w:spacing w:val="-2"/>
          <w:shd w:val="clear" w:color="auto" w:fill="FFFFFF"/>
          <w:lang w:val="en-GB"/>
        </w:rPr>
        <w:t xml:space="preserve"> income per capita in households (PLN</w:t>
      </w:r>
      <w:r w:rsidR="00077E63">
        <w:rPr>
          <w:spacing w:val="-2"/>
          <w:shd w:val="clear" w:color="auto" w:fill="FFFFFF"/>
          <w:lang w:val="en-GB"/>
        </w:rPr>
        <w:t> </w:t>
      </w:r>
      <w:r w:rsidR="009E1086">
        <w:rPr>
          <w:spacing w:val="-2"/>
          <w:shd w:val="clear" w:color="auto" w:fill="FFFFFF"/>
          <w:lang w:val="en-GB"/>
        </w:rPr>
        <w:t>3790</w:t>
      </w:r>
      <w:r w:rsidRPr="009A70D0">
        <w:rPr>
          <w:spacing w:val="-2"/>
          <w:shd w:val="clear" w:color="auto" w:fill="FFFFFF"/>
          <w:lang w:val="en-GB"/>
        </w:rPr>
        <w:t xml:space="preserve">) and average monthly </w:t>
      </w:r>
      <w:r w:rsidR="002D696A" w:rsidRPr="006416F7">
        <w:rPr>
          <w:rFonts w:cs="Arial"/>
          <w:szCs w:val="19"/>
          <w:lang w:val="en-GB"/>
        </w:rPr>
        <w:t>expenditure</w:t>
      </w:r>
      <w:r w:rsidRPr="009A70D0">
        <w:rPr>
          <w:spacing w:val="-2"/>
          <w:shd w:val="clear" w:color="auto" w:fill="FFFFFF"/>
          <w:lang w:val="en-GB"/>
        </w:rPr>
        <w:t xml:space="preserve"> per capita </w:t>
      </w:r>
      <w:r w:rsidR="002D696A" w:rsidRPr="009A70D0">
        <w:rPr>
          <w:spacing w:val="-2"/>
          <w:shd w:val="clear" w:color="auto" w:fill="FFFFFF"/>
          <w:lang w:val="en-GB"/>
        </w:rPr>
        <w:t xml:space="preserve">(PLN </w:t>
      </w:r>
      <w:r w:rsidR="009E1086">
        <w:rPr>
          <w:spacing w:val="-2"/>
          <w:shd w:val="clear" w:color="auto" w:fill="FFFFFF"/>
          <w:lang w:val="en-GB"/>
        </w:rPr>
        <w:t>2151</w:t>
      </w:r>
      <w:r w:rsidR="002D696A" w:rsidRPr="009A70D0">
        <w:rPr>
          <w:spacing w:val="-2"/>
          <w:shd w:val="clear" w:color="auto" w:fill="FFFFFF"/>
          <w:lang w:val="en-GB"/>
        </w:rPr>
        <w:t>)</w:t>
      </w:r>
      <w:r w:rsidR="002D696A">
        <w:rPr>
          <w:spacing w:val="-2"/>
          <w:shd w:val="clear" w:color="auto" w:fill="FFFFFF"/>
          <w:lang w:val="en-GB"/>
        </w:rPr>
        <w:t xml:space="preserve"> </w:t>
      </w:r>
      <w:r w:rsidRPr="009A70D0">
        <w:rPr>
          <w:spacing w:val="-2"/>
          <w:shd w:val="clear" w:color="auto" w:fill="FFFFFF"/>
          <w:lang w:val="en-GB"/>
        </w:rPr>
        <w:t>were recorded in households of self-employed outside farm</w:t>
      </w:r>
      <w:r w:rsidR="002D696A">
        <w:rPr>
          <w:spacing w:val="-2"/>
          <w:shd w:val="clear" w:color="auto" w:fill="FFFFFF"/>
          <w:lang w:val="en-GB"/>
        </w:rPr>
        <w:t>ing</w:t>
      </w:r>
      <w:r w:rsidRPr="009A70D0">
        <w:rPr>
          <w:spacing w:val="-2"/>
          <w:shd w:val="clear" w:color="auto" w:fill="FFFFFF"/>
          <w:lang w:val="en-GB"/>
        </w:rPr>
        <w:t xml:space="preserve">. In this group of households </w:t>
      </w:r>
      <w:r w:rsidR="002D696A">
        <w:rPr>
          <w:spacing w:val="-2"/>
          <w:shd w:val="clear" w:color="auto" w:fill="FFFFFF"/>
          <w:lang w:val="en-GB"/>
        </w:rPr>
        <w:t>–</w:t>
      </w:r>
      <w:r w:rsidRPr="009A70D0">
        <w:rPr>
          <w:spacing w:val="-2"/>
          <w:shd w:val="clear" w:color="auto" w:fill="FFFFFF"/>
          <w:lang w:val="en-GB"/>
        </w:rPr>
        <w:t xml:space="preserve"> </w:t>
      </w:r>
      <w:r w:rsidR="002D696A">
        <w:rPr>
          <w:spacing w:val="-2"/>
          <w:shd w:val="clear" w:color="auto" w:fill="FFFFFF"/>
          <w:lang w:val="en-GB"/>
        </w:rPr>
        <w:t xml:space="preserve">in </w:t>
      </w:r>
      <w:r w:rsidRPr="009A70D0">
        <w:rPr>
          <w:spacing w:val="-2"/>
          <w:shd w:val="clear" w:color="auto" w:fill="FFFFFF"/>
          <w:lang w:val="en-GB"/>
        </w:rPr>
        <w:t>compar</w:t>
      </w:r>
      <w:r w:rsidR="002D696A">
        <w:rPr>
          <w:spacing w:val="-2"/>
          <w:shd w:val="clear" w:color="auto" w:fill="FFFFFF"/>
          <w:lang w:val="en-GB"/>
        </w:rPr>
        <w:t>ison with</w:t>
      </w:r>
      <w:r w:rsidRPr="009A70D0">
        <w:rPr>
          <w:spacing w:val="-2"/>
          <w:shd w:val="clear" w:color="auto" w:fill="FFFFFF"/>
          <w:lang w:val="en-GB"/>
        </w:rPr>
        <w:t xml:space="preserve"> the average for </w:t>
      </w:r>
      <w:r w:rsidR="002D696A">
        <w:rPr>
          <w:spacing w:val="-2"/>
          <w:shd w:val="clear" w:color="auto" w:fill="FFFFFF"/>
          <w:lang w:val="en-GB"/>
        </w:rPr>
        <w:t>the total of</w:t>
      </w:r>
      <w:r w:rsidRPr="009A70D0">
        <w:rPr>
          <w:spacing w:val="-2"/>
          <w:shd w:val="clear" w:color="auto" w:fill="FFFFFF"/>
          <w:lang w:val="en-GB"/>
        </w:rPr>
        <w:t xml:space="preserve"> households in Poland </w:t>
      </w:r>
      <w:r w:rsidR="00BA0232">
        <w:rPr>
          <w:spacing w:val="-2"/>
          <w:shd w:val="clear" w:color="auto" w:fill="FFFFFF"/>
          <w:lang w:val="en-GB"/>
        </w:rPr>
        <w:t>–</w:t>
      </w:r>
      <w:r w:rsidRPr="009A70D0">
        <w:rPr>
          <w:spacing w:val="-2"/>
          <w:shd w:val="clear" w:color="auto" w:fill="FFFFFF"/>
          <w:lang w:val="en-GB"/>
        </w:rPr>
        <w:t xml:space="preserve"> both income and expenditure were higher by </w:t>
      </w:r>
      <w:r w:rsidR="009E1086">
        <w:rPr>
          <w:spacing w:val="-2"/>
          <w:shd w:val="clear" w:color="auto" w:fill="FFFFFF"/>
          <w:lang w:val="en-GB"/>
        </w:rPr>
        <w:t>19</w:t>
      </w:r>
      <w:r w:rsidR="00B27471">
        <w:rPr>
          <w:spacing w:val="-2"/>
          <w:shd w:val="clear" w:color="auto" w:fill="FFFFFF"/>
          <w:lang w:val="en-GB"/>
        </w:rPr>
        <w:t>.7</w:t>
      </w:r>
      <w:r w:rsidRPr="009A70D0">
        <w:rPr>
          <w:spacing w:val="-2"/>
          <w:shd w:val="clear" w:color="auto" w:fill="FFFFFF"/>
          <w:lang w:val="en-GB"/>
        </w:rPr>
        <w:t xml:space="preserve">% and </w:t>
      </w:r>
      <w:r w:rsidR="009E1086">
        <w:rPr>
          <w:spacing w:val="-2"/>
          <w:shd w:val="clear" w:color="auto" w:fill="FFFFFF"/>
          <w:lang w:val="en-GB"/>
        </w:rPr>
        <w:t>14.5</w:t>
      </w:r>
      <w:r w:rsidRPr="009A70D0">
        <w:rPr>
          <w:spacing w:val="-2"/>
          <w:shd w:val="clear" w:color="auto" w:fill="FFFFFF"/>
          <w:lang w:val="en-GB"/>
        </w:rPr>
        <w:t>% respectively (in 20</w:t>
      </w:r>
      <w:r w:rsidR="00BA0232">
        <w:rPr>
          <w:spacing w:val="-2"/>
          <w:shd w:val="clear" w:color="auto" w:fill="FFFFFF"/>
          <w:lang w:val="en-GB"/>
        </w:rPr>
        <w:t>2</w:t>
      </w:r>
      <w:r w:rsidR="009E1086">
        <w:rPr>
          <w:spacing w:val="-2"/>
          <w:shd w:val="clear" w:color="auto" w:fill="FFFFFF"/>
          <w:lang w:val="en-GB"/>
        </w:rPr>
        <w:t>3</w:t>
      </w:r>
      <w:r w:rsidR="002D696A">
        <w:rPr>
          <w:spacing w:val="-2"/>
          <w:shd w:val="clear" w:color="auto" w:fill="FFFFFF"/>
          <w:lang w:val="en-GB"/>
        </w:rPr>
        <w:t>,</w:t>
      </w:r>
      <w:r w:rsidRPr="009A70D0">
        <w:rPr>
          <w:spacing w:val="-2"/>
          <w:shd w:val="clear" w:color="auto" w:fill="FFFFFF"/>
          <w:lang w:val="en-GB"/>
        </w:rPr>
        <w:t xml:space="preserve"> by </w:t>
      </w:r>
      <w:r w:rsidR="009E1086">
        <w:rPr>
          <w:spacing w:val="-2"/>
          <w:shd w:val="clear" w:color="auto" w:fill="FFFFFF"/>
          <w:lang w:val="en-GB"/>
        </w:rPr>
        <w:t>23.7</w:t>
      </w:r>
      <w:r w:rsidRPr="009A70D0">
        <w:rPr>
          <w:spacing w:val="-2"/>
          <w:shd w:val="clear" w:color="auto" w:fill="FFFFFF"/>
          <w:lang w:val="en-GB"/>
        </w:rPr>
        <w:t xml:space="preserve">% and </w:t>
      </w:r>
      <w:r w:rsidR="00B27471">
        <w:rPr>
          <w:spacing w:val="-2"/>
          <w:shd w:val="clear" w:color="auto" w:fill="FFFFFF"/>
          <w:lang w:val="en-GB"/>
        </w:rPr>
        <w:t>13.</w:t>
      </w:r>
      <w:r w:rsidR="009E1086">
        <w:rPr>
          <w:spacing w:val="-2"/>
          <w:shd w:val="clear" w:color="auto" w:fill="FFFFFF"/>
          <w:lang w:val="en-GB"/>
        </w:rPr>
        <w:t>8</w:t>
      </w:r>
      <w:r w:rsidRPr="009A70D0">
        <w:rPr>
          <w:spacing w:val="-2"/>
          <w:shd w:val="clear" w:color="auto" w:fill="FFFFFF"/>
          <w:lang w:val="en-GB"/>
        </w:rPr>
        <w:t>%</w:t>
      </w:r>
      <w:r w:rsidR="002D696A">
        <w:rPr>
          <w:spacing w:val="-2"/>
          <w:shd w:val="clear" w:color="auto" w:fill="FFFFFF"/>
          <w:lang w:val="en-GB"/>
        </w:rPr>
        <w:t xml:space="preserve"> </w:t>
      </w:r>
      <w:r w:rsidR="002D696A" w:rsidRPr="009A70D0">
        <w:rPr>
          <w:spacing w:val="-2"/>
          <w:shd w:val="clear" w:color="auto" w:fill="FFFFFF"/>
          <w:lang w:val="en-GB"/>
        </w:rPr>
        <w:t>respectively</w:t>
      </w:r>
      <w:r w:rsidRPr="009A70D0">
        <w:rPr>
          <w:spacing w:val="-2"/>
          <w:shd w:val="clear" w:color="auto" w:fill="FFFFFF"/>
          <w:lang w:val="en-GB"/>
        </w:rPr>
        <w:t>).</w:t>
      </w:r>
    </w:p>
    <w:p w14:paraId="7EE94DBC" w14:textId="25AABC81" w:rsidR="00F95ACA" w:rsidRDefault="00703FDA" w:rsidP="00764D9C">
      <w:pPr>
        <w:rPr>
          <w:rFonts w:cs="Arial"/>
          <w:szCs w:val="19"/>
          <w:lang w:val="en-GB"/>
        </w:rPr>
      </w:pPr>
      <w:r>
        <w:rPr>
          <w:rFonts w:cs="Arial"/>
          <w:szCs w:val="19"/>
          <w:lang w:val="en-GB"/>
        </w:rPr>
        <w:t xml:space="preserve">Similarly to the previous years, </w:t>
      </w:r>
      <w:r w:rsidR="000B4D50">
        <w:rPr>
          <w:rFonts w:cs="Arial"/>
          <w:szCs w:val="19"/>
          <w:lang w:val="en-GB"/>
        </w:rPr>
        <w:t xml:space="preserve">in 2024 </w:t>
      </w:r>
      <w:r>
        <w:rPr>
          <w:rFonts w:cs="Arial"/>
          <w:szCs w:val="19"/>
          <w:lang w:val="en-GB"/>
        </w:rPr>
        <w:t>h</w:t>
      </w:r>
      <w:r w:rsidR="00F95ACA" w:rsidRPr="006416F7">
        <w:rPr>
          <w:rFonts w:cs="Arial"/>
          <w:szCs w:val="19"/>
          <w:lang w:val="en-GB"/>
        </w:rPr>
        <w:t xml:space="preserve">ouseholds of pensioners </w:t>
      </w:r>
      <w:r w:rsidR="00D61771">
        <w:rPr>
          <w:rFonts w:cs="Arial"/>
          <w:szCs w:val="19"/>
          <w:lang w:val="en-GB"/>
        </w:rPr>
        <w:t>had</w:t>
      </w:r>
      <w:r w:rsidR="00F95ACA" w:rsidRPr="006416F7">
        <w:rPr>
          <w:rFonts w:cs="Arial"/>
          <w:szCs w:val="19"/>
          <w:lang w:val="en-GB"/>
        </w:rPr>
        <w:t xml:space="preserve"> the lowest </w:t>
      </w:r>
      <w:r w:rsidR="00D61771">
        <w:rPr>
          <w:rFonts w:cs="Arial"/>
          <w:szCs w:val="19"/>
          <w:lang w:val="en-GB"/>
        </w:rPr>
        <w:t xml:space="preserve">average </w:t>
      </w:r>
      <w:r w:rsidR="00AB6AD5">
        <w:rPr>
          <w:rFonts w:cs="Arial"/>
          <w:szCs w:val="19"/>
          <w:lang w:val="en-GB"/>
        </w:rPr>
        <w:t xml:space="preserve">monthly </w:t>
      </w:r>
      <w:r w:rsidR="00F95ACA" w:rsidRPr="006416F7">
        <w:rPr>
          <w:rFonts w:cs="Arial"/>
          <w:szCs w:val="19"/>
          <w:lang w:val="en-GB"/>
        </w:rPr>
        <w:t>available income per capita</w:t>
      </w:r>
      <w:r w:rsidR="00D61771">
        <w:rPr>
          <w:rFonts w:cs="Arial"/>
          <w:szCs w:val="19"/>
          <w:lang w:val="en-GB"/>
        </w:rPr>
        <w:t xml:space="preserve">. Their average </w:t>
      </w:r>
      <w:r w:rsidR="00EE52E2">
        <w:rPr>
          <w:rFonts w:cs="Arial"/>
          <w:szCs w:val="19"/>
          <w:lang w:val="en-GB"/>
        </w:rPr>
        <w:t xml:space="preserve">monthly available </w:t>
      </w:r>
      <w:r w:rsidR="00D61771">
        <w:rPr>
          <w:rFonts w:cs="Arial"/>
          <w:szCs w:val="19"/>
          <w:lang w:val="en-GB"/>
        </w:rPr>
        <w:t>income per capita amounted to</w:t>
      </w:r>
      <w:r w:rsidR="00F95ACA" w:rsidRPr="006416F7">
        <w:rPr>
          <w:rFonts w:cs="Arial"/>
          <w:szCs w:val="19"/>
          <w:lang w:val="en-GB"/>
        </w:rPr>
        <w:t xml:space="preserve"> PLN </w:t>
      </w:r>
      <w:r w:rsidR="009E1086">
        <w:rPr>
          <w:rFonts w:cs="Arial"/>
          <w:szCs w:val="19"/>
          <w:lang w:val="en-GB"/>
        </w:rPr>
        <w:t>2449</w:t>
      </w:r>
      <w:r w:rsidR="00F95ACA" w:rsidRPr="006416F7">
        <w:rPr>
          <w:rFonts w:cs="Arial"/>
          <w:szCs w:val="19"/>
          <w:lang w:val="en-GB"/>
        </w:rPr>
        <w:t xml:space="preserve">, </w:t>
      </w:r>
      <w:r w:rsidR="00B27471">
        <w:rPr>
          <w:rFonts w:cs="Arial"/>
          <w:szCs w:val="19"/>
          <w:lang w:val="en-GB"/>
        </w:rPr>
        <w:t>and</w:t>
      </w:r>
      <w:r w:rsidR="00F95ACA" w:rsidRPr="006416F7">
        <w:rPr>
          <w:rFonts w:cs="Arial"/>
          <w:szCs w:val="19"/>
          <w:lang w:val="en-GB"/>
        </w:rPr>
        <w:t xml:space="preserve"> was by </w:t>
      </w:r>
      <w:r w:rsidR="009E1086">
        <w:rPr>
          <w:rFonts w:cs="Arial"/>
          <w:szCs w:val="19"/>
          <w:lang w:val="en-GB"/>
        </w:rPr>
        <w:t>22.7</w:t>
      </w:r>
      <w:r w:rsidR="00F95ACA" w:rsidRPr="006416F7">
        <w:rPr>
          <w:rFonts w:cs="Arial"/>
          <w:szCs w:val="19"/>
          <w:lang w:val="en-GB"/>
        </w:rPr>
        <w:t xml:space="preserve">% lower than </w:t>
      </w:r>
      <w:r w:rsidR="00D913A1" w:rsidRPr="006416F7">
        <w:rPr>
          <w:rFonts w:cs="Arial"/>
          <w:szCs w:val="19"/>
          <w:lang w:val="en-GB"/>
        </w:rPr>
        <w:t xml:space="preserve">average </w:t>
      </w:r>
      <w:r w:rsidR="00D913A1">
        <w:rPr>
          <w:rFonts w:cs="Arial"/>
          <w:szCs w:val="19"/>
          <w:lang w:val="en-GB"/>
        </w:rPr>
        <w:t>for</w:t>
      </w:r>
      <w:r w:rsidR="00F95ACA" w:rsidRPr="006416F7">
        <w:rPr>
          <w:rFonts w:cs="Arial"/>
          <w:szCs w:val="19"/>
          <w:lang w:val="en-GB"/>
        </w:rPr>
        <w:t xml:space="preserve"> households</w:t>
      </w:r>
      <w:r w:rsidR="00D913A1">
        <w:rPr>
          <w:rFonts w:cs="Arial"/>
          <w:szCs w:val="19"/>
          <w:lang w:val="en-GB"/>
        </w:rPr>
        <w:t xml:space="preserve"> in</w:t>
      </w:r>
      <w:r w:rsidR="00F95ACA" w:rsidRPr="006416F7">
        <w:rPr>
          <w:rFonts w:cs="Arial"/>
          <w:szCs w:val="19"/>
          <w:lang w:val="en-GB"/>
        </w:rPr>
        <w:t xml:space="preserve"> </w:t>
      </w:r>
      <w:r w:rsidR="00D913A1" w:rsidRPr="006416F7">
        <w:rPr>
          <w:rFonts w:cs="Arial"/>
          <w:szCs w:val="19"/>
          <w:lang w:val="en-GB"/>
        </w:rPr>
        <w:t xml:space="preserve">total </w:t>
      </w:r>
      <w:r w:rsidR="00F95ACA" w:rsidRPr="006416F7">
        <w:rPr>
          <w:rFonts w:cs="Arial"/>
          <w:szCs w:val="19"/>
          <w:lang w:val="en-GB"/>
        </w:rPr>
        <w:t xml:space="preserve">(in </w:t>
      </w:r>
      <w:r w:rsidR="00F95ACA">
        <w:rPr>
          <w:rFonts w:cs="Arial"/>
          <w:szCs w:val="19"/>
          <w:lang w:val="en-GB"/>
        </w:rPr>
        <w:t>20</w:t>
      </w:r>
      <w:r w:rsidR="00BA0232">
        <w:rPr>
          <w:rFonts w:cs="Arial"/>
          <w:szCs w:val="19"/>
          <w:lang w:val="en-GB"/>
        </w:rPr>
        <w:t>2</w:t>
      </w:r>
      <w:r w:rsidR="009E1086">
        <w:rPr>
          <w:rFonts w:cs="Arial"/>
          <w:szCs w:val="19"/>
          <w:lang w:val="en-GB"/>
        </w:rPr>
        <w:t>3</w:t>
      </w:r>
      <w:r w:rsidR="00F95ACA" w:rsidRPr="006416F7">
        <w:rPr>
          <w:rFonts w:cs="Arial"/>
          <w:szCs w:val="19"/>
          <w:lang w:val="en-GB"/>
        </w:rPr>
        <w:t xml:space="preserve"> </w:t>
      </w:r>
      <w:r w:rsidR="00B27471">
        <w:rPr>
          <w:rFonts w:cs="Arial"/>
          <w:szCs w:val="19"/>
          <w:lang w:val="en-GB"/>
        </w:rPr>
        <w:t>lower</w:t>
      </w:r>
      <w:r w:rsidR="00F95ACA" w:rsidRPr="006416F7">
        <w:rPr>
          <w:rFonts w:cs="Arial"/>
          <w:szCs w:val="19"/>
          <w:lang w:val="en-GB"/>
        </w:rPr>
        <w:t> by </w:t>
      </w:r>
      <w:r w:rsidR="009E1086">
        <w:rPr>
          <w:rFonts w:cs="Arial"/>
          <w:szCs w:val="19"/>
          <w:lang w:val="en-GB"/>
        </w:rPr>
        <w:t>19.3</w:t>
      </w:r>
      <w:r w:rsidR="00F95ACA" w:rsidRPr="006416F7">
        <w:rPr>
          <w:rFonts w:cs="Arial"/>
          <w:szCs w:val="19"/>
          <w:lang w:val="en-GB"/>
        </w:rPr>
        <w:t xml:space="preserve">%). The lowest </w:t>
      </w:r>
      <w:r w:rsidR="000723AD">
        <w:rPr>
          <w:rFonts w:cs="Arial"/>
          <w:szCs w:val="19"/>
          <w:lang w:val="en-GB"/>
        </w:rPr>
        <w:t xml:space="preserve">average </w:t>
      </w:r>
      <w:r w:rsidR="00EC1934">
        <w:rPr>
          <w:rFonts w:cs="Arial"/>
          <w:szCs w:val="19"/>
          <w:lang w:val="en-GB"/>
        </w:rPr>
        <w:t xml:space="preserve">monthly </w:t>
      </w:r>
      <w:r w:rsidR="00F95ACA" w:rsidRPr="006416F7">
        <w:rPr>
          <w:rFonts w:cs="Arial"/>
          <w:szCs w:val="19"/>
          <w:lang w:val="en-GB"/>
        </w:rPr>
        <w:t xml:space="preserve">expenditure </w:t>
      </w:r>
      <w:r w:rsidR="00EC1934">
        <w:rPr>
          <w:rFonts w:cs="Arial"/>
          <w:szCs w:val="19"/>
          <w:lang w:val="en-GB"/>
        </w:rPr>
        <w:t xml:space="preserve">per capita </w:t>
      </w:r>
      <w:r w:rsidR="00F95ACA" w:rsidRPr="006416F7">
        <w:rPr>
          <w:rFonts w:cs="Arial"/>
          <w:szCs w:val="19"/>
          <w:lang w:val="en-GB"/>
        </w:rPr>
        <w:t xml:space="preserve">was </w:t>
      </w:r>
      <w:r w:rsidR="000723AD">
        <w:rPr>
          <w:rFonts w:cs="Arial"/>
          <w:szCs w:val="19"/>
          <w:lang w:val="en-GB"/>
        </w:rPr>
        <w:t>noted</w:t>
      </w:r>
      <w:r w:rsidR="00F95ACA" w:rsidRPr="006416F7">
        <w:rPr>
          <w:rFonts w:cs="Arial"/>
          <w:szCs w:val="19"/>
          <w:lang w:val="en-GB"/>
        </w:rPr>
        <w:t xml:space="preserve"> in the households of farmers (PLN </w:t>
      </w:r>
      <w:r w:rsidR="009E1086">
        <w:rPr>
          <w:rFonts w:cs="Arial"/>
          <w:szCs w:val="19"/>
          <w:lang w:val="en-GB"/>
        </w:rPr>
        <w:t>1311</w:t>
      </w:r>
      <w:r w:rsidR="00F95ACA" w:rsidRPr="006416F7">
        <w:rPr>
          <w:rFonts w:cs="Arial"/>
          <w:szCs w:val="19"/>
          <w:lang w:val="en-GB"/>
        </w:rPr>
        <w:t xml:space="preserve">) </w:t>
      </w:r>
      <w:r w:rsidR="000723AD">
        <w:rPr>
          <w:rFonts w:cs="Arial"/>
          <w:szCs w:val="19"/>
          <w:lang w:val="en-GB"/>
        </w:rPr>
        <w:t>and it was</w:t>
      </w:r>
      <w:r w:rsidR="00F95ACA" w:rsidRPr="006416F7">
        <w:rPr>
          <w:rFonts w:cs="Arial"/>
          <w:szCs w:val="19"/>
          <w:lang w:val="en-GB"/>
        </w:rPr>
        <w:t xml:space="preserve"> by </w:t>
      </w:r>
      <w:r w:rsidR="009E1086">
        <w:rPr>
          <w:rFonts w:cs="Arial"/>
          <w:szCs w:val="19"/>
          <w:lang w:val="en-GB"/>
        </w:rPr>
        <w:t>30.2</w:t>
      </w:r>
      <w:r w:rsidR="00F95ACA" w:rsidRPr="006416F7">
        <w:rPr>
          <w:rFonts w:cs="Arial"/>
          <w:szCs w:val="19"/>
          <w:lang w:val="en-GB"/>
        </w:rPr>
        <w:t xml:space="preserve">% lower than </w:t>
      </w:r>
      <w:r w:rsidR="00D913A1" w:rsidRPr="006416F7">
        <w:rPr>
          <w:rFonts w:cs="Arial"/>
          <w:szCs w:val="19"/>
          <w:lang w:val="en-GB"/>
        </w:rPr>
        <w:t xml:space="preserve">average </w:t>
      </w:r>
      <w:r w:rsidR="00D913A1">
        <w:rPr>
          <w:rFonts w:cs="Arial"/>
          <w:szCs w:val="19"/>
          <w:lang w:val="en-GB"/>
        </w:rPr>
        <w:t xml:space="preserve">for </w:t>
      </w:r>
      <w:r w:rsidR="00F95ACA" w:rsidRPr="006416F7">
        <w:rPr>
          <w:rFonts w:cs="Arial"/>
          <w:szCs w:val="19"/>
          <w:lang w:val="en-GB"/>
        </w:rPr>
        <w:t>household</w:t>
      </w:r>
      <w:r w:rsidR="00D913A1">
        <w:rPr>
          <w:rFonts w:cs="Arial"/>
          <w:szCs w:val="19"/>
          <w:lang w:val="en-GB"/>
        </w:rPr>
        <w:t>s in</w:t>
      </w:r>
      <w:r w:rsidR="00F95ACA" w:rsidRPr="006416F7">
        <w:rPr>
          <w:rFonts w:cs="Arial"/>
          <w:szCs w:val="19"/>
          <w:lang w:val="en-GB"/>
        </w:rPr>
        <w:t xml:space="preserve"> </w:t>
      </w:r>
      <w:r w:rsidR="00D913A1" w:rsidRPr="006416F7">
        <w:rPr>
          <w:rFonts w:cs="Arial"/>
          <w:szCs w:val="19"/>
          <w:lang w:val="en-GB"/>
        </w:rPr>
        <w:t xml:space="preserve">total </w:t>
      </w:r>
      <w:r w:rsidR="00F95ACA" w:rsidRPr="006416F7">
        <w:rPr>
          <w:rFonts w:cs="Arial"/>
          <w:szCs w:val="19"/>
          <w:lang w:val="en-GB"/>
        </w:rPr>
        <w:t>(in </w:t>
      </w:r>
      <w:r w:rsidR="002439CD">
        <w:rPr>
          <w:rFonts w:cs="Arial"/>
          <w:szCs w:val="19"/>
          <w:lang w:val="en-GB"/>
        </w:rPr>
        <w:t>20</w:t>
      </w:r>
      <w:r w:rsidR="00BA0232">
        <w:rPr>
          <w:rFonts w:cs="Arial"/>
          <w:szCs w:val="19"/>
          <w:lang w:val="en-GB"/>
        </w:rPr>
        <w:t>2</w:t>
      </w:r>
      <w:r w:rsidR="009E1086">
        <w:rPr>
          <w:rFonts w:cs="Arial"/>
          <w:szCs w:val="19"/>
          <w:lang w:val="en-GB"/>
        </w:rPr>
        <w:t>3</w:t>
      </w:r>
      <w:r w:rsidR="00F95ACA" w:rsidRPr="006416F7">
        <w:rPr>
          <w:rFonts w:cs="Arial"/>
          <w:szCs w:val="19"/>
          <w:lang w:val="en-GB"/>
        </w:rPr>
        <w:t xml:space="preserve"> – lower </w:t>
      </w:r>
      <w:r w:rsidR="00F95ACA" w:rsidRPr="00906D1B">
        <w:rPr>
          <w:rFonts w:cs="Arial"/>
          <w:szCs w:val="19"/>
          <w:lang w:val="en-GB"/>
        </w:rPr>
        <w:t xml:space="preserve">by </w:t>
      </w:r>
      <w:r w:rsidR="009E1086">
        <w:rPr>
          <w:rFonts w:cs="Arial"/>
          <w:szCs w:val="19"/>
          <w:lang w:val="en-GB"/>
        </w:rPr>
        <w:t>23.9</w:t>
      </w:r>
      <w:r w:rsidR="00F95ACA" w:rsidRPr="00906D1B">
        <w:rPr>
          <w:rFonts w:cs="Arial"/>
          <w:szCs w:val="19"/>
          <w:lang w:val="en-GB"/>
        </w:rPr>
        <w:t>%).</w:t>
      </w:r>
    </w:p>
    <w:p w14:paraId="7EE94DBE" w14:textId="040104F8" w:rsidR="00764D9C" w:rsidRPr="007E6A56" w:rsidRDefault="00A93D4E" w:rsidP="00F64E3E">
      <w:pPr>
        <w:spacing w:before="360" w:after="360" w:line="240" w:lineRule="auto"/>
        <w:jc w:val="both"/>
        <w:rPr>
          <w:b/>
          <w:i/>
          <w:spacing w:val="-2"/>
          <w:sz w:val="18"/>
          <w:shd w:val="clear" w:color="auto" w:fill="FFFFFF"/>
          <w:lang w:val="en-GB"/>
        </w:rPr>
      </w:pPr>
      <w:r>
        <w:rPr>
          <w:i/>
          <w:noProof/>
          <w:lang w:eastAsia="pl-PL"/>
        </w:rPr>
        <mc:AlternateContent>
          <mc:Choice Requires="wps">
            <w:drawing>
              <wp:anchor distT="45720" distB="45720" distL="114300" distR="114300" simplePos="0" relativeHeight="251811840" behindDoc="1" locked="0" layoutInCell="1" allowOverlap="1" wp14:anchorId="7EE94F9A" wp14:editId="7C289112">
                <wp:simplePos x="0" y="0"/>
                <wp:positionH relativeFrom="column">
                  <wp:posOffset>5210175</wp:posOffset>
                </wp:positionH>
                <wp:positionV relativeFrom="paragraph">
                  <wp:posOffset>1407795</wp:posOffset>
                </wp:positionV>
                <wp:extent cx="1725295" cy="1315720"/>
                <wp:effectExtent l="0" t="0" r="0" b="0"/>
                <wp:wrapTight wrapText="bothSides">
                  <wp:wrapPolygon edited="0">
                    <wp:start x="715" y="0"/>
                    <wp:lineTo x="715" y="21266"/>
                    <wp:lineTo x="20749" y="21266"/>
                    <wp:lineTo x="20749" y="0"/>
                    <wp:lineTo x="715" y="0"/>
                  </wp:wrapPolygon>
                </wp:wrapTight>
                <wp:docPr id="222" name="Pole tekstowe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15720"/>
                        </a:xfrm>
                        <a:prstGeom prst="rect">
                          <a:avLst/>
                        </a:prstGeom>
                        <a:noFill/>
                        <a:ln w="9525">
                          <a:noFill/>
                          <a:miter lim="800000"/>
                          <a:headEnd/>
                          <a:tailEnd/>
                        </a:ln>
                      </wps:spPr>
                      <wps:txbx>
                        <w:txbxContent>
                          <w:p w14:paraId="7EE9500F" w14:textId="77777777" w:rsidR="00882B10" w:rsidRPr="004A5CF4" w:rsidRDefault="00882B10" w:rsidP="00764D9C">
                            <w:pPr>
                              <w:pStyle w:val="tekstzboku"/>
                              <w:rPr>
                                <w:lang w:val="en-GB"/>
                              </w:rPr>
                            </w:pPr>
                            <w:r w:rsidRPr="004A5CF4">
                              <w:rPr>
                                <w:lang w:val="en-GB"/>
                              </w:rPr>
                              <w:t xml:space="preserve">The highest share of expenditure in available income was observed </w:t>
                            </w:r>
                            <w:r>
                              <w:rPr>
                                <w:lang w:val="en-GB"/>
                              </w:rPr>
                              <w:t>in households of pensioners and the lowest in households of farmers</w:t>
                            </w:r>
                          </w:p>
                          <w:p w14:paraId="7EE95010" w14:textId="77777777" w:rsidR="00882B10" w:rsidRPr="004A5CF4" w:rsidRDefault="00882B10" w:rsidP="00764D9C">
                            <w:pPr>
                              <w:spacing w:after="0"/>
                              <w:rPr>
                                <w:rFonts w:eastAsia="Times New Roman"/>
                                <w:bCs/>
                                <w:i/>
                                <w:color w:val="001D77"/>
                                <w:sz w:val="18"/>
                                <w:szCs w:val="18"/>
                                <w:lang w:val="en-GB"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E94F9A" id="_x0000_t202" coordsize="21600,21600" o:spt="202" path="m,l,21600r21600,l21600,xe">
                <v:stroke joinstyle="miter"/>
                <v:path gradientshapeok="t" o:connecttype="rect"/>
              </v:shapetype>
              <v:shape id="Pole tekstowe 222" o:spid="_x0000_s1029" type="#_x0000_t202" style="position:absolute;left:0;text-align:left;margin-left:410.25pt;margin-top:110.85pt;width:135.85pt;height:103.6pt;z-index:-25150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" filled="f" stroked="f">
                <v:textbox>
                  <w:txbxContent>
                    <w:p w14:paraId="7EE9500F" w14:textId="77777777" w:rsidR="00882B10" w:rsidRPr="004A5CF4" w:rsidRDefault="00882B10" w:rsidP="00764D9C">
                      <w:pPr>
                        <w:pStyle w:val="tekstzboku"/>
                        <w:rPr>
                          <w:lang w:val="en-GB"/>
                        </w:rPr>
                      </w:pPr>
                      <w:r w:rsidRPr="004A5CF4">
                        <w:rPr>
                          <w:lang w:val="en-GB"/>
                        </w:rPr>
                        <w:t xml:space="preserve">The highest share of expenditure in available income was observed </w:t>
                      </w:r>
                      <w:r>
                        <w:rPr>
                          <w:lang w:val="en-GB"/>
                        </w:rPr>
                        <w:t>in households of pensioners and the lowest in households of farmers</w:t>
                      </w:r>
                    </w:p>
                    <w:p w14:paraId="7EE95010" w14:textId="77777777" w:rsidR="00882B10" w:rsidRPr="004A5CF4" w:rsidRDefault="00882B10" w:rsidP="00764D9C">
                      <w:pPr>
                        <w:spacing w:after="0"/>
                        <w:rPr>
                          <w:rFonts w:eastAsia="Times New Roman"/>
                          <w:bCs/>
                          <w:i/>
                          <w:color w:val="001D77"/>
                          <w:sz w:val="18"/>
                          <w:szCs w:val="18"/>
                          <w:lang w:val="en-GB" w:eastAsia="pl-PL"/>
                        </w:rPr>
                      </w:pPr>
                    </w:p>
                  </w:txbxContent>
                </v:textbox>
                <w10:wrap type="tight"/>
              </v:shape>
            </w:pict>
          </mc:Fallback>
        </mc:AlternateContent>
      </w:r>
      <w:r w:rsidR="00321C28">
        <w:rPr>
          <w:noProof/>
          <w:lang w:eastAsia="pl-PL"/>
        </w:rPr>
        <w:drawing>
          <wp:inline distT="0" distB="0" distL="0" distR="0" wp14:anchorId="36284AFA" wp14:editId="040D236A">
            <wp:extent cx="5122545" cy="3204000"/>
            <wp:effectExtent l="0" t="0" r="1905" b="0"/>
            <wp:docPr id="9" name="Wykres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E94DC1" w14:textId="1102537C" w:rsidR="00BB1E25" w:rsidRPr="00E26767" w:rsidRDefault="000723AD" w:rsidP="00764D9C">
      <w:pPr>
        <w:rPr>
          <w:rStyle w:val="Uwydatnienie"/>
          <w:rFonts w:cs="Arial"/>
          <w:b w:val="0"/>
          <w:spacing w:val="-2"/>
          <w:szCs w:val="19"/>
          <w:lang w:val="en-GB"/>
        </w:rPr>
      </w:pPr>
      <w:r w:rsidRPr="00E26767">
        <w:rPr>
          <w:rFonts w:cs="Arial"/>
          <w:spacing w:val="-2"/>
          <w:szCs w:val="19"/>
          <w:lang w:val="en-GB"/>
        </w:rPr>
        <w:t xml:space="preserve">As in previous years, </w:t>
      </w:r>
      <w:r w:rsidR="000B4D50" w:rsidRPr="00E26767">
        <w:rPr>
          <w:rFonts w:cs="Arial"/>
          <w:spacing w:val="-2"/>
          <w:szCs w:val="19"/>
          <w:lang w:val="en-GB"/>
        </w:rPr>
        <w:t xml:space="preserve">in 2024 </w:t>
      </w:r>
      <w:r w:rsidRPr="00E26767">
        <w:rPr>
          <w:rFonts w:cs="Arial"/>
          <w:spacing w:val="-2"/>
          <w:szCs w:val="19"/>
          <w:lang w:val="en-GB"/>
        </w:rPr>
        <w:t>t</w:t>
      </w:r>
      <w:r w:rsidR="007E6A56" w:rsidRPr="00E26767">
        <w:rPr>
          <w:rFonts w:cs="Arial"/>
          <w:spacing w:val="-2"/>
          <w:szCs w:val="19"/>
          <w:lang w:val="en-GB"/>
        </w:rPr>
        <w:t>he highest share of expenditure in income (</w:t>
      </w:r>
      <w:r w:rsidR="009E1086" w:rsidRPr="00E26767">
        <w:rPr>
          <w:rFonts w:cs="Arial"/>
          <w:spacing w:val="-2"/>
          <w:szCs w:val="19"/>
          <w:lang w:val="en-GB"/>
        </w:rPr>
        <w:t>77.7</w:t>
      </w:r>
      <w:r w:rsidR="007E6A56" w:rsidRPr="00E26767">
        <w:rPr>
          <w:rFonts w:cs="Arial"/>
          <w:spacing w:val="-2"/>
          <w:szCs w:val="19"/>
          <w:lang w:val="en-GB"/>
        </w:rPr>
        <w:t xml:space="preserve">%) and the lowest amount of average monthly excess of </w:t>
      </w:r>
      <w:r w:rsidR="00907638" w:rsidRPr="00E26767">
        <w:rPr>
          <w:rFonts w:cs="Arial"/>
          <w:spacing w:val="-2"/>
          <w:szCs w:val="19"/>
          <w:lang w:val="en-GB"/>
        </w:rPr>
        <w:t xml:space="preserve">available </w:t>
      </w:r>
      <w:r w:rsidR="007E6A56" w:rsidRPr="00E26767">
        <w:rPr>
          <w:rFonts w:cs="Arial"/>
          <w:spacing w:val="-2"/>
          <w:szCs w:val="19"/>
          <w:lang w:val="en-GB"/>
        </w:rPr>
        <w:t xml:space="preserve">income </w:t>
      </w:r>
      <w:r w:rsidR="00703FDA" w:rsidRPr="00E26767">
        <w:rPr>
          <w:rFonts w:cs="Arial"/>
          <w:spacing w:val="-2"/>
          <w:szCs w:val="19"/>
          <w:lang w:val="en-GB"/>
        </w:rPr>
        <w:t xml:space="preserve">per capita </w:t>
      </w:r>
      <w:r w:rsidR="007E6A56" w:rsidRPr="00E26767">
        <w:rPr>
          <w:rFonts w:cs="Arial"/>
          <w:spacing w:val="-2"/>
          <w:szCs w:val="19"/>
          <w:lang w:val="en-GB"/>
        </w:rPr>
        <w:t>over</w:t>
      </w:r>
      <w:r w:rsidR="00907638" w:rsidRPr="00E26767">
        <w:rPr>
          <w:rFonts w:cs="Arial"/>
          <w:spacing w:val="-2"/>
          <w:szCs w:val="19"/>
          <w:lang w:val="en-GB"/>
        </w:rPr>
        <w:t xml:space="preserve"> </w:t>
      </w:r>
      <w:r w:rsidR="007E6A56" w:rsidRPr="00E26767">
        <w:rPr>
          <w:rFonts w:cs="Arial"/>
          <w:spacing w:val="-2"/>
          <w:szCs w:val="19"/>
          <w:lang w:val="en-GB"/>
        </w:rPr>
        <w:t xml:space="preserve">expenditure </w:t>
      </w:r>
      <w:r w:rsidR="00703FDA" w:rsidRPr="00E26767">
        <w:rPr>
          <w:rFonts w:cs="Arial"/>
          <w:spacing w:val="-2"/>
          <w:szCs w:val="19"/>
          <w:lang w:val="en-GB"/>
        </w:rPr>
        <w:t xml:space="preserve">per capita </w:t>
      </w:r>
      <w:r w:rsidR="007E6A56" w:rsidRPr="00E26767">
        <w:rPr>
          <w:rFonts w:cs="Arial"/>
          <w:spacing w:val="-2"/>
          <w:szCs w:val="19"/>
          <w:lang w:val="en-GB"/>
        </w:rPr>
        <w:t xml:space="preserve">(PLN </w:t>
      </w:r>
      <w:r w:rsidR="00B27471" w:rsidRPr="00E26767">
        <w:rPr>
          <w:rFonts w:cs="Arial"/>
          <w:spacing w:val="-2"/>
          <w:szCs w:val="19"/>
          <w:lang w:val="en-GB"/>
        </w:rPr>
        <w:t>54</w:t>
      </w:r>
      <w:r w:rsidR="009E1086" w:rsidRPr="00E26767">
        <w:rPr>
          <w:rFonts w:cs="Arial"/>
          <w:spacing w:val="-2"/>
          <w:szCs w:val="19"/>
          <w:lang w:val="en-GB"/>
        </w:rPr>
        <w:t>6</w:t>
      </w:r>
      <w:r w:rsidR="007E6A56" w:rsidRPr="00E26767">
        <w:rPr>
          <w:rFonts w:cs="Arial"/>
          <w:spacing w:val="-2"/>
          <w:szCs w:val="19"/>
          <w:lang w:val="en-GB"/>
        </w:rPr>
        <w:t>) was recorded in the households of pensioners. The lowest share of expenditure in income (</w:t>
      </w:r>
      <w:r w:rsidR="009E1086" w:rsidRPr="00E26767">
        <w:rPr>
          <w:rFonts w:cs="Arial"/>
          <w:spacing w:val="-2"/>
          <w:szCs w:val="19"/>
          <w:lang w:val="en-GB"/>
        </w:rPr>
        <w:t>39.6</w:t>
      </w:r>
      <w:r w:rsidR="007E6A56" w:rsidRPr="00E26767">
        <w:rPr>
          <w:rFonts w:cs="Arial"/>
          <w:spacing w:val="-2"/>
          <w:szCs w:val="19"/>
          <w:lang w:val="en-GB"/>
        </w:rPr>
        <w:t xml:space="preserve">%) </w:t>
      </w:r>
      <w:r w:rsidR="00B27471" w:rsidRPr="00E26767">
        <w:rPr>
          <w:rFonts w:cs="Arial"/>
          <w:spacing w:val="-2"/>
          <w:szCs w:val="19"/>
          <w:lang w:val="en-GB"/>
        </w:rPr>
        <w:t xml:space="preserve">similarly to the previous year had the households of farmers, </w:t>
      </w:r>
      <w:r w:rsidR="00A22B02" w:rsidRPr="00E26767">
        <w:rPr>
          <w:rFonts w:cs="Arial"/>
          <w:spacing w:val="-2"/>
          <w:szCs w:val="19"/>
          <w:lang w:val="en-GB"/>
        </w:rPr>
        <w:t>and in these households</w:t>
      </w:r>
      <w:r w:rsidR="00B27471" w:rsidRPr="00E26767">
        <w:rPr>
          <w:rFonts w:cs="Arial"/>
          <w:spacing w:val="-2"/>
          <w:szCs w:val="19"/>
          <w:lang w:val="en-GB"/>
        </w:rPr>
        <w:t xml:space="preserve"> </w:t>
      </w:r>
      <w:r w:rsidR="007E6A56" w:rsidRPr="00E26767">
        <w:rPr>
          <w:rFonts w:cs="Arial"/>
          <w:spacing w:val="-2"/>
          <w:szCs w:val="19"/>
          <w:lang w:val="en-GB"/>
        </w:rPr>
        <w:t xml:space="preserve">the highest average </w:t>
      </w:r>
      <w:r w:rsidR="007E6A56" w:rsidRPr="00E26767">
        <w:rPr>
          <w:rStyle w:val="st"/>
          <w:rFonts w:cs="Arial"/>
          <w:spacing w:val="-2"/>
          <w:szCs w:val="19"/>
          <w:lang w:val="en-GB"/>
        </w:rPr>
        <w:t xml:space="preserve">excess of </w:t>
      </w:r>
      <w:r w:rsidR="007E6A56" w:rsidRPr="00E26767">
        <w:rPr>
          <w:rStyle w:val="Uwydatnienie"/>
          <w:rFonts w:cs="Arial"/>
          <w:b w:val="0"/>
          <w:spacing w:val="-2"/>
          <w:szCs w:val="19"/>
          <w:lang w:val="en-GB"/>
        </w:rPr>
        <w:t xml:space="preserve">income over expenditure (PLN </w:t>
      </w:r>
      <w:r w:rsidR="00A22B02" w:rsidRPr="00E26767">
        <w:rPr>
          <w:rStyle w:val="Uwydatnienie"/>
          <w:rFonts w:cs="Arial"/>
          <w:b w:val="0"/>
          <w:spacing w:val="-2"/>
          <w:szCs w:val="19"/>
          <w:lang w:val="en-GB"/>
        </w:rPr>
        <w:t>1998</w:t>
      </w:r>
      <w:r w:rsidR="007E6A56" w:rsidRPr="00E26767">
        <w:rPr>
          <w:rStyle w:val="Uwydatnienie"/>
          <w:rFonts w:cs="Arial"/>
          <w:b w:val="0"/>
          <w:spacing w:val="-2"/>
          <w:szCs w:val="19"/>
          <w:lang w:val="en-GB"/>
        </w:rPr>
        <w:t>)</w:t>
      </w:r>
      <w:r w:rsidR="00B27471" w:rsidRPr="00E26767">
        <w:rPr>
          <w:rStyle w:val="Uwydatnienie"/>
          <w:rFonts w:cs="Arial"/>
          <w:b w:val="0"/>
          <w:spacing w:val="-2"/>
          <w:szCs w:val="19"/>
          <w:lang w:val="en-GB"/>
        </w:rPr>
        <w:t xml:space="preserve"> </w:t>
      </w:r>
      <w:r w:rsidR="007E6A56" w:rsidRPr="00E26767">
        <w:rPr>
          <w:rStyle w:val="Uwydatnienie"/>
          <w:rFonts w:cs="Arial"/>
          <w:b w:val="0"/>
          <w:spacing w:val="-2"/>
          <w:szCs w:val="19"/>
          <w:lang w:val="en-GB"/>
        </w:rPr>
        <w:t xml:space="preserve">was </w:t>
      </w:r>
      <w:r w:rsidR="00B27471" w:rsidRPr="00E26767">
        <w:rPr>
          <w:rStyle w:val="Uwydatnienie"/>
          <w:rFonts w:cs="Arial"/>
          <w:b w:val="0"/>
          <w:spacing w:val="-2"/>
          <w:szCs w:val="19"/>
          <w:lang w:val="en-GB"/>
        </w:rPr>
        <w:t>noted</w:t>
      </w:r>
      <w:r w:rsidR="007E6A56" w:rsidRPr="00E26767">
        <w:rPr>
          <w:rStyle w:val="Uwydatnienie"/>
          <w:rFonts w:cs="Arial"/>
          <w:b w:val="0"/>
          <w:spacing w:val="-2"/>
          <w:szCs w:val="19"/>
          <w:lang w:val="en-GB"/>
        </w:rPr>
        <w:t xml:space="preserve">. </w:t>
      </w:r>
    </w:p>
    <w:p w14:paraId="7EE94DC2" w14:textId="5B148D38" w:rsidR="007E6A56" w:rsidRPr="00167A47" w:rsidRDefault="00AB6AD5" w:rsidP="00764D9C">
      <w:pPr>
        <w:rPr>
          <w:spacing w:val="-2"/>
          <w:shd w:val="clear" w:color="auto" w:fill="FFFFFF"/>
          <w:lang w:val="en-GB"/>
        </w:rPr>
      </w:pPr>
      <w:r w:rsidRPr="00167A47">
        <w:rPr>
          <w:rStyle w:val="Uwydatnienie"/>
          <w:rFonts w:cs="Arial"/>
          <w:b w:val="0"/>
          <w:spacing w:val="-2"/>
          <w:szCs w:val="19"/>
          <w:lang w:val="en-GB"/>
        </w:rPr>
        <w:t xml:space="preserve">In </w:t>
      </w:r>
      <w:r w:rsidR="000B4D50" w:rsidRPr="00167A47">
        <w:rPr>
          <w:rStyle w:val="Uwydatnienie"/>
          <w:rFonts w:cs="Arial"/>
          <w:b w:val="0"/>
          <w:spacing w:val="-2"/>
          <w:szCs w:val="19"/>
          <w:lang w:val="en-GB"/>
        </w:rPr>
        <w:t xml:space="preserve">2024 in </w:t>
      </w:r>
      <w:r w:rsidRPr="00167A47">
        <w:rPr>
          <w:rStyle w:val="Uwydatnienie"/>
          <w:rFonts w:cs="Arial"/>
          <w:b w:val="0"/>
          <w:spacing w:val="-2"/>
          <w:szCs w:val="19"/>
          <w:lang w:val="en-GB"/>
        </w:rPr>
        <w:t xml:space="preserve">comparison with </w:t>
      </w:r>
      <w:r w:rsidR="000B4D50" w:rsidRPr="00167A47">
        <w:rPr>
          <w:rStyle w:val="Uwydatnienie"/>
          <w:rFonts w:cs="Arial"/>
          <w:b w:val="0"/>
          <w:spacing w:val="-2"/>
          <w:szCs w:val="19"/>
          <w:lang w:val="en-GB"/>
        </w:rPr>
        <w:t>2023</w:t>
      </w:r>
      <w:r w:rsidRPr="00167A47">
        <w:rPr>
          <w:rStyle w:val="Uwydatnienie"/>
          <w:rFonts w:cs="Arial"/>
          <w:b w:val="0"/>
          <w:spacing w:val="-2"/>
          <w:szCs w:val="19"/>
          <w:lang w:val="en-GB"/>
        </w:rPr>
        <w:t xml:space="preserve"> t</w:t>
      </w:r>
      <w:r w:rsidR="00952D21" w:rsidRPr="00167A47">
        <w:rPr>
          <w:rStyle w:val="Uwydatnienie"/>
          <w:rFonts w:cs="Arial"/>
          <w:b w:val="0"/>
          <w:spacing w:val="-2"/>
          <w:szCs w:val="19"/>
          <w:lang w:val="en-GB"/>
        </w:rPr>
        <w:t xml:space="preserve">he share of expenditure in income </w:t>
      </w:r>
      <w:r w:rsidRPr="00167A47">
        <w:rPr>
          <w:rStyle w:val="Uwydatnienie"/>
          <w:rFonts w:cs="Arial"/>
          <w:b w:val="0"/>
          <w:spacing w:val="-2"/>
          <w:szCs w:val="19"/>
          <w:lang w:val="en-GB"/>
        </w:rPr>
        <w:t xml:space="preserve">for total households </w:t>
      </w:r>
      <w:r w:rsidR="00611143" w:rsidRPr="00167A47">
        <w:rPr>
          <w:rStyle w:val="Uwydatnienie"/>
          <w:rFonts w:cs="Arial"/>
          <w:b w:val="0"/>
          <w:spacing w:val="-2"/>
          <w:szCs w:val="19"/>
          <w:lang w:val="en-GB"/>
        </w:rPr>
        <w:t>de</w:t>
      </w:r>
      <w:r w:rsidR="00952D21" w:rsidRPr="00167A47">
        <w:rPr>
          <w:rStyle w:val="Uwydatnienie"/>
          <w:rFonts w:cs="Arial"/>
          <w:b w:val="0"/>
          <w:spacing w:val="-2"/>
          <w:szCs w:val="19"/>
          <w:lang w:val="en-GB"/>
        </w:rPr>
        <w:t xml:space="preserve">creased by </w:t>
      </w:r>
      <w:r w:rsidR="00A22B02" w:rsidRPr="00167A47">
        <w:rPr>
          <w:rStyle w:val="Uwydatnienie"/>
          <w:rFonts w:cs="Arial"/>
          <w:b w:val="0"/>
          <w:spacing w:val="-2"/>
          <w:szCs w:val="19"/>
          <w:lang w:val="en-GB"/>
        </w:rPr>
        <w:t>1.8</w:t>
      </w:r>
      <w:r w:rsidR="00952D21" w:rsidRPr="00167A47">
        <w:rPr>
          <w:rStyle w:val="Uwydatnienie"/>
          <w:rFonts w:cs="Arial"/>
          <w:b w:val="0"/>
          <w:spacing w:val="-2"/>
          <w:szCs w:val="19"/>
          <w:lang w:val="en-GB"/>
        </w:rPr>
        <w:t xml:space="preserve"> percentage points</w:t>
      </w:r>
      <w:r w:rsidR="00AC0E82" w:rsidRPr="00167A47">
        <w:rPr>
          <w:rStyle w:val="Uwydatnienie"/>
          <w:rFonts w:cs="Arial"/>
          <w:b w:val="0"/>
          <w:spacing w:val="-2"/>
          <w:szCs w:val="19"/>
          <w:lang w:val="en-GB"/>
        </w:rPr>
        <w:t xml:space="preserve"> to </w:t>
      </w:r>
      <w:r w:rsidR="00A22B02" w:rsidRPr="00167A47">
        <w:rPr>
          <w:rStyle w:val="Uwydatnienie"/>
          <w:rFonts w:cs="Arial"/>
          <w:b w:val="0"/>
          <w:spacing w:val="-2"/>
          <w:szCs w:val="19"/>
          <w:lang w:val="en-GB"/>
        </w:rPr>
        <w:t>59.3</w:t>
      </w:r>
      <w:r w:rsidR="00907638" w:rsidRPr="00167A47">
        <w:rPr>
          <w:rStyle w:val="Uwydatnienie"/>
          <w:rFonts w:cs="Arial"/>
          <w:b w:val="0"/>
          <w:spacing w:val="-2"/>
          <w:szCs w:val="19"/>
          <w:lang w:val="en-GB"/>
        </w:rPr>
        <w:t>%</w:t>
      </w:r>
      <w:r w:rsidR="00703FDA" w:rsidRPr="00167A47">
        <w:rPr>
          <w:rStyle w:val="Uwydatnienie"/>
          <w:rFonts w:cs="Arial"/>
          <w:b w:val="0"/>
          <w:spacing w:val="-2"/>
          <w:szCs w:val="19"/>
          <w:lang w:val="en-GB"/>
        </w:rPr>
        <w:t xml:space="preserve">, </w:t>
      </w:r>
      <w:r w:rsidR="00EC1934" w:rsidRPr="00167A47">
        <w:rPr>
          <w:rStyle w:val="Uwydatnienie"/>
          <w:rFonts w:cs="Arial"/>
          <w:b w:val="0"/>
          <w:spacing w:val="-2"/>
          <w:szCs w:val="19"/>
          <w:lang w:val="en-GB"/>
        </w:rPr>
        <w:t xml:space="preserve">which indicates </w:t>
      </w:r>
      <w:r w:rsidR="006A43C7" w:rsidRPr="00167A47">
        <w:rPr>
          <w:rStyle w:val="Uwydatnienie"/>
          <w:rFonts w:cs="Arial"/>
          <w:b w:val="0"/>
          <w:spacing w:val="-2"/>
          <w:szCs w:val="19"/>
          <w:lang w:val="en-GB"/>
        </w:rPr>
        <w:t xml:space="preserve">on average </w:t>
      </w:r>
      <w:r w:rsidR="00EC1934" w:rsidRPr="00167A47">
        <w:rPr>
          <w:rStyle w:val="Uwydatnienie"/>
          <w:rFonts w:cs="Arial"/>
          <w:b w:val="0"/>
          <w:spacing w:val="-2"/>
          <w:szCs w:val="19"/>
          <w:lang w:val="en-GB"/>
        </w:rPr>
        <w:t xml:space="preserve">a </w:t>
      </w:r>
      <w:r w:rsidR="00611143" w:rsidRPr="00167A47">
        <w:rPr>
          <w:rStyle w:val="Uwydatnienie"/>
          <w:rFonts w:cs="Arial"/>
          <w:b w:val="0"/>
          <w:spacing w:val="-2"/>
          <w:szCs w:val="19"/>
          <w:lang w:val="en-GB"/>
        </w:rPr>
        <w:t>higher</w:t>
      </w:r>
      <w:r w:rsidR="00EC1934" w:rsidRPr="00167A47">
        <w:rPr>
          <w:rStyle w:val="Uwydatnienie"/>
          <w:rFonts w:cs="Arial"/>
          <w:b w:val="0"/>
          <w:spacing w:val="-2"/>
          <w:szCs w:val="19"/>
          <w:lang w:val="en-GB"/>
        </w:rPr>
        <w:t xml:space="preserve"> possibility of accumulating savings in </w:t>
      </w:r>
      <w:r w:rsidR="000B4D50" w:rsidRPr="00167A47">
        <w:rPr>
          <w:rStyle w:val="Uwydatnienie"/>
          <w:rFonts w:cs="Arial"/>
          <w:b w:val="0"/>
          <w:spacing w:val="-2"/>
          <w:szCs w:val="19"/>
          <w:lang w:val="en-GB"/>
        </w:rPr>
        <w:t>2024 than in</w:t>
      </w:r>
      <w:r w:rsidR="00EC1934" w:rsidRPr="00167A47">
        <w:rPr>
          <w:rStyle w:val="Uwydatnienie"/>
          <w:rFonts w:cs="Arial"/>
          <w:b w:val="0"/>
          <w:spacing w:val="-2"/>
          <w:szCs w:val="19"/>
          <w:lang w:val="en-GB"/>
        </w:rPr>
        <w:t xml:space="preserve"> the previous year.</w:t>
      </w:r>
      <w:r w:rsidR="00A571DC" w:rsidRPr="00167A47">
        <w:rPr>
          <w:rStyle w:val="Uwydatnienie"/>
          <w:rFonts w:cs="Arial"/>
          <w:b w:val="0"/>
          <w:spacing w:val="-2"/>
          <w:szCs w:val="19"/>
          <w:lang w:val="en-GB"/>
        </w:rPr>
        <w:t xml:space="preserve"> The share of average </w:t>
      </w:r>
      <w:r w:rsidR="00A93D4E" w:rsidRPr="00167A47">
        <w:rPr>
          <w:rStyle w:val="Uwydatnienie"/>
          <w:rFonts w:cs="Arial"/>
          <w:b w:val="0"/>
          <w:spacing w:val="-2"/>
          <w:szCs w:val="19"/>
          <w:lang w:val="en-GB"/>
        </w:rPr>
        <w:t xml:space="preserve">monthly </w:t>
      </w:r>
      <w:r w:rsidR="00A571DC" w:rsidRPr="00167A47">
        <w:rPr>
          <w:rStyle w:val="Uwydatnienie"/>
          <w:rFonts w:cs="Arial"/>
          <w:b w:val="0"/>
          <w:spacing w:val="-2"/>
          <w:szCs w:val="19"/>
          <w:lang w:val="en-GB"/>
        </w:rPr>
        <w:t xml:space="preserve">expenditure in average </w:t>
      </w:r>
      <w:r w:rsidR="00A93D4E" w:rsidRPr="00167A47">
        <w:rPr>
          <w:rStyle w:val="Uwydatnienie"/>
          <w:rFonts w:cs="Arial"/>
          <w:b w:val="0"/>
          <w:spacing w:val="-2"/>
          <w:szCs w:val="19"/>
          <w:lang w:val="en-GB"/>
        </w:rPr>
        <w:t xml:space="preserve">monthly </w:t>
      </w:r>
      <w:r w:rsidR="00A571DC" w:rsidRPr="00167A47">
        <w:rPr>
          <w:rStyle w:val="Uwydatnienie"/>
          <w:rFonts w:cs="Arial"/>
          <w:b w:val="0"/>
          <w:spacing w:val="-2"/>
          <w:szCs w:val="19"/>
          <w:lang w:val="en-GB"/>
        </w:rPr>
        <w:t xml:space="preserve">income decreased </w:t>
      </w:r>
      <w:r w:rsidR="00A22B02" w:rsidRPr="00167A47">
        <w:rPr>
          <w:rStyle w:val="Uwydatnienie"/>
          <w:rFonts w:cs="Arial"/>
          <w:b w:val="0"/>
          <w:spacing w:val="-2"/>
          <w:szCs w:val="19"/>
          <w:lang w:val="en-GB"/>
        </w:rPr>
        <w:t xml:space="preserve">the most </w:t>
      </w:r>
      <w:r w:rsidR="00A571DC" w:rsidRPr="00167A47">
        <w:rPr>
          <w:rStyle w:val="Uwydatnienie"/>
          <w:rFonts w:cs="Arial"/>
          <w:b w:val="0"/>
          <w:spacing w:val="-2"/>
          <w:szCs w:val="19"/>
          <w:lang w:val="en-GB"/>
        </w:rPr>
        <w:t>in the households of farmers</w:t>
      </w:r>
      <w:r w:rsidR="00A22B02" w:rsidRPr="00167A47">
        <w:rPr>
          <w:rStyle w:val="Uwydatnienie"/>
          <w:rFonts w:cs="Arial"/>
          <w:b w:val="0"/>
          <w:spacing w:val="-2"/>
          <w:szCs w:val="19"/>
          <w:lang w:val="en-GB"/>
        </w:rPr>
        <w:t xml:space="preserve"> (by 11.3 percentage points) and</w:t>
      </w:r>
      <w:r w:rsidR="00A571DC" w:rsidRPr="00167A47">
        <w:rPr>
          <w:rStyle w:val="Uwydatnienie"/>
          <w:rFonts w:cs="Arial"/>
          <w:b w:val="0"/>
          <w:spacing w:val="-2"/>
          <w:szCs w:val="19"/>
          <w:lang w:val="en-GB"/>
        </w:rPr>
        <w:t xml:space="preserve"> it increased </w:t>
      </w:r>
      <w:r w:rsidR="00A22B02" w:rsidRPr="00167A47">
        <w:rPr>
          <w:rStyle w:val="Uwydatnienie"/>
          <w:rFonts w:cs="Arial"/>
          <w:b w:val="0"/>
          <w:spacing w:val="-2"/>
          <w:szCs w:val="19"/>
          <w:lang w:val="en-GB"/>
        </w:rPr>
        <w:t>the most in the households of pensioners (by 2.9</w:t>
      </w:r>
      <w:r w:rsidR="00A571DC" w:rsidRPr="00167A47">
        <w:rPr>
          <w:rStyle w:val="Uwydatnienie"/>
          <w:rFonts w:cs="Arial"/>
          <w:b w:val="0"/>
          <w:spacing w:val="-2"/>
          <w:szCs w:val="19"/>
          <w:lang w:val="en-GB"/>
        </w:rPr>
        <w:t xml:space="preserve"> percentage point</w:t>
      </w:r>
      <w:r w:rsidR="00A22B02" w:rsidRPr="00167A47">
        <w:rPr>
          <w:rStyle w:val="Uwydatnienie"/>
          <w:rFonts w:cs="Arial"/>
          <w:b w:val="0"/>
          <w:spacing w:val="-2"/>
          <w:szCs w:val="19"/>
          <w:lang w:val="en-GB"/>
        </w:rPr>
        <w:t>s)</w:t>
      </w:r>
      <w:r w:rsidR="00A571DC" w:rsidRPr="00167A47">
        <w:rPr>
          <w:rStyle w:val="Uwydatnienie"/>
          <w:rFonts w:cs="Arial"/>
          <w:b w:val="0"/>
          <w:spacing w:val="-2"/>
          <w:szCs w:val="19"/>
          <w:lang w:val="en-GB"/>
        </w:rPr>
        <w:t>.</w:t>
      </w:r>
    </w:p>
    <w:p w14:paraId="61BEF733" w14:textId="6446B5B2" w:rsidR="00260783" w:rsidRPr="00E26767" w:rsidRDefault="00260783" w:rsidP="00A571DC">
      <w:pPr>
        <w:spacing w:before="0" w:after="0" w:line="240" w:lineRule="auto"/>
        <w:rPr>
          <w:shd w:val="clear" w:color="auto" w:fill="FFFFFF"/>
          <w:lang w:val="en-GB"/>
        </w:rPr>
      </w:pPr>
      <w:r w:rsidRPr="00E26767">
        <w:rPr>
          <w:shd w:val="clear" w:color="auto" w:fill="FFFFFF"/>
          <w:lang w:val="en-GB"/>
        </w:rPr>
        <w:t xml:space="preserve">The difference between average </w:t>
      </w:r>
      <w:r w:rsidR="00703FDA" w:rsidRPr="00E26767">
        <w:rPr>
          <w:shd w:val="clear" w:color="auto" w:fill="FFFFFF"/>
          <w:lang w:val="en-GB"/>
        </w:rPr>
        <w:t xml:space="preserve">monthly </w:t>
      </w:r>
      <w:r w:rsidRPr="00E26767">
        <w:rPr>
          <w:shd w:val="clear" w:color="auto" w:fill="FFFFFF"/>
          <w:lang w:val="en-GB"/>
        </w:rPr>
        <w:t>available income</w:t>
      </w:r>
      <w:r w:rsidR="009712BA" w:rsidRPr="00E26767">
        <w:rPr>
          <w:shd w:val="clear" w:color="auto" w:fill="FFFFFF"/>
          <w:lang w:val="en-GB"/>
        </w:rPr>
        <w:t xml:space="preserve"> indicator</w:t>
      </w:r>
      <w:r w:rsidR="0059067C" w:rsidRPr="00E26767">
        <w:rPr>
          <w:rStyle w:val="Odwoanieprzypisudolnego"/>
          <w:shd w:val="clear" w:color="auto" w:fill="FFFFFF"/>
        </w:rPr>
        <w:footnoteReference w:id="3"/>
      </w:r>
      <w:r w:rsidRPr="00E26767">
        <w:rPr>
          <w:shd w:val="clear" w:color="auto" w:fill="FFFFFF"/>
          <w:lang w:val="en-GB"/>
        </w:rPr>
        <w:t xml:space="preserve"> among socio-economic groups </w:t>
      </w:r>
      <w:r w:rsidR="00A22B02" w:rsidRPr="00E26767">
        <w:rPr>
          <w:shd w:val="clear" w:color="auto" w:fill="FFFFFF"/>
          <w:lang w:val="en-GB"/>
        </w:rPr>
        <w:t>slightly decreased</w:t>
      </w:r>
      <w:r w:rsidRPr="00E26767">
        <w:rPr>
          <w:shd w:val="clear" w:color="auto" w:fill="FFFFFF"/>
          <w:lang w:val="en-GB"/>
        </w:rPr>
        <w:t xml:space="preserve"> to </w:t>
      </w:r>
      <w:r w:rsidR="00A22B02" w:rsidRPr="00E26767">
        <w:rPr>
          <w:shd w:val="clear" w:color="auto" w:fill="FFFFFF"/>
          <w:lang w:val="en-GB"/>
        </w:rPr>
        <w:t>42.4</w:t>
      </w:r>
      <w:r w:rsidRPr="00E26767">
        <w:rPr>
          <w:shd w:val="clear" w:color="auto" w:fill="FFFFFF"/>
          <w:lang w:val="en-GB"/>
        </w:rPr>
        <w:t xml:space="preserve"> percentage points (in 20</w:t>
      </w:r>
      <w:r w:rsidR="006C788C" w:rsidRPr="00E26767">
        <w:rPr>
          <w:shd w:val="clear" w:color="auto" w:fill="FFFFFF"/>
          <w:lang w:val="en-GB"/>
        </w:rPr>
        <w:t>2</w:t>
      </w:r>
      <w:r w:rsidR="00A22B02" w:rsidRPr="00E26767">
        <w:rPr>
          <w:shd w:val="clear" w:color="auto" w:fill="FFFFFF"/>
          <w:lang w:val="en-GB"/>
        </w:rPr>
        <w:t>3</w:t>
      </w:r>
      <w:r w:rsidRPr="00E26767">
        <w:rPr>
          <w:shd w:val="clear" w:color="auto" w:fill="FFFFFF"/>
          <w:lang w:val="en-GB"/>
        </w:rPr>
        <w:t xml:space="preserve"> – </w:t>
      </w:r>
      <w:r w:rsidR="00A22B02" w:rsidRPr="00E26767">
        <w:rPr>
          <w:shd w:val="clear" w:color="auto" w:fill="FFFFFF"/>
          <w:lang w:val="en-GB"/>
        </w:rPr>
        <w:t>43.0</w:t>
      </w:r>
      <w:r w:rsidRPr="00E26767">
        <w:rPr>
          <w:shd w:val="clear" w:color="auto" w:fill="FFFFFF"/>
          <w:lang w:val="en-GB"/>
        </w:rPr>
        <w:t xml:space="preserve"> percentage points), while </w:t>
      </w:r>
      <w:r w:rsidR="00EC1934" w:rsidRPr="00E26767">
        <w:rPr>
          <w:shd w:val="clear" w:color="auto" w:fill="FFFFFF"/>
          <w:lang w:val="en-GB"/>
        </w:rPr>
        <w:t xml:space="preserve">the </w:t>
      </w:r>
      <w:r w:rsidR="00703FDA" w:rsidRPr="00E26767">
        <w:rPr>
          <w:shd w:val="clear" w:color="auto" w:fill="FFFFFF"/>
          <w:lang w:val="en-GB"/>
        </w:rPr>
        <w:t xml:space="preserve">difference </w:t>
      </w:r>
      <w:r w:rsidR="009712BA" w:rsidRPr="00E26767">
        <w:rPr>
          <w:shd w:val="clear" w:color="auto" w:fill="FFFFFF"/>
          <w:lang w:val="en-GB"/>
        </w:rPr>
        <w:t>between</w:t>
      </w:r>
      <w:r w:rsidR="005F09AD" w:rsidRPr="00E26767">
        <w:rPr>
          <w:shd w:val="clear" w:color="auto" w:fill="FFFFFF"/>
          <w:lang w:val="en-GB"/>
        </w:rPr>
        <w:t xml:space="preserve"> </w:t>
      </w:r>
      <w:r w:rsidR="00703FDA" w:rsidRPr="00E26767">
        <w:rPr>
          <w:shd w:val="clear" w:color="auto" w:fill="FFFFFF"/>
          <w:lang w:val="en-GB"/>
        </w:rPr>
        <w:t>average monthly</w:t>
      </w:r>
      <w:r w:rsidRPr="00E26767">
        <w:rPr>
          <w:shd w:val="clear" w:color="auto" w:fill="FFFFFF"/>
          <w:lang w:val="en-GB"/>
        </w:rPr>
        <w:t xml:space="preserve"> expenditure </w:t>
      </w:r>
      <w:r w:rsidR="009712BA" w:rsidRPr="00E26767">
        <w:rPr>
          <w:shd w:val="clear" w:color="auto" w:fill="FFFFFF"/>
          <w:lang w:val="en-GB"/>
        </w:rPr>
        <w:t>indicator</w:t>
      </w:r>
      <w:r w:rsidR="00A571DC" w:rsidRPr="00E26767">
        <w:rPr>
          <w:rStyle w:val="Odwoanieprzypisudolnego"/>
          <w:shd w:val="clear" w:color="auto" w:fill="FFFFFF"/>
        </w:rPr>
        <w:footnoteReference w:id="4"/>
      </w:r>
      <w:r w:rsidR="00A571DC" w:rsidRPr="00E26767">
        <w:rPr>
          <w:shd w:val="clear" w:color="auto" w:fill="FFFFFF"/>
          <w:lang w:val="en-GB"/>
        </w:rPr>
        <w:t xml:space="preserve"> increased to</w:t>
      </w:r>
      <w:r w:rsidRPr="00E26767">
        <w:rPr>
          <w:shd w:val="clear" w:color="auto" w:fill="FFFFFF"/>
          <w:lang w:val="en-GB"/>
        </w:rPr>
        <w:t xml:space="preserve"> </w:t>
      </w:r>
      <w:r w:rsidR="00A22B02" w:rsidRPr="00E26767">
        <w:rPr>
          <w:shd w:val="clear" w:color="auto" w:fill="FFFFFF"/>
          <w:lang w:val="en-GB"/>
        </w:rPr>
        <w:t>44</w:t>
      </w:r>
      <w:r w:rsidR="00611143" w:rsidRPr="00E26767">
        <w:rPr>
          <w:shd w:val="clear" w:color="auto" w:fill="FFFFFF"/>
          <w:lang w:val="en-GB"/>
        </w:rPr>
        <w:t>.7</w:t>
      </w:r>
      <w:r w:rsidRPr="00E26767">
        <w:rPr>
          <w:shd w:val="clear" w:color="auto" w:fill="FFFFFF"/>
          <w:lang w:val="en-GB"/>
        </w:rPr>
        <w:t xml:space="preserve"> percentage points (</w:t>
      </w:r>
      <w:r w:rsidR="00814191" w:rsidRPr="00E26767">
        <w:rPr>
          <w:shd w:val="clear" w:color="auto" w:fill="FFFFFF"/>
          <w:lang w:val="en-GB"/>
        </w:rPr>
        <w:t>in 202</w:t>
      </w:r>
      <w:r w:rsidR="00A22B02" w:rsidRPr="00E26767">
        <w:rPr>
          <w:shd w:val="clear" w:color="auto" w:fill="FFFFFF"/>
          <w:lang w:val="en-GB"/>
        </w:rPr>
        <w:t>3</w:t>
      </w:r>
      <w:r w:rsidR="00814191" w:rsidRPr="00E26767">
        <w:rPr>
          <w:shd w:val="clear" w:color="auto" w:fill="FFFFFF"/>
          <w:lang w:val="en-GB"/>
        </w:rPr>
        <w:t xml:space="preserve"> – </w:t>
      </w:r>
      <w:r w:rsidR="00A22B02" w:rsidRPr="00E26767">
        <w:rPr>
          <w:shd w:val="clear" w:color="auto" w:fill="FFFFFF"/>
          <w:lang w:val="en-GB"/>
        </w:rPr>
        <w:t>37.7</w:t>
      </w:r>
      <w:r w:rsidR="00814191" w:rsidRPr="00E26767">
        <w:rPr>
          <w:shd w:val="clear" w:color="auto" w:fill="FFFFFF"/>
          <w:lang w:val="en-GB"/>
        </w:rPr>
        <w:t xml:space="preserve"> percentage points</w:t>
      </w:r>
      <w:r w:rsidRPr="00E26767">
        <w:rPr>
          <w:shd w:val="clear" w:color="auto" w:fill="FFFFFF"/>
          <w:lang w:val="en-GB"/>
        </w:rPr>
        <w:t>).</w:t>
      </w:r>
      <w:r w:rsidR="00EC1934" w:rsidRPr="00E26767">
        <w:rPr>
          <w:shd w:val="clear" w:color="auto" w:fill="FFFFFF"/>
          <w:lang w:val="en-GB"/>
        </w:rPr>
        <w:t xml:space="preserve"> </w:t>
      </w:r>
    </w:p>
    <w:p w14:paraId="7EE94DC5" w14:textId="20B1A2E2" w:rsidR="00764D9C" w:rsidRPr="00A22B02" w:rsidRDefault="00A22B02" w:rsidP="00F64E3E">
      <w:pPr>
        <w:spacing w:before="360" w:after="360" w:line="240" w:lineRule="auto"/>
        <w:jc w:val="both"/>
        <w:rPr>
          <w:i/>
          <w:shd w:val="clear" w:color="auto" w:fill="FFFFFF"/>
          <w:lang w:val="en-GB"/>
        </w:rPr>
      </w:pPr>
      <w:r>
        <w:rPr>
          <w:noProof/>
          <w:lang w:eastAsia="pl-PL"/>
        </w:rPr>
        <w:lastRenderedPageBreak/>
        <w:drawing>
          <wp:inline distT="0" distB="0" distL="0" distR="0" wp14:anchorId="59C26A3A" wp14:editId="6811DE81">
            <wp:extent cx="5122545" cy="2916000"/>
            <wp:effectExtent l="0" t="0" r="1905" b="0"/>
            <wp:docPr id="18" name="Wykres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E94DC7" w14:textId="0F038FBB" w:rsidR="005135D9" w:rsidRPr="005135D9" w:rsidRDefault="00260783" w:rsidP="00764D9C">
      <w:pPr>
        <w:rPr>
          <w:szCs w:val="19"/>
          <w:shd w:val="clear" w:color="auto" w:fill="FFFFFF"/>
          <w:lang w:val="en-GB"/>
        </w:rPr>
      </w:pPr>
      <w:r w:rsidRPr="00AD1C4D">
        <w:rPr>
          <w:rFonts w:cs="Arial"/>
          <w:bCs/>
          <w:spacing w:val="2"/>
          <w:szCs w:val="19"/>
          <w:lang w:val="en-GB"/>
        </w:rPr>
        <w:t>In 20</w:t>
      </w:r>
      <w:r>
        <w:rPr>
          <w:rFonts w:cs="Arial"/>
          <w:bCs/>
          <w:spacing w:val="2"/>
          <w:szCs w:val="19"/>
          <w:lang w:val="en-GB"/>
        </w:rPr>
        <w:t>2</w:t>
      </w:r>
      <w:r w:rsidR="00A22B02">
        <w:rPr>
          <w:rFonts w:cs="Arial"/>
          <w:bCs/>
          <w:spacing w:val="2"/>
          <w:szCs w:val="19"/>
          <w:lang w:val="en-GB"/>
        </w:rPr>
        <w:t>4</w:t>
      </w:r>
      <w:r>
        <w:rPr>
          <w:rFonts w:cs="Arial"/>
          <w:bCs/>
          <w:spacing w:val="2"/>
          <w:szCs w:val="19"/>
          <w:lang w:val="en-GB"/>
        </w:rPr>
        <w:t xml:space="preserve">, there was </w:t>
      </w:r>
      <w:r w:rsidR="002E72F5">
        <w:rPr>
          <w:rFonts w:cs="Arial"/>
          <w:bCs/>
          <w:spacing w:val="2"/>
          <w:szCs w:val="19"/>
          <w:lang w:val="en-GB"/>
        </w:rPr>
        <w:t>a growth</w:t>
      </w:r>
      <w:r>
        <w:rPr>
          <w:rFonts w:cs="Arial"/>
          <w:bCs/>
          <w:spacing w:val="2"/>
          <w:szCs w:val="19"/>
          <w:lang w:val="en-GB"/>
        </w:rPr>
        <w:t xml:space="preserve"> in</w:t>
      </w:r>
      <w:r w:rsidRPr="00AD1C4D">
        <w:rPr>
          <w:rFonts w:cs="Arial"/>
          <w:bCs/>
          <w:spacing w:val="2"/>
          <w:szCs w:val="19"/>
          <w:lang w:val="en-GB"/>
        </w:rPr>
        <w:t xml:space="preserve"> </w:t>
      </w:r>
      <w:r>
        <w:rPr>
          <w:rFonts w:cs="Arial"/>
          <w:bCs/>
          <w:spacing w:val="2"/>
          <w:szCs w:val="19"/>
          <w:lang w:val="en-GB"/>
        </w:rPr>
        <w:t xml:space="preserve">average monthly </w:t>
      </w:r>
      <w:r w:rsidRPr="00AD1C4D">
        <w:rPr>
          <w:rFonts w:cs="Arial"/>
          <w:bCs/>
          <w:spacing w:val="2"/>
          <w:szCs w:val="19"/>
          <w:lang w:val="en-GB"/>
        </w:rPr>
        <w:t xml:space="preserve">available income </w:t>
      </w:r>
      <w:r>
        <w:rPr>
          <w:rFonts w:cs="Arial"/>
          <w:bCs/>
          <w:spacing w:val="2"/>
          <w:szCs w:val="19"/>
          <w:lang w:val="en-GB"/>
        </w:rPr>
        <w:t xml:space="preserve">per capita in real terms in total – </w:t>
      </w:r>
      <w:r w:rsidRPr="00AD1C4D">
        <w:rPr>
          <w:rFonts w:cs="Arial"/>
          <w:bCs/>
          <w:spacing w:val="2"/>
          <w:szCs w:val="19"/>
          <w:lang w:val="en-GB"/>
        </w:rPr>
        <w:t xml:space="preserve">by </w:t>
      </w:r>
      <w:r w:rsidR="00A22B02">
        <w:rPr>
          <w:rFonts w:cs="Arial"/>
          <w:bCs/>
          <w:spacing w:val="2"/>
          <w:szCs w:val="19"/>
          <w:lang w:val="en-GB"/>
        </w:rPr>
        <w:t>14</w:t>
      </w:r>
      <w:r w:rsidRPr="00AD1C4D">
        <w:rPr>
          <w:rFonts w:cs="Arial"/>
          <w:bCs/>
          <w:spacing w:val="2"/>
          <w:szCs w:val="19"/>
          <w:lang w:val="en-GB"/>
        </w:rPr>
        <w:t>.</w:t>
      </w:r>
      <w:r w:rsidR="002E72F5">
        <w:rPr>
          <w:rFonts w:cs="Arial"/>
          <w:bCs/>
          <w:spacing w:val="2"/>
          <w:szCs w:val="19"/>
          <w:lang w:val="en-GB"/>
        </w:rPr>
        <w:t>1</w:t>
      </w:r>
      <w:r w:rsidRPr="00AD1C4D">
        <w:rPr>
          <w:rFonts w:cs="Arial"/>
          <w:bCs/>
          <w:spacing w:val="2"/>
          <w:szCs w:val="19"/>
          <w:lang w:val="en-GB"/>
        </w:rPr>
        <w:t>%.</w:t>
      </w:r>
      <w:r w:rsidRPr="00AD1C4D">
        <w:rPr>
          <w:rFonts w:cs="Arial"/>
          <w:spacing w:val="2"/>
          <w:szCs w:val="19"/>
          <w:lang w:val="en-GB"/>
        </w:rPr>
        <w:t xml:space="preserve"> </w:t>
      </w:r>
      <w:r w:rsidR="002E72F5">
        <w:rPr>
          <w:rFonts w:cs="Arial"/>
          <w:bCs/>
          <w:spacing w:val="2"/>
          <w:szCs w:val="19"/>
          <w:lang w:val="en-GB"/>
        </w:rPr>
        <w:t xml:space="preserve">Growth </w:t>
      </w:r>
      <w:r w:rsidR="00703FDA">
        <w:rPr>
          <w:rFonts w:cs="Arial"/>
          <w:bCs/>
          <w:spacing w:val="2"/>
          <w:szCs w:val="19"/>
          <w:lang w:val="en-GB"/>
        </w:rPr>
        <w:t>in real terms occurred in</w:t>
      </w:r>
      <w:r w:rsidR="0058057D">
        <w:rPr>
          <w:rFonts w:cs="Arial"/>
          <w:bCs/>
          <w:spacing w:val="2"/>
          <w:szCs w:val="19"/>
          <w:lang w:val="en-GB"/>
        </w:rPr>
        <w:t xml:space="preserve"> all</w:t>
      </w:r>
      <w:r w:rsidRPr="00AD1C4D">
        <w:rPr>
          <w:rFonts w:cs="Arial"/>
          <w:bCs/>
          <w:spacing w:val="2"/>
          <w:szCs w:val="19"/>
          <w:lang w:val="en-GB"/>
        </w:rPr>
        <w:t xml:space="preserve"> socio-economic groups of households</w:t>
      </w:r>
      <w:r>
        <w:rPr>
          <w:rFonts w:cs="Arial"/>
          <w:bCs/>
          <w:spacing w:val="2"/>
          <w:szCs w:val="19"/>
          <w:lang w:val="en-GB"/>
        </w:rPr>
        <w:t xml:space="preserve">, </w:t>
      </w:r>
      <w:r w:rsidR="0058057D">
        <w:rPr>
          <w:rFonts w:cs="Arial"/>
          <w:bCs/>
          <w:spacing w:val="2"/>
          <w:szCs w:val="19"/>
          <w:lang w:val="en-GB"/>
        </w:rPr>
        <w:t>among which the highest was recorded in the households</w:t>
      </w:r>
      <w:r w:rsidRPr="009A70D0">
        <w:rPr>
          <w:spacing w:val="-2"/>
          <w:shd w:val="clear" w:color="auto" w:fill="FFFFFF"/>
          <w:lang w:val="en-GB"/>
        </w:rPr>
        <w:t xml:space="preserve"> of </w:t>
      </w:r>
      <w:r w:rsidR="00A22B02">
        <w:rPr>
          <w:spacing w:val="-2"/>
          <w:shd w:val="clear" w:color="auto" w:fill="FFFFFF"/>
          <w:lang w:val="en-GB"/>
        </w:rPr>
        <w:t>farmers, and the lowest in the households of pensioners</w:t>
      </w:r>
      <w:r w:rsidR="0058057D">
        <w:rPr>
          <w:spacing w:val="-2"/>
          <w:shd w:val="clear" w:color="auto" w:fill="FFFFFF"/>
          <w:lang w:val="en-GB"/>
        </w:rPr>
        <w:t xml:space="preserve">. </w:t>
      </w:r>
    </w:p>
    <w:p w14:paraId="55713B36" w14:textId="2DDE81DC" w:rsidR="006A43C7" w:rsidRDefault="00A145FF" w:rsidP="00764D9C">
      <w:pPr>
        <w:rPr>
          <w:rFonts w:cs="Arial"/>
          <w:szCs w:val="19"/>
          <w:lang w:val="en-GB"/>
        </w:rPr>
      </w:pPr>
      <w:r>
        <w:rPr>
          <w:rFonts w:cs="Arial"/>
          <w:szCs w:val="19"/>
          <w:lang w:val="en-GB"/>
        </w:rPr>
        <w:t>Recorded</w:t>
      </w:r>
      <w:r w:rsidR="00933B31">
        <w:rPr>
          <w:rFonts w:cs="Arial"/>
          <w:szCs w:val="19"/>
          <w:lang w:val="en-GB"/>
        </w:rPr>
        <w:t xml:space="preserve"> i</w:t>
      </w:r>
      <w:r w:rsidR="006A43C7" w:rsidRPr="006A43C7">
        <w:rPr>
          <w:rFonts w:cs="Arial"/>
          <w:szCs w:val="19"/>
          <w:lang w:val="en-GB"/>
        </w:rPr>
        <w:t xml:space="preserve">n 2024, </w:t>
      </w:r>
      <w:r w:rsidR="006A43C7">
        <w:rPr>
          <w:rFonts w:cs="Arial"/>
          <w:szCs w:val="19"/>
          <w:lang w:val="en-GB"/>
        </w:rPr>
        <w:t xml:space="preserve">in </w:t>
      </w:r>
      <w:r w:rsidR="006A43C7" w:rsidRPr="006A43C7">
        <w:rPr>
          <w:rFonts w:cs="Arial"/>
          <w:szCs w:val="19"/>
          <w:lang w:val="en-GB"/>
        </w:rPr>
        <w:t>compar</w:t>
      </w:r>
      <w:r w:rsidR="006A43C7">
        <w:rPr>
          <w:rFonts w:cs="Arial"/>
          <w:szCs w:val="19"/>
          <w:lang w:val="en-GB"/>
        </w:rPr>
        <w:t>ison</w:t>
      </w:r>
      <w:r w:rsidR="006A43C7" w:rsidRPr="006A43C7">
        <w:rPr>
          <w:rFonts w:cs="Arial"/>
          <w:szCs w:val="19"/>
          <w:lang w:val="en-GB"/>
        </w:rPr>
        <w:t xml:space="preserve"> </w:t>
      </w:r>
      <w:r w:rsidR="006A43C7">
        <w:rPr>
          <w:rFonts w:cs="Arial"/>
          <w:szCs w:val="19"/>
          <w:lang w:val="en-GB"/>
        </w:rPr>
        <w:t>with</w:t>
      </w:r>
      <w:r w:rsidR="006A43C7" w:rsidRPr="006A43C7">
        <w:rPr>
          <w:rFonts w:cs="Arial"/>
          <w:szCs w:val="19"/>
          <w:lang w:val="en-GB"/>
        </w:rPr>
        <w:t xml:space="preserve"> 2023, the increase in the value of the average monthly </w:t>
      </w:r>
      <w:r w:rsidR="006A43C7">
        <w:rPr>
          <w:rFonts w:cs="Arial"/>
          <w:szCs w:val="19"/>
          <w:lang w:val="en-GB"/>
        </w:rPr>
        <w:t>available</w:t>
      </w:r>
      <w:r w:rsidR="006A43C7" w:rsidRPr="006A43C7">
        <w:rPr>
          <w:rFonts w:cs="Arial"/>
          <w:szCs w:val="19"/>
          <w:lang w:val="en-GB"/>
        </w:rPr>
        <w:t xml:space="preserve"> income per </w:t>
      </w:r>
      <w:r w:rsidR="006A43C7">
        <w:rPr>
          <w:rFonts w:cs="Arial"/>
          <w:szCs w:val="19"/>
          <w:lang w:val="en-GB"/>
        </w:rPr>
        <w:t>capita</w:t>
      </w:r>
      <w:r w:rsidR="006A43C7" w:rsidRPr="006A43C7">
        <w:rPr>
          <w:rFonts w:cs="Arial"/>
          <w:szCs w:val="19"/>
          <w:lang w:val="en-GB"/>
        </w:rPr>
        <w:t xml:space="preserve"> in households is </w:t>
      </w:r>
      <w:r>
        <w:rPr>
          <w:rFonts w:cs="Arial"/>
          <w:szCs w:val="19"/>
          <w:lang w:val="en-GB"/>
        </w:rPr>
        <w:t>related to</w:t>
      </w:r>
      <w:r w:rsidR="006A43C7" w:rsidRPr="006A43C7">
        <w:rPr>
          <w:rFonts w:cs="Arial"/>
          <w:szCs w:val="19"/>
          <w:lang w:val="en-GB"/>
        </w:rPr>
        <w:t xml:space="preserve"> a</w:t>
      </w:r>
      <w:r>
        <w:rPr>
          <w:rFonts w:cs="Arial"/>
          <w:szCs w:val="19"/>
          <w:lang w:val="en-GB"/>
        </w:rPr>
        <w:t xml:space="preserve"> higher than in the previous period </w:t>
      </w:r>
      <w:r w:rsidR="006A43C7" w:rsidRPr="006A43C7">
        <w:rPr>
          <w:rFonts w:cs="Arial"/>
          <w:szCs w:val="19"/>
          <w:lang w:val="en-GB"/>
        </w:rPr>
        <w:t xml:space="preserve">increase in average monthly </w:t>
      </w:r>
      <w:r>
        <w:rPr>
          <w:rFonts w:cs="Arial"/>
          <w:szCs w:val="19"/>
          <w:lang w:val="en-GB"/>
        </w:rPr>
        <w:t xml:space="preserve">salary (of which </w:t>
      </w:r>
      <w:r w:rsidRPr="00A145FF">
        <w:rPr>
          <w:rFonts w:cs="Arial"/>
          <w:szCs w:val="19"/>
          <w:lang w:val="en-GB"/>
        </w:rPr>
        <w:t>the increase in the minimum wage)</w:t>
      </w:r>
      <w:r>
        <w:rPr>
          <w:rFonts w:cs="Arial"/>
          <w:szCs w:val="19"/>
          <w:lang w:val="en-GB"/>
        </w:rPr>
        <w:t xml:space="preserve"> </w:t>
      </w:r>
      <w:r w:rsidR="006A43C7">
        <w:rPr>
          <w:rFonts w:cs="Arial"/>
          <w:szCs w:val="19"/>
          <w:lang w:val="en-GB"/>
        </w:rPr>
        <w:t>as well as</w:t>
      </w:r>
      <w:r w:rsidR="006A43C7" w:rsidRPr="006A43C7">
        <w:rPr>
          <w:rFonts w:cs="Arial"/>
          <w:szCs w:val="19"/>
          <w:lang w:val="en-GB"/>
        </w:rPr>
        <w:t xml:space="preserve"> </w:t>
      </w:r>
      <w:r>
        <w:rPr>
          <w:rFonts w:cs="Arial"/>
          <w:szCs w:val="19"/>
          <w:lang w:val="en-GB"/>
        </w:rPr>
        <w:t xml:space="preserve">an increase in </w:t>
      </w:r>
      <w:r w:rsidR="006A43C7" w:rsidRPr="006A43C7">
        <w:rPr>
          <w:rFonts w:cs="Arial"/>
          <w:szCs w:val="19"/>
          <w:lang w:val="en-GB"/>
        </w:rPr>
        <w:t xml:space="preserve">social and family benefits. </w:t>
      </w:r>
    </w:p>
    <w:p w14:paraId="7EE94DC8" w14:textId="011A7000" w:rsidR="00AB1889" w:rsidRDefault="00EA64F9" w:rsidP="00764D9C">
      <w:pPr>
        <w:rPr>
          <w:rFonts w:cs="Arial"/>
          <w:szCs w:val="19"/>
          <w:lang w:val="en-GB"/>
        </w:rPr>
      </w:pPr>
      <w:r>
        <w:rPr>
          <w:rFonts w:cs="Arial"/>
          <w:szCs w:val="19"/>
          <w:lang w:val="en-GB"/>
        </w:rPr>
        <w:t>T</w:t>
      </w:r>
      <w:r w:rsidR="00AB1889" w:rsidRPr="006416F7">
        <w:rPr>
          <w:rFonts w:cs="Arial"/>
          <w:szCs w:val="19"/>
          <w:lang w:val="en-GB"/>
        </w:rPr>
        <w:t>he highest share of income from the mai</w:t>
      </w:r>
      <w:r w:rsidR="00AB1889" w:rsidRPr="00690E21">
        <w:rPr>
          <w:rFonts w:cs="Arial"/>
          <w:szCs w:val="19"/>
          <w:lang w:val="en-GB"/>
        </w:rPr>
        <w:t xml:space="preserve">n </w:t>
      </w:r>
      <w:r w:rsidR="00690E21" w:rsidRPr="00690E21">
        <w:rPr>
          <w:rFonts w:cs="Arial"/>
          <w:szCs w:val="19"/>
          <w:lang w:val="en-GB"/>
        </w:rPr>
        <w:t>source of income</w:t>
      </w:r>
      <w:r w:rsidR="00AB1889" w:rsidRPr="006416F7">
        <w:rPr>
          <w:rFonts w:cs="Arial"/>
          <w:szCs w:val="19"/>
          <w:lang w:val="en-GB"/>
        </w:rPr>
        <w:t xml:space="preserve"> occurred in the households of </w:t>
      </w:r>
      <w:r>
        <w:rPr>
          <w:rFonts w:cs="Arial"/>
          <w:szCs w:val="19"/>
          <w:lang w:val="en-GB"/>
        </w:rPr>
        <w:t>employees (81.1 against 82.6% in 2023) and r</w:t>
      </w:r>
      <w:r w:rsidR="00AB1889" w:rsidRPr="006416F7">
        <w:rPr>
          <w:rFonts w:cs="Arial"/>
          <w:szCs w:val="19"/>
          <w:lang w:val="en-GB"/>
        </w:rPr>
        <w:t>etire</w:t>
      </w:r>
      <w:r w:rsidR="00C85FC0">
        <w:rPr>
          <w:rFonts w:cs="Arial"/>
          <w:szCs w:val="19"/>
          <w:lang w:val="en-GB"/>
        </w:rPr>
        <w:t>e</w:t>
      </w:r>
      <w:r w:rsidR="00AB1889" w:rsidRPr="006416F7">
        <w:rPr>
          <w:rFonts w:cs="Arial"/>
          <w:szCs w:val="19"/>
          <w:lang w:val="en-GB"/>
        </w:rPr>
        <w:t>s</w:t>
      </w:r>
      <w:r w:rsidR="00AB1889">
        <w:rPr>
          <w:rFonts w:cs="Arial"/>
          <w:szCs w:val="19"/>
          <w:lang w:val="en-GB"/>
        </w:rPr>
        <w:t xml:space="preserve"> (</w:t>
      </w:r>
      <w:r w:rsidR="002E72F5">
        <w:rPr>
          <w:rFonts w:cs="Arial"/>
          <w:szCs w:val="19"/>
          <w:lang w:val="en-GB"/>
        </w:rPr>
        <w:t>81.</w:t>
      </w:r>
      <w:r>
        <w:rPr>
          <w:rFonts w:cs="Arial"/>
          <w:szCs w:val="19"/>
          <w:lang w:val="en-GB"/>
        </w:rPr>
        <w:t>0</w:t>
      </w:r>
      <w:r w:rsidR="00AB1889" w:rsidRPr="006416F7">
        <w:rPr>
          <w:rFonts w:cs="Arial"/>
          <w:szCs w:val="19"/>
          <w:lang w:val="en-GB"/>
        </w:rPr>
        <w:t>%</w:t>
      </w:r>
      <w:r w:rsidR="002651F4">
        <w:rPr>
          <w:rFonts w:cs="Arial"/>
          <w:szCs w:val="19"/>
          <w:lang w:val="en-GB"/>
        </w:rPr>
        <w:t xml:space="preserve"> against </w:t>
      </w:r>
      <w:r w:rsidR="002E72F5">
        <w:rPr>
          <w:rFonts w:cs="Arial"/>
          <w:szCs w:val="19"/>
          <w:lang w:val="en-GB"/>
        </w:rPr>
        <w:t>81.</w:t>
      </w:r>
      <w:r>
        <w:rPr>
          <w:rFonts w:cs="Arial"/>
          <w:szCs w:val="19"/>
          <w:lang w:val="en-GB"/>
        </w:rPr>
        <w:t>6</w:t>
      </w:r>
      <w:r w:rsidR="002651F4">
        <w:rPr>
          <w:rFonts w:cs="Arial"/>
          <w:szCs w:val="19"/>
          <w:lang w:val="en-GB"/>
        </w:rPr>
        <w:t>% in 202</w:t>
      </w:r>
      <w:r>
        <w:rPr>
          <w:rFonts w:cs="Arial"/>
          <w:szCs w:val="19"/>
          <w:lang w:val="en-GB"/>
        </w:rPr>
        <w:t>3</w:t>
      </w:r>
      <w:r w:rsidR="00AB1889" w:rsidRPr="006416F7">
        <w:rPr>
          <w:rFonts w:cs="Arial"/>
          <w:szCs w:val="19"/>
          <w:lang w:val="en-GB"/>
        </w:rPr>
        <w:t>)</w:t>
      </w:r>
      <w:r>
        <w:rPr>
          <w:rFonts w:cs="Arial"/>
          <w:szCs w:val="19"/>
          <w:lang w:val="en-GB"/>
        </w:rPr>
        <w:t xml:space="preserve">, whereas </w:t>
      </w:r>
      <w:r w:rsidR="00AB1889" w:rsidRPr="006416F7">
        <w:rPr>
          <w:rFonts w:cs="Arial"/>
          <w:szCs w:val="19"/>
          <w:lang w:val="en-GB"/>
        </w:rPr>
        <w:t xml:space="preserve">the lowest </w:t>
      </w:r>
      <w:r>
        <w:rPr>
          <w:rFonts w:cs="Arial"/>
          <w:szCs w:val="19"/>
          <w:lang w:val="en-GB"/>
        </w:rPr>
        <w:t xml:space="preserve">– in the households of self-employed (66.6% against 67.2% in 2023) and </w:t>
      </w:r>
      <w:r w:rsidR="002E72F5">
        <w:rPr>
          <w:rFonts w:cs="Arial"/>
          <w:szCs w:val="19"/>
          <w:lang w:val="en-GB"/>
        </w:rPr>
        <w:t>farmers</w:t>
      </w:r>
      <w:r w:rsidR="00B12AEA" w:rsidRPr="00B12AEA">
        <w:rPr>
          <w:rFonts w:cs="Arial"/>
          <w:szCs w:val="19"/>
          <w:lang w:val="en-GB"/>
        </w:rPr>
        <w:t xml:space="preserve"> </w:t>
      </w:r>
      <w:r w:rsidR="00AB1889" w:rsidRPr="006416F7">
        <w:rPr>
          <w:rFonts w:cs="Arial"/>
          <w:szCs w:val="19"/>
          <w:lang w:val="en-GB"/>
        </w:rPr>
        <w:t>(</w:t>
      </w:r>
      <w:r>
        <w:rPr>
          <w:rFonts w:cs="Arial"/>
          <w:szCs w:val="19"/>
          <w:lang w:val="en-GB"/>
        </w:rPr>
        <w:t>69.5</w:t>
      </w:r>
      <w:r w:rsidR="00AB1889" w:rsidRPr="006416F7">
        <w:rPr>
          <w:rFonts w:cs="Arial"/>
          <w:szCs w:val="19"/>
          <w:lang w:val="en-GB"/>
        </w:rPr>
        <w:t>%</w:t>
      </w:r>
      <w:r w:rsidR="002651F4">
        <w:rPr>
          <w:rFonts w:cs="Arial"/>
          <w:szCs w:val="19"/>
          <w:lang w:val="en-GB"/>
        </w:rPr>
        <w:t xml:space="preserve"> against </w:t>
      </w:r>
      <w:r>
        <w:rPr>
          <w:rFonts w:cs="Arial"/>
          <w:szCs w:val="19"/>
          <w:lang w:val="en-GB"/>
        </w:rPr>
        <w:t>66.3</w:t>
      </w:r>
      <w:r w:rsidR="002651F4">
        <w:rPr>
          <w:rFonts w:cs="Arial"/>
          <w:szCs w:val="19"/>
          <w:lang w:val="en-GB"/>
        </w:rPr>
        <w:t>% in 202</w:t>
      </w:r>
      <w:r>
        <w:rPr>
          <w:rFonts w:cs="Arial"/>
          <w:szCs w:val="19"/>
          <w:lang w:val="en-GB"/>
        </w:rPr>
        <w:t>3</w:t>
      </w:r>
      <w:r w:rsidR="00AB1889" w:rsidRPr="006416F7">
        <w:rPr>
          <w:rFonts w:cs="Arial"/>
          <w:szCs w:val="19"/>
          <w:lang w:val="en-GB"/>
        </w:rPr>
        <w:t>).</w:t>
      </w:r>
    </w:p>
    <w:p w14:paraId="6CC881B8" w14:textId="0DC8696A" w:rsidR="00A145FF" w:rsidRDefault="00A145FF" w:rsidP="00A145FF">
      <w:pPr>
        <w:rPr>
          <w:rFonts w:cs="Arial"/>
          <w:szCs w:val="19"/>
          <w:lang w:val="en-GB"/>
        </w:rPr>
      </w:pPr>
      <w:r>
        <w:rPr>
          <w:rFonts w:cs="Arial"/>
          <w:szCs w:val="19"/>
          <w:lang w:val="en-GB"/>
        </w:rPr>
        <w:t>In 2024 in the structure of the households’ total income, similarly to the previous years, income from hired work (54.7% against 55.7% in 2023) as well as income from social security benefits (23.7% against 24.4% in 2023)</w:t>
      </w:r>
      <w:r w:rsidRPr="002E72F5">
        <w:rPr>
          <w:rFonts w:cs="Arial"/>
          <w:szCs w:val="19"/>
          <w:lang w:val="en-GB"/>
        </w:rPr>
        <w:t xml:space="preserve"> </w:t>
      </w:r>
      <w:r>
        <w:rPr>
          <w:rFonts w:cs="Arial"/>
          <w:szCs w:val="19"/>
          <w:lang w:val="en-GB"/>
        </w:rPr>
        <w:t>dominated.</w:t>
      </w:r>
    </w:p>
    <w:p w14:paraId="7EE94DCB" w14:textId="38C29368" w:rsidR="00764D9C" w:rsidRDefault="00321C28" w:rsidP="00F64E3E">
      <w:pPr>
        <w:spacing w:before="360" w:after="360" w:line="240" w:lineRule="auto"/>
        <w:rPr>
          <w:b/>
          <w:i/>
          <w:spacing w:val="-2"/>
          <w:sz w:val="18"/>
          <w:shd w:val="clear" w:color="auto" w:fill="FFFFFF"/>
        </w:rPr>
      </w:pPr>
      <w:r>
        <w:rPr>
          <w:noProof/>
          <w:lang w:eastAsia="pl-PL"/>
        </w:rPr>
        <w:drawing>
          <wp:inline distT="0" distB="0" distL="0" distR="0" wp14:anchorId="1B9DC46A" wp14:editId="6B39B364">
            <wp:extent cx="5122545" cy="3348000"/>
            <wp:effectExtent l="0" t="0" r="1905" b="5080"/>
            <wp:docPr id="15" name="Wykres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00000000-0008-0000-0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D505F7" w14:textId="644524FC" w:rsidR="00EA64F9" w:rsidRPr="00DE5CEF" w:rsidRDefault="00EA64F9" w:rsidP="00EA64F9">
      <w:pPr>
        <w:spacing w:before="0"/>
        <w:rPr>
          <w:spacing w:val="-2"/>
          <w:szCs w:val="19"/>
          <w:shd w:val="clear" w:color="auto" w:fill="FFFFFF"/>
          <w:lang w:val="en-GB"/>
        </w:rPr>
      </w:pPr>
      <w:r w:rsidRPr="00DE5CEF">
        <w:rPr>
          <w:rFonts w:cs="Arial"/>
          <w:spacing w:val="-2"/>
          <w:szCs w:val="19"/>
          <w:lang w:val="en-GB"/>
        </w:rPr>
        <w:lastRenderedPageBreak/>
        <w:t>In 202</w:t>
      </w:r>
      <w:r>
        <w:rPr>
          <w:rFonts w:cs="Arial"/>
          <w:spacing w:val="-2"/>
          <w:szCs w:val="19"/>
          <w:lang w:val="en-GB"/>
        </w:rPr>
        <w:t>4</w:t>
      </w:r>
      <w:r w:rsidRPr="00DE5CEF">
        <w:rPr>
          <w:rFonts w:cs="Arial"/>
          <w:spacing w:val="-2"/>
          <w:szCs w:val="19"/>
          <w:lang w:val="en-GB"/>
        </w:rPr>
        <w:t>, in comparison with 202</w:t>
      </w:r>
      <w:r>
        <w:rPr>
          <w:rFonts w:cs="Arial"/>
          <w:spacing w:val="-2"/>
          <w:szCs w:val="19"/>
          <w:lang w:val="en-GB"/>
        </w:rPr>
        <w:t>3</w:t>
      </w:r>
      <w:r w:rsidRPr="00DE5CEF">
        <w:rPr>
          <w:rFonts w:cs="Arial"/>
          <w:spacing w:val="-2"/>
          <w:szCs w:val="19"/>
          <w:lang w:val="en-GB"/>
        </w:rPr>
        <w:t>, differences in the structure of the average monthly available income per capita in households ranged from -</w:t>
      </w:r>
      <w:r>
        <w:rPr>
          <w:rFonts w:cs="Arial"/>
          <w:spacing w:val="-2"/>
          <w:szCs w:val="19"/>
          <w:lang w:val="en-GB"/>
        </w:rPr>
        <w:t>1.0</w:t>
      </w:r>
      <w:r w:rsidRPr="00DE5CEF">
        <w:rPr>
          <w:rFonts w:cs="Arial"/>
          <w:spacing w:val="-2"/>
          <w:szCs w:val="19"/>
          <w:lang w:val="en-GB"/>
        </w:rPr>
        <w:t xml:space="preserve"> percentage points in the case of income from </w:t>
      </w:r>
      <w:r w:rsidR="00991980">
        <w:rPr>
          <w:rFonts w:cs="Arial"/>
          <w:spacing w:val="-2"/>
          <w:szCs w:val="19"/>
          <w:lang w:val="en-GB"/>
        </w:rPr>
        <w:t>hired work</w:t>
      </w:r>
      <w:r w:rsidRPr="00DE5CEF">
        <w:rPr>
          <w:rFonts w:cs="Arial"/>
          <w:spacing w:val="-2"/>
          <w:szCs w:val="19"/>
          <w:lang w:val="en-GB"/>
        </w:rPr>
        <w:t xml:space="preserve"> to +</w:t>
      </w:r>
      <w:r>
        <w:rPr>
          <w:rFonts w:cs="Arial"/>
          <w:spacing w:val="-2"/>
          <w:szCs w:val="19"/>
          <w:lang w:val="en-GB"/>
        </w:rPr>
        <w:t>1.2</w:t>
      </w:r>
      <w:r w:rsidRPr="00DE5CEF">
        <w:rPr>
          <w:rFonts w:cs="Arial"/>
          <w:spacing w:val="-2"/>
          <w:szCs w:val="19"/>
          <w:lang w:val="en-GB"/>
        </w:rPr>
        <w:t xml:space="preserve"> percentage points for income from other social benefits.</w:t>
      </w:r>
    </w:p>
    <w:p w14:paraId="46A14C1D" w14:textId="1091E56A" w:rsidR="00991980" w:rsidRDefault="00A57435" w:rsidP="00762990">
      <w:pPr>
        <w:rPr>
          <w:rFonts w:cs="Arial"/>
          <w:szCs w:val="19"/>
          <w:lang w:val="en-GB"/>
        </w:rPr>
      </w:pPr>
      <w:r>
        <w:rPr>
          <w:rFonts w:cs="Arial"/>
          <w:szCs w:val="19"/>
          <w:lang w:val="en-GB"/>
        </w:rPr>
        <w:t xml:space="preserve">The diversity of income per capita in households, </w:t>
      </w:r>
      <w:r w:rsidRPr="00CC5F3B">
        <w:rPr>
          <w:rFonts w:cs="Arial"/>
          <w:szCs w:val="19"/>
          <w:lang w:val="en-GB"/>
        </w:rPr>
        <w:t>measured by the Gini coefficient</w:t>
      </w:r>
      <w:r>
        <w:rPr>
          <w:rFonts w:cs="Arial"/>
          <w:szCs w:val="19"/>
          <w:lang w:val="en-GB"/>
        </w:rPr>
        <w:t>, after a</w:t>
      </w:r>
      <w:r w:rsidR="009441E7">
        <w:rPr>
          <w:rFonts w:cs="Arial"/>
          <w:szCs w:val="19"/>
          <w:lang w:val="en-GB"/>
        </w:rPr>
        <w:t> </w:t>
      </w:r>
      <w:r>
        <w:rPr>
          <w:rFonts w:cs="Arial"/>
          <w:szCs w:val="19"/>
          <w:lang w:val="en-GB"/>
        </w:rPr>
        <w:t>period of decline</w:t>
      </w:r>
      <w:r w:rsidR="00384D18">
        <w:rPr>
          <w:rFonts w:cs="Arial"/>
          <w:szCs w:val="19"/>
          <w:lang w:val="en-GB"/>
        </w:rPr>
        <w:t xml:space="preserve"> in 2014-2017 and temporary stabilisation</w:t>
      </w:r>
      <w:r w:rsidR="00B85578">
        <w:rPr>
          <w:rFonts w:cs="Arial"/>
          <w:szCs w:val="19"/>
          <w:lang w:val="en-GB"/>
        </w:rPr>
        <w:t>,</w:t>
      </w:r>
      <w:r w:rsidR="00384D18">
        <w:rPr>
          <w:rFonts w:cs="Arial"/>
          <w:szCs w:val="19"/>
          <w:lang w:val="en-GB"/>
        </w:rPr>
        <w:t xml:space="preserve"> </w:t>
      </w:r>
      <w:r w:rsidR="00B85578">
        <w:rPr>
          <w:rFonts w:cs="Arial"/>
          <w:szCs w:val="19"/>
          <w:lang w:val="en-GB"/>
        </w:rPr>
        <w:t>increase</w:t>
      </w:r>
      <w:r w:rsidR="00142571">
        <w:rPr>
          <w:rFonts w:cs="Arial"/>
          <w:szCs w:val="19"/>
          <w:lang w:val="en-GB"/>
        </w:rPr>
        <w:t>d</w:t>
      </w:r>
      <w:r w:rsidR="008B073D">
        <w:rPr>
          <w:rFonts w:cs="Arial"/>
          <w:szCs w:val="19"/>
          <w:lang w:val="en-GB"/>
        </w:rPr>
        <w:t xml:space="preserve"> i</w:t>
      </w:r>
      <w:r w:rsidR="00142571">
        <w:rPr>
          <w:rFonts w:cs="Arial"/>
          <w:szCs w:val="19"/>
          <w:lang w:val="en-GB"/>
        </w:rPr>
        <w:t xml:space="preserve">n </w:t>
      </w:r>
      <w:r w:rsidR="008B073D">
        <w:rPr>
          <w:rFonts w:cs="Arial"/>
          <w:szCs w:val="19"/>
          <w:lang w:val="en-GB"/>
        </w:rPr>
        <w:t>2020 and 2021, in 2022</w:t>
      </w:r>
      <w:r w:rsidR="002E72F5">
        <w:rPr>
          <w:rFonts w:cs="Arial"/>
          <w:szCs w:val="19"/>
          <w:lang w:val="en-GB"/>
        </w:rPr>
        <w:t>-2023</w:t>
      </w:r>
      <w:r w:rsidR="008B073D">
        <w:rPr>
          <w:rFonts w:cs="Arial"/>
          <w:szCs w:val="19"/>
          <w:lang w:val="en-GB"/>
        </w:rPr>
        <w:t xml:space="preserve"> </w:t>
      </w:r>
      <w:bookmarkStart w:id="2" w:name="_Hlk165980615"/>
      <w:r w:rsidR="002E72F5">
        <w:rPr>
          <w:rFonts w:cs="Arial"/>
          <w:szCs w:val="19"/>
          <w:lang w:val="en-GB"/>
        </w:rPr>
        <w:t>remained at</w:t>
      </w:r>
      <w:r w:rsidR="008B073D">
        <w:rPr>
          <w:rFonts w:cs="Arial"/>
          <w:szCs w:val="19"/>
          <w:lang w:val="en-GB"/>
        </w:rPr>
        <w:t xml:space="preserve"> the level of 0.314,</w:t>
      </w:r>
      <w:r w:rsidR="00991980">
        <w:rPr>
          <w:rFonts w:cs="Arial"/>
          <w:szCs w:val="19"/>
          <w:lang w:val="en-GB"/>
        </w:rPr>
        <w:t xml:space="preserve"> and in 2024 </w:t>
      </w:r>
      <w:r w:rsidR="00FA6CAB">
        <w:rPr>
          <w:rFonts w:cs="Arial"/>
          <w:szCs w:val="19"/>
          <w:lang w:val="en-GB"/>
        </w:rPr>
        <w:t>de</w:t>
      </w:r>
      <w:r w:rsidR="00991980">
        <w:rPr>
          <w:rFonts w:cs="Arial"/>
          <w:szCs w:val="19"/>
          <w:lang w:val="en-GB"/>
        </w:rPr>
        <w:t>creased to the level of 0.300</w:t>
      </w:r>
      <w:bookmarkEnd w:id="2"/>
      <w:r w:rsidR="008B073D">
        <w:rPr>
          <w:rFonts w:cs="Arial"/>
          <w:szCs w:val="19"/>
          <w:lang w:val="en-GB"/>
        </w:rPr>
        <w:t xml:space="preserve">. </w:t>
      </w:r>
      <w:r w:rsidR="00B86D16">
        <w:rPr>
          <w:rFonts w:cs="Arial"/>
          <w:szCs w:val="19"/>
          <w:lang w:val="en-GB"/>
        </w:rPr>
        <w:t xml:space="preserve">The dynamics </w:t>
      </w:r>
      <w:r w:rsidR="008B073D" w:rsidRPr="008B073D">
        <w:rPr>
          <w:rFonts w:cs="Arial"/>
          <w:szCs w:val="19"/>
          <w:lang w:val="en-GB"/>
        </w:rPr>
        <w:t>of the Gini coefficient for</w:t>
      </w:r>
      <w:r w:rsidR="00B86D16">
        <w:rPr>
          <w:rFonts w:cs="Arial"/>
          <w:szCs w:val="19"/>
          <w:lang w:val="en-GB"/>
        </w:rPr>
        <w:t xml:space="preserve"> both</w:t>
      </w:r>
      <w:r w:rsidR="008B073D" w:rsidRPr="008B073D">
        <w:rPr>
          <w:rFonts w:cs="Arial"/>
          <w:szCs w:val="19"/>
          <w:lang w:val="en-GB"/>
        </w:rPr>
        <w:t xml:space="preserve"> </w:t>
      </w:r>
      <w:r w:rsidR="008B073D">
        <w:rPr>
          <w:rFonts w:cs="Arial"/>
          <w:szCs w:val="19"/>
          <w:lang w:val="en-GB"/>
        </w:rPr>
        <w:t xml:space="preserve">urban </w:t>
      </w:r>
      <w:r w:rsidR="00B86D16">
        <w:rPr>
          <w:rFonts w:cs="Arial"/>
          <w:szCs w:val="19"/>
          <w:lang w:val="en-GB"/>
        </w:rPr>
        <w:t xml:space="preserve">and rural </w:t>
      </w:r>
      <w:r w:rsidR="008B073D">
        <w:rPr>
          <w:rFonts w:cs="Arial"/>
          <w:szCs w:val="19"/>
          <w:lang w:val="en-GB"/>
        </w:rPr>
        <w:t>areas</w:t>
      </w:r>
      <w:r w:rsidR="008B073D" w:rsidRPr="008B073D">
        <w:rPr>
          <w:rFonts w:cs="Arial"/>
          <w:szCs w:val="19"/>
          <w:lang w:val="en-GB"/>
        </w:rPr>
        <w:t xml:space="preserve"> was similar to the average </w:t>
      </w:r>
      <w:r w:rsidR="00B86D16">
        <w:rPr>
          <w:rFonts w:cs="Arial"/>
          <w:szCs w:val="19"/>
          <w:lang w:val="en-GB"/>
        </w:rPr>
        <w:t xml:space="preserve">dynamics </w:t>
      </w:r>
      <w:r w:rsidR="008B073D">
        <w:rPr>
          <w:rFonts w:cs="Arial"/>
          <w:szCs w:val="19"/>
          <w:lang w:val="en-GB"/>
        </w:rPr>
        <w:t>noted</w:t>
      </w:r>
      <w:r w:rsidR="008B073D" w:rsidRPr="008B073D">
        <w:rPr>
          <w:rFonts w:cs="Arial"/>
          <w:szCs w:val="19"/>
          <w:lang w:val="en-GB"/>
        </w:rPr>
        <w:t xml:space="preserve"> in the country</w:t>
      </w:r>
      <w:r w:rsidR="00284CA8">
        <w:rPr>
          <w:rFonts w:cs="Arial"/>
          <w:szCs w:val="19"/>
          <w:lang w:val="en-GB"/>
        </w:rPr>
        <w:t>.</w:t>
      </w:r>
      <w:r w:rsidR="008B073D" w:rsidRPr="008B073D">
        <w:rPr>
          <w:rFonts w:cs="Arial"/>
          <w:szCs w:val="19"/>
          <w:lang w:val="en-GB"/>
        </w:rPr>
        <w:t xml:space="preserve"> </w:t>
      </w:r>
      <w:r w:rsidR="00284CA8">
        <w:rPr>
          <w:rFonts w:cs="Arial"/>
          <w:szCs w:val="19"/>
          <w:lang w:val="en-GB"/>
        </w:rPr>
        <w:t>I</w:t>
      </w:r>
      <w:r w:rsidR="008B073D" w:rsidRPr="008B073D">
        <w:rPr>
          <w:rFonts w:cs="Arial"/>
          <w:szCs w:val="19"/>
          <w:lang w:val="en-GB"/>
        </w:rPr>
        <w:t xml:space="preserve">n the case of </w:t>
      </w:r>
      <w:r w:rsidR="008B073D" w:rsidRPr="008B073D">
        <w:rPr>
          <w:rFonts w:cs="Arial"/>
          <w:szCs w:val="19"/>
          <w:lang w:val="en-GB"/>
        </w:rPr>
        <w:t>rural areas</w:t>
      </w:r>
      <w:r w:rsidR="00284CA8">
        <w:rPr>
          <w:rFonts w:cs="Arial"/>
          <w:szCs w:val="19"/>
          <w:lang w:val="en-GB"/>
        </w:rPr>
        <w:t>,</w:t>
      </w:r>
      <w:r w:rsidR="008B073D" w:rsidRPr="008B073D">
        <w:rPr>
          <w:rFonts w:cs="Arial"/>
          <w:szCs w:val="19"/>
          <w:lang w:val="en-GB"/>
        </w:rPr>
        <w:t xml:space="preserve"> </w:t>
      </w:r>
      <w:r w:rsidR="00991980">
        <w:rPr>
          <w:rFonts w:cs="Arial"/>
          <w:szCs w:val="19"/>
          <w:lang w:val="en-GB"/>
        </w:rPr>
        <w:t xml:space="preserve">in 2024 the Gini coefficient decreased to the level of 0.292, which for the first time was the value lower than the Gini coefficient </w:t>
      </w:r>
      <w:r w:rsidR="00B86D16">
        <w:rPr>
          <w:rFonts w:cs="Arial"/>
          <w:szCs w:val="19"/>
          <w:lang w:val="en-GB"/>
        </w:rPr>
        <w:t xml:space="preserve">value </w:t>
      </w:r>
      <w:r w:rsidR="00991980">
        <w:rPr>
          <w:rFonts w:cs="Arial"/>
          <w:szCs w:val="19"/>
          <w:lang w:val="en-GB"/>
        </w:rPr>
        <w:t>for urban areas, where it was 0.296.</w:t>
      </w:r>
    </w:p>
    <w:p w14:paraId="7EE94E56" w14:textId="51AA8FC3" w:rsidR="00764D9C" w:rsidRPr="003E2BEB" w:rsidRDefault="00F64E3E" w:rsidP="00F64E3E">
      <w:pPr>
        <w:spacing w:before="360" w:after="360" w:line="240" w:lineRule="auto"/>
        <w:rPr>
          <w:b/>
          <w:i/>
          <w:spacing w:val="-2"/>
          <w:sz w:val="18"/>
          <w:shd w:val="clear" w:color="auto" w:fill="FFFFFF"/>
          <w:lang w:val="en-GB"/>
        </w:rPr>
      </w:pPr>
      <w:r>
        <w:rPr>
          <w:i/>
          <w:noProof/>
          <w:lang w:eastAsia="pl-PL"/>
        </w:rPr>
        <mc:AlternateContent>
          <mc:Choice Requires="wps">
            <w:drawing>
              <wp:anchor distT="45720" distB="45720" distL="114300" distR="114300" simplePos="0" relativeHeight="251838464" behindDoc="1" locked="0" layoutInCell="1" allowOverlap="1" wp14:anchorId="7EE94FA8" wp14:editId="37F285E7">
                <wp:simplePos x="0" y="0"/>
                <wp:positionH relativeFrom="column">
                  <wp:posOffset>5212080</wp:posOffset>
                </wp:positionH>
                <wp:positionV relativeFrom="paragraph">
                  <wp:posOffset>3861435</wp:posOffset>
                </wp:positionV>
                <wp:extent cx="1725295" cy="1801495"/>
                <wp:effectExtent l="0" t="0" r="0" b="0"/>
                <wp:wrapTight wrapText="bothSides">
                  <wp:wrapPolygon edited="0">
                    <wp:start x="715" y="0"/>
                    <wp:lineTo x="715" y="21242"/>
                    <wp:lineTo x="20749" y="21242"/>
                    <wp:lineTo x="20749" y="0"/>
                    <wp:lineTo x="715" y="0"/>
                  </wp:wrapPolygon>
                </wp:wrapTight>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01495"/>
                        </a:xfrm>
                        <a:prstGeom prst="rect">
                          <a:avLst/>
                        </a:prstGeom>
                        <a:noFill/>
                        <a:ln w="9525">
                          <a:noFill/>
                          <a:miter lim="800000"/>
                          <a:headEnd/>
                          <a:tailEnd/>
                        </a:ln>
                      </wps:spPr>
                      <wps:txbx>
                        <w:txbxContent>
                          <w:p w14:paraId="7EE95014" w14:textId="31C77ECE" w:rsidR="00882B10" w:rsidRPr="00A13CB9" w:rsidRDefault="00882B10" w:rsidP="00976CCF">
                            <w:pPr>
                              <w:pStyle w:val="tekstzboku"/>
                              <w:rPr>
                                <w:lang w:val="en-GB"/>
                              </w:rPr>
                            </w:pPr>
                            <w:r w:rsidRPr="000266A3">
                              <w:rPr>
                                <w:lang w:val="en-GB"/>
                              </w:rPr>
                              <w:t xml:space="preserve">The percentage of households with income below PLN 2000 per </w:t>
                            </w:r>
                            <w:r>
                              <w:rPr>
                                <w:lang w:val="en-GB"/>
                              </w:rPr>
                              <w:t>capita</w:t>
                            </w:r>
                            <w:r w:rsidRPr="000266A3">
                              <w:rPr>
                                <w:lang w:val="en-GB"/>
                              </w:rPr>
                              <w:t xml:space="preserve"> decreased to </w:t>
                            </w:r>
                            <w:r>
                              <w:rPr>
                                <w:lang w:val="en-GB"/>
                              </w:rPr>
                              <w:t>18.9</w:t>
                            </w:r>
                            <w:r w:rsidRPr="000266A3">
                              <w:rPr>
                                <w:lang w:val="en-GB"/>
                              </w:rPr>
                              <w:t xml:space="preserve">% </w:t>
                            </w:r>
                            <w:r>
                              <w:rPr>
                                <w:lang w:val="en-GB"/>
                              </w:rPr>
                              <w:t>(by 10.4 percentage points)</w:t>
                            </w:r>
                            <w:r w:rsidR="006D670B">
                              <w:rPr>
                                <w:lang w:val="en-GB"/>
                              </w:rPr>
                              <w:t>.</w:t>
                            </w:r>
                            <w:r>
                              <w:rPr>
                                <w:lang w:val="en-GB"/>
                              </w:rPr>
                              <w:t xml:space="preserve"> </w:t>
                            </w:r>
                            <w:r w:rsidR="006D670B">
                              <w:rPr>
                                <w:lang w:val="en-GB"/>
                              </w:rPr>
                              <w:t>T</w:t>
                            </w:r>
                            <w:r w:rsidRPr="000266A3">
                              <w:rPr>
                                <w:lang w:val="en-GB"/>
                              </w:rPr>
                              <w:t xml:space="preserve">he percentage of households with income above PLN 6000 per </w:t>
                            </w:r>
                            <w:r>
                              <w:rPr>
                                <w:lang w:val="en-GB"/>
                              </w:rPr>
                              <w:t>capita</w:t>
                            </w:r>
                            <w:r w:rsidRPr="000266A3">
                              <w:rPr>
                                <w:lang w:val="en-GB"/>
                              </w:rPr>
                              <w:t xml:space="preserve"> increased to </w:t>
                            </w:r>
                            <w:r>
                              <w:rPr>
                                <w:lang w:val="en-GB"/>
                              </w:rPr>
                              <w:t>8.6</w:t>
                            </w:r>
                            <w:r w:rsidRPr="000266A3">
                              <w:rPr>
                                <w:lang w:val="en-GB"/>
                              </w:rPr>
                              <w:t>%</w:t>
                            </w:r>
                            <w:r>
                              <w:rPr>
                                <w:lang w:val="en-GB"/>
                              </w:rPr>
                              <w:t xml:space="preserve"> (by 3.1 percentage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A8" id="Pole tekstowe 10" o:spid="_x0000_s1030" type="#_x0000_t202" style="position:absolute;margin-left:410.4pt;margin-top:304.05pt;width:135.85pt;height:141.85pt;z-index:-25147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" filled="f" stroked="f">
                <v:textbox>
                  <w:txbxContent>
                    <w:p w14:paraId="7EE95014" w14:textId="31C77ECE" w:rsidR="00882B10" w:rsidRPr="00A13CB9" w:rsidRDefault="00882B10" w:rsidP="00976CCF">
                      <w:pPr>
                        <w:pStyle w:val="tekstzboku"/>
                        <w:rPr>
                          <w:lang w:val="en-GB"/>
                        </w:rPr>
                      </w:pPr>
                      <w:r w:rsidRPr="000266A3">
                        <w:rPr>
                          <w:lang w:val="en-GB"/>
                        </w:rPr>
                        <w:t xml:space="preserve">The percentage of households with income below PLN 2000 per </w:t>
                      </w:r>
                      <w:r>
                        <w:rPr>
                          <w:lang w:val="en-GB"/>
                        </w:rPr>
                        <w:t>capita</w:t>
                      </w:r>
                      <w:r w:rsidRPr="000266A3">
                        <w:rPr>
                          <w:lang w:val="en-GB"/>
                        </w:rPr>
                        <w:t xml:space="preserve"> decreased to </w:t>
                      </w:r>
                      <w:r>
                        <w:rPr>
                          <w:lang w:val="en-GB"/>
                        </w:rPr>
                        <w:t>18.9</w:t>
                      </w:r>
                      <w:r w:rsidRPr="000266A3">
                        <w:rPr>
                          <w:lang w:val="en-GB"/>
                        </w:rPr>
                        <w:t xml:space="preserve">% </w:t>
                      </w:r>
                      <w:r>
                        <w:rPr>
                          <w:lang w:val="en-GB"/>
                        </w:rPr>
                        <w:t>(by 10.4 percentage points)</w:t>
                      </w:r>
                      <w:r w:rsidR="006D670B">
                        <w:rPr>
                          <w:lang w:val="en-GB"/>
                        </w:rPr>
                        <w:t>.</w:t>
                      </w:r>
                      <w:r>
                        <w:rPr>
                          <w:lang w:val="en-GB"/>
                        </w:rPr>
                        <w:t xml:space="preserve"> </w:t>
                      </w:r>
                      <w:r w:rsidR="006D670B">
                        <w:rPr>
                          <w:lang w:val="en-GB"/>
                        </w:rPr>
                        <w:t>T</w:t>
                      </w:r>
                      <w:r w:rsidRPr="000266A3">
                        <w:rPr>
                          <w:lang w:val="en-GB"/>
                        </w:rPr>
                        <w:t xml:space="preserve">he percentage of households with income above PLN 6000 per </w:t>
                      </w:r>
                      <w:r>
                        <w:rPr>
                          <w:lang w:val="en-GB"/>
                        </w:rPr>
                        <w:t>capita</w:t>
                      </w:r>
                      <w:r w:rsidRPr="000266A3">
                        <w:rPr>
                          <w:lang w:val="en-GB"/>
                        </w:rPr>
                        <w:t xml:space="preserve"> increased to </w:t>
                      </w:r>
                      <w:r>
                        <w:rPr>
                          <w:lang w:val="en-GB"/>
                        </w:rPr>
                        <w:t>8.6</w:t>
                      </w:r>
                      <w:r w:rsidRPr="000266A3">
                        <w:rPr>
                          <w:lang w:val="en-GB"/>
                        </w:rPr>
                        <w:t>%</w:t>
                      </w:r>
                      <w:r>
                        <w:rPr>
                          <w:lang w:val="en-GB"/>
                        </w:rPr>
                        <w:t xml:space="preserve"> (by 3.1 percentage points)</w:t>
                      </w:r>
                    </w:p>
                  </w:txbxContent>
                </v:textbox>
                <w10:wrap type="tight"/>
              </v:shape>
            </w:pict>
          </mc:Fallback>
        </mc:AlternateContent>
      </w:r>
      <w:r w:rsidR="00284CA8">
        <w:rPr>
          <w:i/>
          <w:noProof/>
          <w:lang w:eastAsia="pl-PL"/>
        </w:rPr>
        <mc:AlternateContent>
          <mc:Choice Requires="wps">
            <w:drawing>
              <wp:anchor distT="45720" distB="45720" distL="114300" distR="114300" simplePos="0" relativeHeight="251802624" behindDoc="1" locked="0" layoutInCell="1" allowOverlap="1" wp14:anchorId="7EE94FA4" wp14:editId="5AF4B960">
                <wp:simplePos x="0" y="0"/>
                <wp:positionH relativeFrom="column">
                  <wp:posOffset>5203825</wp:posOffset>
                </wp:positionH>
                <wp:positionV relativeFrom="paragraph">
                  <wp:posOffset>1239520</wp:posOffset>
                </wp:positionV>
                <wp:extent cx="1725295" cy="1608455"/>
                <wp:effectExtent l="0" t="0" r="0" b="0"/>
                <wp:wrapTight wrapText="bothSides">
                  <wp:wrapPolygon edited="0">
                    <wp:start x="715" y="0"/>
                    <wp:lineTo x="715" y="21233"/>
                    <wp:lineTo x="20749" y="21233"/>
                    <wp:lineTo x="20749" y="0"/>
                    <wp:lineTo x="715" y="0"/>
                  </wp:wrapPolygon>
                </wp:wrapTight>
                <wp:docPr id="220" name="Pole tekstowe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08455"/>
                        </a:xfrm>
                        <a:prstGeom prst="rect">
                          <a:avLst/>
                        </a:prstGeom>
                        <a:noFill/>
                        <a:ln w="9525">
                          <a:noFill/>
                          <a:miter lim="800000"/>
                          <a:headEnd/>
                          <a:tailEnd/>
                        </a:ln>
                      </wps:spPr>
                      <wps:txbx>
                        <w:txbxContent>
                          <w:p w14:paraId="7EE95013" w14:textId="5DCE3E1D" w:rsidR="00882B10" w:rsidRPr="00073D9C" w:rsidRDefault="00882B10" w:rsidP="008235B1">
                            <w:pPr>
                              <w:pStyle w:val="tekstzboku"/>
                              <w:rPr>
                                <w:lang w:val="en-GB"/>
                              </w:rPr>
                            </w:pPr>
                            <w:r>
                              <w:rPr>
                                <w:lang w:val="en-GB"/>
                              </w:rPr>
                              <w:t>T</w:t>
                            </w:r>
                            <w:r w:rsidRPr="00991980">
                              <w:rPr>
                                <w:lang w:val="en-GB"/>
                              </w:rPr>
                              <w:t xml:space="preserve">he Gini coefficient </w:t>
                            </w:r>
                            <w:r>
                              <w:rPr>
                                <w:lang w:val="en-GB"/>
                              </w:rPr>
                              <w:t xml:space="preserve">in </w:t>
                            </w:r>
                            <w:r w:rsidRPr="00991980">
                              <w:rPr>
                                <w:lang w:val="en-GB"/>
                              </w:rPr>
                              <w:t xml:space="preserve">rural areas decreased in 2024 to the level of 0.292, which for the first time was the value lower than the Gini coefficient for </w:t>
                            </w:r>
                            <w:r w:rsidR="00100AFA">
                              <w:rPr>
                                <w:lang w:val="en-GB"/>
                              </w:rPr>
                              <w:t>urban areas, where it was 0.296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E94FA4" id="_x0000_t202" coordsize="21600,21600" o:spt="202" path="m,l,21600r21600,l21600,xe">
                <v:stroke joinstyle="miter"/>
                <v:path gradientshapeok="t" o:connecttype="rect"/>
              </v:shapetype>
              <v:shape id="Pole tekstowe 220" o:spid="_x0000_s1031" type="#_x0000_t202" style="position:absolute;margin-left:409.75pt;margin-top:97.6pt;width:135.85pt;height:126.65pt;z-index:-25151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" filled="f" stroked="f">
                <v:textbox>
                  <w:txbxContent>
                    <w:p w14:paraId="7EE95013" w14:textId="5DCE3E1D" w:rsidR="00882B10" w:rsidRPr="00073D9C" w:rsidRDefault="00882B10" w:rsidP="008235B1">
                      <w:pPr>
                        <w:pStyle w:val="tekstzboku"/>
                        <w:rPr>
                          <w:lang w:val="en-GB"/>
                        </w:rPr>
                      </w:pPr>
                      <w:r>
                        <w:rPr>
                          <w:lang w:val="en-GB"/>
                        </w:rPr>
                        <w:t>T</w:t>
                      </w:r>
                      <w:r w:rsidRPr="00991980">
                        <w:rPr>
                          <w:lang w:val="en-GB"/>
                        </w:rPr>
                        <w:t xml:space="preserve">he Gini coefficient </w:t>
                      </w:r>
                      <w:r>
                        <w:rPr>
                          <w:lang w:val="en-GB"/>
                        </w:rPr>
                        <w:t xml:space="preserve">in </w:t>
                      </w:r>
                      <w:r w:rsidRPr="00991980">
                        <w:rPr>
                          <w:lang w:val="en-GB"/>
                        </w:rPr>
                        <w:t xml:space="preserve">rural areas decreased in 2024 to the level of 0.292, which for the first time was the value lower than the Gini coefficient for </w:t>
                      </w:r>
                      <w:r w:rsidR="00100AFA">
                        <w:rPr>
                          <w:lang w:val="en-GB"/>
                        </w:rPr>
                        <w:t>urban areas, where it was 0.296</w:t>
                      </w:r>
                    </w:p>
                  </w:txbxContent>
                </v:textbox>
                <w10:wrap type="tight"/>
              </v:shape>
            </w:pict>
          </mc:Fallback>
        </mc:AlternateContent>
      </w:r>
      <w:r w:rsidR="00991980">
        <w:rPr>
          <w:noProof/>
          <w:lang w:eastAsia="pl-PL"/>
        </w:rPr>
        <w:drawing>
          <wp:inline distT="0" distB="0" distL="0" distR="0" wp14:anchorId="308A5077" wp14:editId="49839A02">
            <wp:extent cx="5114991" cy="3600000"/>
            <wp:effectExtent l="0" t="0" r="9525" b="635"/>
            <wp:docPr id="20" name="Wykres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5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E94E58" w14:textId="1F829352" w:rsidR="00073D9C" w:rsidRDefault="00073D9C" w:rsidP="00F64E3E">
      <w:pPr>
        <w:jc w:val="both"/>
        <w:rPr>
          <w:szCs w:val="19"/>
          <w:shd w:val="clear" w:color="auto" w:fill="FFFFFF"/>
          <w:lang w:val="en-GB"/>
        </w:rPr>
      </w:pPr>
      <w:r w:rsidRPr="00073D9C">
        <w:rPr>
          <w:szCs w:val="19"/>
          <w:shd w:val="clear" w:color="auto" w:fill="FFFFFF"/>
          <w:lang w:val="en-GB"/>
        </w:rPr>
        <w:t>In 202</w:t>
      </w:r>
      <w:r w:rsidR="00991980">
        <w:rPr>
          <w:szCs w:val="19"/>
          <w:shd w:val="clear" w:color="auto" w:fill="FFFFFF"/>
          <w:lang w:val="en-GB"/>
        </w:rPr>
        <w:t>4</w:t>
      </w:r>
      <w:r w:rsidRPr="00073D9C">
        <w:rPr>
          <w:szCs w:val="19"/>
          <w:shd w:val="clear" w:color="auto" w:fill="FFFFFF"/>
          <w:lang w:val="en-GB"/>
        </w:rPr>
        <w:t xml:space="preserve">, </w:t>
      </w:r>
      <w:r w:rsidR="001F0337">
        <w:rPr>
          <w:szCs w:val="19"/>
          <w:shd w:val="clear" w:color="auto" w:fill="FFFFFF"/>
          <w:lang w:val="en-GB"/>
        </w:rPr>
        <w:t xml:space="preserve">significantly lower percentage of </w:t>
      </w:r>
      <w:r w:rsidRPr="00073D9C">
        <w:rPr>
          <w:szCs w:val="19"/>
          <w:shd w:val="clear" w:color="auto" w:fill="FFFFFF"/>
          <w:lang w:val="en-GB"/>
        </w:rPr>
        <w:t xml:space="preserve">households had an average monthly </w:t>
      </w:r>
      <w:r>
        <w:rPr>
          <w:szCs w:val="19"/>
          <w:shd w:val="clear" w:color="auto" w:fill="FFFFFF"/>
          <w:lang w:val="en-GB"/>
        </w:rPr>
        <w:t>available</w:t>
      </w:r>
      <w:r w:rsidRPr="00073D9C">
        <w:rPr>
          <w:szCs w:val="19"/>
          <w:shd w:val="clear" w:color="auto" w:fill="FFFFFF"/>
          <w:lang w:val="en-GB"/>
        </w:rPr>
        <w:t xml:space="preserve"> income per </w:t>
      </w:r>
      <w:r>
        <w:rPr>
          <w:szCs w:val="19"/>
          <w:shd w:val="clear" w:color="auto" w:fill="FFFFFF"/>
          <w:lang w:val="en-GB"/>
        </w:rPr>
        <w:t>capita</w:t>
      </w:r>
      <w:r w:rsidRPr="00073D9C">
        <w:rPr>
          <w:szCs w:val="19"/>
          <w:shd w:val="clear" w:color="auto" w:fill="FFFFFF"/>
          <w:lang w:val="en-GB"/>
        </w:rPr>
        <w:t xml:space="preserve"> below PLN</w:t>
      </w:r>
      <w:r w:rsidR="00011A02">
        <w:rPr>
          <w:szCs w:val="19"/>
          <w:shd w:val="clear" w:color="auto" w:fill="FFFFFF"/>
          <w:lang w:val="en-GB"/>
        </w:rPr>
        <w:t> </w:t>
      </w:r>
      <w:r w:rsidRPr="00073D9C">
        <w:rPr>
          <w:szCs w:val="19"/>
          <w:shd w:val="clear" w:color="auto" w:fill="FFFFFF"/>
          <w:lang w:val="en-GB"/>
        </w:rPr>
        <w:t>2000 (</w:t>
      </w:r>
      <w:r w:rsidR="001F0337">
        <w:rPr>
          <w:szCs w:val="19"/>
          <w:shd w:val="clear" w:color="auto" w:fill="FFFFFF"/>
          <w:lang w:val="en-GB"/>
        </w:rPr>
        <w:t xml:space="preserve">18.9% compared to </w:t>
      </w:r>
      <w:r w:rsidR="003E2BEB">
        <w:rPr>
          <w:szCs w:val="19"/>
          <w:shd w:val="clear" w:color="auto" w:fill="FFFFFF"/>
          <w:lang w:val="en-GB"/>
        </w:rPr>
        <w:t>29.3</w:t>
      </w:r>
      <w:r w:rsidRPr="00073D9C">
        <w:rPr>
          <w:szCs w:val="19"/>
          <w:shd w:val="clear" w:color="auto" w:fill="FFFFFF"/>
          <w:lang w:val="en-GB"/>
        </w:rPr>
        <w:t>% in 20</w:t>
      </w:r>
      <w:r w:rsidR="00B85578">
        <w:rPr>
          <w:szCs w:val="19"/>
          <w:shd w:val="clear" w:color="auto" w:fill="FFFFFF"/>
          <w:lang w:val="en-GB"/>
        </w:rPr>
        <w:t>2</w:t>
      </w:r>
      <w:r w:rsidR="003E2BEB">
        <w:rPr>
          <w:szCs w:val="19"/>
          <w:shd w:val="clear" w:color="auto" w:fill="FFFFFF"/>
          <w:lang w:val="en-GB"/>
        </w:rPr>
        <w:t>3</w:t>
      </w:r>
      <w:r w:rsidRPr="00073D9C">
        <w:rPr>
          <w:szCs w:val="19"/>
          <w:shd w:val="clear" w:color="auto" w:fill="FFFFFF"/>
          <w:lang w:val="en-GB"/>
        </w:rPr>
        <w:t xml:space="preserve">), </w:t>
      </w:r>
      <w:r w:rsidR="003E2BEB">
        <w:rPr>
          <w:szCs w:val="19"/>
          <w:shd w:val="clear" w:color="auto" w:fill="FFFFFF"/>
          <w:lang w:val="en-GB"/>
        </w:rPr>
        <w:t>52.</w:t>
      </w:r>
      <w:r w:rsidR="0075730C">
        <w:rPr>
          <w:szCs w:val="19"/>
          <w:shd w:val="clear" w:color="auto" w:fill="FFFFFF"/>
          <w:lang w:val="en-GB"/>
        </w:rPr>
        <w:t>6</w:t>
      </w:r>
      <w:r w:rsidRPr="00073D9C">
        <w:rPr>
          <w:szCs w:val="19"/>
          <w:shd w:val="clear" w:color="auto" w:fill="FFFFFF"/>
          <w:lang w:val="en-GB"/>
        </w:rPr>
        <w:t>% of households had an income between PLN 2000 and PLN</w:t>
      </w:r>
      <w:r w:rsidR="002E6303">
        <w:rPr>
          <w:szCs w:val="19"/>
          <w:shd w:val="clear" w:color="auto" w:fill="FFFFFF"/>
          <w:lang w:val="en-GB"/>
        </w:rPr>
        <w:t> </w:t>
      </w:r>
      <w:r w:rsidRPr="00073D9C">
        <w:rPr>
          <w:szCs w:val="19"/>
          <w:shd w:val="clear" w:color="auto" w:fill="FFFFFF"/>
          <w:lang w:val="en-GB"/>
        </w:rPr>
        <w:t xml:space="preserve">4000 per </w:t>
      </w:r>
      <w:r>
        <w:rPr>
          <w:szCs w:val="19"/>
          <w:shd w:val="clear" w:color="auto" w:fill="FFFFFF"/>
          <w:lang w:val="en-GB"/>
        </w:rPr>
        <w:t>capita</w:t>
      </w:r>
      <w:r w:rsidRPr="00073D9C">
        <w:rPr>
          <w:szCs w:val="19"/>
          <w:shd w:val="clear" w:color="auto" w:fill="FFFFFF"/>
          <w:lang w:val="en-GB"/>
        </w:rPr>
        <w:t xml:space="preserve"> (</w:t>
      </w:r>
      <w:r w:rsidR="003E2BEB">
        <w:rPr>
          <w:szCs w:val="19"/>
          <w:shd w:val="clear" w:color="auto" w:fill="FFFFFF"/>
          <w:lang w:val="en-GB"/>
        </w:rPr>
        <w:t>51.3</w:t>
      </w:r>
      <w:r w:rsidRPr="00073D9C">
        <w:rPr>
          <w:szCs w:val="19"/>
          <w:shd w:val="clear" w:color="auto" w:fill="FFFFFF"/>
          <w:lang w:val="en-GB"/>
        </w:rPr>
        <w:t>% in 20</w:t>
      </w:r>
      <w:r w:rsidR="00B85578">
        <w:rPr>
          <w:szCs w:val="19"/>
          <w:shd w:val="clear" w:color="auto" w:fill="FFFFFF"/>
          <w:lang w:val="en-GB"/>
        </w:rPr>
        <w:t>2</w:t>
      </w:r>
      <w:r w:rsidR="003E2BEB">
        <w:rPr>
          <w:szCs w:val="19"/>
          <w:shd w:val="clear" w:color="auto" w:fill="FFFFFF"/>
          <w:lang w:val="en-GB"/>
        </w:rPr>
        <w:t>3</w:t>
      </w:r>
      <w:r w:rsidRPr="00073D9C">
        <w:rPr>
          <w:szCs w:val="19"/>
          <w:shd w:val="clear" w:color="auto" w:fill="FFFFFF"/>
          <w:lang w:val="en-GB"/>
        </w:rPr>
        <w:t>)</w:t>
      </w:r>
      <w:r w:rsidR="003E54FE">
        <w:rPr>
          <w:szCs w:val="19"/>
          <w:shd w:val="clear" w:color="auto" w:fill="FFFFFF"/>
          <w:lang w:val="en-GB"/>
        </w:rPr>
        <w:t xml:space="preserve"> and</w:t>
      </w:r>
      <w:r w:rsidRPr="00073D9C">
        <w:rPr>
          <w:szCs w:val="19"/>
          <w:shd w:val="clear" w:color="auto" w:fill="FFFFFF"/>
          <w:lang w:val="en-GB"/>
        </w:rPr>
        <w:t xml:space="preserve"> </w:t>
      </w:r>
      <w:r w:rsidR="000266A3">
        <w:rPr>
          <w:szCs w:val="19"/>
          <w:shd w:val="clear" w:color="auto" w:fill="FFFFFF"/>
          <w:lang w:val="en-GB"/>
        </w:rPr>
        <w:t>1</w:t>
      </w:r>
      <w:r w:rsidR="003E2BEB">
        <w:rPr>
          <w:szCs w:val="19"/>
          <w:shd w:val="clear" w:color="auto" w:fill="FFFFFF"/>
          <w:lang w:val="en-GB"/>
        </w:rPr>
        <w:t>9</w:t>
      </w:r>
      <w:r w:rsidR="000266A3">
        <w:rPr>
          <w:szCs w:val="19"/>
          <w:shd w:val="clear" w:color="auto" w:fill="FFFFFF"/>
          <w:lang w:val="en-GB"/>
        </w:rPr>
        <w:t>.9</w:t>
      </w:r>
      <w:r w:rsidRPr="00073D9C">
        <w:rPr>
          <w:szCs w:val="19"/>
          <w:shd w:val="clear" w:color="auto" w:fill="FFFFFF"/>
          <w:lang w:val="en-GB"/>
        </w:rPr>
        <w:t>% of households had an income from PLN 4000 to PLN</w:t>
      </w:r>
      <w:r w:rsidR="008D7D3B">
        <w:rPr>
          <w:szCs w:val="19"/>
          <w:shd w:val="clear" w:color="auto" w:fill="FFFFFF"/>
          <w:lang w:val="en-GB"/>
        </w:rPr>
        <w:t> </w:t>
      </w:r>
      <w:r w:rsidRPr="00073D9C">
        <w:rPr>
          <w:szCs w:val="19"/>
          <w:shd w:val="clear" w:color="auto" w:fill="FFFFFF"/>
          <w:lang w:val="en-GB"/>
        </w:rPr>
        <w:t xml:space="preserve">6000 per </w:t>
      </w:r>
      <w:r>
        <w:rPr>
          <w:szCs w:val="19"/>
          <w:shd w:val="clear" w:color="auto" w:fill="FFFFFF"/>
          <w:lang w:val="en-GB"/>
        </w:rPr>
        <w:t>capita</w:t>
      </w:r>
      <w:r w:rsidRPr="00073D9C">
        <w:rPr>
          <w:szCs w:val="19"/>
          <w:shd w:val="clear" w:color="auto" w:fill="FFFFFF"/>
          <w:lang w:val="en-GB"/>
        </w:rPr>
        <w:t xml:space="preserve"> (</w:t>
      </w:r>
      <w:r w:rsidR="003E2BEB">
        <w:rPr>
          <w:szCs w:val="19"/>
          <w:shd w:val="clear" w:color="auto" w:fill="FFFFFF"/>
          <w:lang w:val="en-GB"/>
        </w:rPr>
        <w:t>13</w:t>
      </w:r>
      <w:r w:rsidR="000266A3">
        <w:rPr>
          <w:szCs w:val="19"/>
          <w:shd w:val="clear" w:color="auto" w:fill="FFFFFF"/>
          <w:lang w:val="en-GB"/>
        </w:rPr>
        <w:t>.9</w:t>
      </w:r>
      <w:r w:rsidRPr="00073D9C">
        <w:rPr>
          <w:szCs w:val="19"/>
          <w:shd w:val="clear" w:color="auto" w:fill="FFFFFF"/>
          <w:lang w:val="en-GB"/>
        </w:rPr>
        <w:t>% in 20</w:t>
      </w:r>
      <w:r w:rsidR="00B85578">
        <w:rPr>
          <w:szCs w:val="19"/>
          <w:shd w:val="clear" w:color="auto" w:fill="FFFFFF"/>
          <w:lang w:val="en-GB"/>
        </w:rPr>
        <w:t>2</w:t>
      </w:r>
      <w:r w:rsidR="003E2BEB">
        <w:rPr>
          <w:szCs w:val="19"/>
          <w:shd w:val="clear" w:color="auto" w:fill="FFFFFF"/>
          <w:lang w:val="en-GB"/>
        </w:rPr>
        <w:t>3</w:t>
      </w:r>
      <w:r w:rsidRPr="00073D9C">
        <w:rPr>
          <w:szCs w:val="19"/>
          <w:shd w:val="clear" w:color="auto" w:fill="FFFFFF"/>
          <w:lang w:val="en-GB"/>
        </w:rPr>
        <w:t>)</w:t>
      </w:r>
      <w:r w:rsidR="003E54FE">
        <w:rPr>
          <w:szCs w:val="19"/>
          <w:shd w:val="clear" w:color="auto" w:fill="FFFFFF"/>
          <w:lang w:val="en-GB"/>
        </w:rPr>
        <w:t>.</w:t>
      </w:r>
      <w:r w:rsidR="005D5B8E">
        <w:rPr>
          <w:szCs w:val="19"/>
          <w:shd w:val="clear" w:color="auto" w:fill="FFFFFF"/>
          <w:lang w:val="en-GB"/>
        </w:rPr>
        <w:t xml:space="preserve"> </w:t>
      </w:r>
      <w:r w:rsidR="003E54FE">
        <w:rPr>
          <w:szCs w:val="19"/>
          <w:shd w:val="clear" w:color="auto" w:fill="FFFFFF"/>
          <w:lang w:val="en-GB"/>
        </w:rPr>
        <w:t>More households than in 2023 had income of</w:t>
      </w:r>
      <w:r w:rsidRPr="00073D9C">
        <w:rPr>
          <w:szCs w:val="19"/>
          <w:shd w:val="clear" w:color="auto" w:fill="FFFFFF"/>
          <w:lang w:val="en-GB"/>
        </w:rPr>
        <w:t xml:space="preserve"> PLN 6000 or more per </w:t>
      </w:r>
      <w:r>
        <w:rPr>
          <w:szCs w:val="19"/>
          <w:shd w:val="clear" w:color="auto" w:fill="FFFFFF"/>
          <w:lang w:val="en-GB"/>
        </w:rPr>
        <w:t>capita</w:t>
      </w:r>
      <w:r w:rsidRPr="00073D9C">
        <w:rPr>
          <w:szCs w:val="19"/>
          <w:shd w:val="clear" w:color="auto" w:fill="FFFFFF"/>
          <w:lang w:val="en-GB"/>
        </w:rPr>
        <w:t xml:space="preserve"> </w:t>
      </w:r>
      <w:r w:rsidR="003E54FE">
        <w:rPr>
          <w:szCs w:val="19"/>
          <w:shd w:val="clear" w:color="auto" w:fill="FFFFFF"/>
          <w:lang w:val="en-GB"/>
        </w:rPr>
        <w:t>–</w:t>
      </w:r>
      <w:r w:rsidRPr="00073D9C">
        <w:rPr>
          <w:szCs w:val="19"/>
          <w:shd w:val="clear" w:color="auto" w:fill="FFFFFF"/>
          <w:lang w:val="en-GB"/>
        </w:rPr>
        <w:t xml:space="preserve"> </w:t>
      </w:r>
      <w:r w:rsidR="003E2BEB">
        <w:rPr>
          <w:szCs w:val="19"/>
          <w:shd w:val="clear" w:color="auto" w:fill="FFFFFF"/>
          <w:lang w:val="en-GB"/>
        </w:rPr>
        <w:t>8.6</w:t>
      </w:r>
      <w:r w:rsidRPr="00073D9C">
        <w:rPr>
          <w:szCs w:val="19"/>
          <w:shd w:val="clear" w:color="auto" w:fill="FFFFFF"/>
          <w:lang w:val="en-GB"/>
        </w:rPr>
        <w:t xml:space="preserve">% of </w:t>
      </w:r>
      <w:r w:rsidR="003E54FE">
        <w:rPr>
          <w:szCs w:val="19"/>
          <w:shd w:val="clear" w:color="auto" w:fill="FFFFFF"/>
          <w:lang w:val="en-GB"/>
        </w:rPr>
        <w:t>them</w:t>
      </w:r>
      <w:r w:rsidRPr="00073D9C">
        <w:rPr>
          <w:szCs w:val="19"/>
          <w:shd w:val="clear" w:color="auto" w:fill="FFFFFF"/>
          <w:lang w:val="en-GB"/>
        </w:rPr>
        <w:t xml:space="preserve"> (</w:t>
      </w:r>
      <w:r w:rsidR="003E2BEB">
        <w:rPr>
          <w:szCs w:val="19"/>
          <w:shd w:val="clear" w:color="auto" w:fill="FFFFFF"/>
          <w:lang w:val="en-GB"/>
        </w:rPr>
        <w:t>5.5</w:t>
      </w:r>
      <w:r w:rsidRPr="00073D9C">
        <w:rPr>
          <w:szCs w:val="19"/>
          <w:shd w:val="clear" w:color="auto" w:fill="FFFFFF"/>
          <w:lang w:val="en-GB"/>
        </w:rPr>
        <w:t>% in 20</w:t>
      </w:r>
      <w:r w:rsidR="00B85578">
        <w:rPr>
          <w:szCs w:val="19"/>
          <w:shd w:val="clear" w:color="auto" w:fill="FFFFFF"/>
          <w:lang w:val="en-GB"/>
        </w:rPr>
        <w:t>2</w:t>
      </w:r>
      <w:r w:rsidR="003E2BEB">
        <w:rPr>
          <w:szCs w:val="19"/>
          <w:shd w:val="clear" w:color="auto" w:fill="FFFFFF"/>
          <w:lang w:val="en-GB"/>
        </w:rPr>
        <w:t>3</w:t>
      </w:r>
      <w:r w:rsidRPr="00073D9C">
        <w:rPr>
          <w:szCs w:val="19"/>
          <w:shd w:val="clear" w:color="auto" w:fill="FFFFFF"/>
          <w:lang w:val="en-GB"/>
        </w:rPr>
        <w:t>). In 202</w:t>
      </w:r>
      <w:r w:rsidR="003E2BEB">
        <w:rPr>
          <w:szCs w:val="19"/>
          <w:shd w:val="clear" w:color="auto" w:fill="FFFFFF"/>
          <w:lang w:val="en-GB"/>
        </w:rPr>
        <w:t>4</w:t>
      </w:r>
      <w:r w:rsidRPr="00073D9C">
        <w:rPr>
          <w:szCs w:val="19"/>
          <w:shd w:val="clear" w:color="auto" w:fill="FFFFFF"/>
          <w:lang w:val="en-GB"/>
        </w:rPr>
        <w:t xml:space="preserve">, the percentage of households with an average monthly income of at least PLN 2000 per </w:t>
      </w:r>
      <w:r>
        <w:rPr>
          <w:szCs w:val="19"/>
          <w:shd w:val="clear" w:color="auto" w:fill="FFFFFF"/>
          <w:lang w:val="en-GB"/>
        </w:rPr>
        <w:t>capita</w:t>
      </w:r>
      <w:r w:rsidRPr="00073D9C">
        <w:rPr>
          <w:szCs w:val="19"/>
          <w:shd w:val="clear" w:color="auto" w:fill="FFFFFF"/>
          <w:lang w:val="en-GB"/>
        </w:rPr>
        <w:t xml:space="preserve"> </w:t>
      </w:r>
      <w:r>
        <w:rPr>
          <w:szCs w:val="19"/>
          <w:shd w:val="clear" w:color="auto" w:fill="FFFFFF"/>
          <w:lang w:val="en-GB"/>
        </w:rPr>
        <w:t>amounted to</w:t>
      </w:r>
      <w:r w:rsidRPr="00073D9C">
        <w:rPr>
          <w:szCs w:val="19"/>
          <w:shd w:val="clear" w:color="auto" w:fill="FFFFFF"/>
          <w:lang w:val="en-GB"/>
        </w:rPr>
        <w:t xml:space="preserve"> </w:t>
      </w:r>
      <w:r w:rsidR="003E2BEB">
        <w:rPr>
          <w:szCs w:val="19"/>
          <w:shd w:val="clear" w:color="auto" w:fill="FFFFFF"/>
          <w:lang w:val="en-GB"/>
        </w:rPr>
        <w:t>81.1</w:t>
      </w:r>
      <w:r w:rsidRPr="00073D9C">
        <w:rPr>
          <w:szCs w:val="19"/>
          <w:shd w:val="clear" w:color="auto" w:fill="FFFFFF"/>
          <w:lang w:val="en-GB"/>
        </w:rPr>
        <w:t>% (in 20</w:t>
      </w:r>
      <w:r w:rsidR="00B85578">
        <w:rPr>
          <w:szCs w:val="19"/>
          <w:shd w:val="clear" w:color="auto" w:fill="FFFFFF"/>
          <w:lang w:val="en-GB"/>
        </w:rPr>
        <w:t>2</w:t>
      </w:r>
      <w:r w:rsidR="003E2BEB">
        <w:rPr>
          <w:szCs w:val="19"/>
          <w:shd w:val="clear" w:color="auto" w:fill="FFFFFF"/>
          <w:lang w:val="en-GB"/>
        </w:rPr>
        <w:t>3</w:t>
      </w:r>
      <w:r w:rsidRPr="00073D9C">
        <w:rPr>
          <w:szCs w:val="19"/>
          <w:shd w:val="clear" w:color="auto" w:fill="FFFFFF"/>
          <w:lang w:val="en-GB"/>
        </w:rPr>
        <w:t xml:space="preserve"> </w:t>
      </w:r>
      <w:r>
        <w:rPr>
          <w:szCs w:val="19"/>
          <w:shd w:val="clear" w:color="auto" w:fill="FFFFFF"/>
          <w:lang w:val="en-GB"/>
        </w:rPr>
        <w:t>–</w:t>
      </w:r>
      <w:r w:rsidRPr="00073D9C">
        <w:rPr>
          <w:szCs w:val="19"/>
          <w:shd w:val="clear" w:color="auto" w:fill="FFFFFF"/>
          <w:lang w:val="en-GB"/>
        </w:rPr>
        <w:t xml:space="preserve"> </w:t>
      </w:r>
      <w:r w:rsidR="003E2BEB">
        <w:rPr>
          <w:szCs w:val="19"/>
          <w:shd w:val="clear" w:color="auto" w:fill="FFFFFF"/>
          <w:lang w:val="en-GB"/>
        </w:rPr>
        <w:t>70.7</w:t>
      </w:r>
      <w:r w:rsidRPr="00073D9C">
        <w:rPr>
          <w:szCs w:val="19"/>
          <w:shd w:val="clear" w:color="auto" w:fill="FFFFFF"/>
          <w:lang w:val="en-GB"/>
        </w:rPr>
        <w:t>%).</w:t>
      </w:r>
    </w:p>
    <w:p w14:paraId="7EE94E59" w14:textId="203B56ED" w:rsidR="0045609E" w:rsidRDefault="00976CCF" w:rsidP="00E22461">
      <w:pPr>
        <w:rPr>
          <w:szCs w:val="19"/>
          <w:shd w:val="clear" w:color="auto" w:fill="FFFFFF"/>
          <w:lang w:val="en-GB"/>
        </w:rPr>
      </w:pPr>
      <w:r w:rsidRPr="005D1D5A">
        <w:rPr>
          <w:i/>
          <w:noProof/>
          <w:lang w:eastAsia="pl-PL"/>
        </w:rPr>
        <mc:AlternateContent>
          <mc:Choice Requires="wps">
            <w:drawing>
              <wp:anchor distT="45720" distB="45720" distL="114300" distR="114300" simplePos="0" relativeHeight="251812864" behindDoc="1" locked="0" layoutInCell="1" allowOverlap="1" wp14:anchorId="7EE94FAA" wp14:editId="2529FA4C">
                <wp:simplePos x="0" y="0"/>
                <wp:positionH relativeFrom="column">
                  <wp:posOffset>5210175</wp:posOffset>
                </wp:positionH>
                <wp:positionV relativeFrom="paragraph">
                  <wp:posOffset>171450</wp:posOffset>
                </wp:positionV>
                <wp:extent cx="1725295" cy="1428750"/>
                <wp:effectExtent l="0" t="0" r="0" b="0"/>
                <wp:wrapTight wrapText="bothSides">
                  <wp:wrapPolygon edited="0">
                    <wp:start x="715" y="0"/>
                    <wp:lineTo x="715" y="21312"/>
                    <wp:lineTo x="20749" y="21312"/>
                    <wp:lineTo x="20749" y="0"/>
                    <wp:lineTo x="715" y="0"/>
                  </wp:wrapPolygon>
                </wp:wrapTight>
                <wp:docPr id="219" name="Pole tekstow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28750"/>
                        </a:xfrm>
                        <a:prstGeom prst="rect">
                          <a:avLst/>
                        </a:prstGeom>
                        <a:noFill/>
                        <a:ln w="9525">
                          <a:noFill/>
                          <a:miter lim="800000"/>
                          <a:headEnd/>
                          <a:tailEnd/>
                        </a:ln>
                      </wps:spPr>
                      <wps:txbx>
                        <w:txbxContent>
                          <w:p w14:paraId="7EE95015" w14:textId="3D3BE35C" w:rsidR="00882B10" w:rsidRDefault="00882B10" w:rsidP="00764D9C">
                            <w:pPr>
                              <w:pStyle w:val="tekstzboku"/>
                              <w:rPr>
                                <w:lang w:val="en-GB"/>
                              </w:rPr>
                            </w:pPr>
                            <w:r w:rsidRPr="00A13CB9">
                              <w:rPr>
                                <w:lang w:val="en-GB"/>
                              </w:rPr>
                              <w:t xml:space="preserve">In real </w:t>
                            </w:r>
                            <w:r>
                              <w:rPr>
                                <w:lang w:val="en-GB"/>
                              </w:rPr>
                              <w:t>terms – the average monthly expenditure</w:t>
                            </w:r>
                            <w:r w:rsidRPr="00A13CB9">
                              <w:rPr>
                                <w:lang w:val="en-GB"/>
                              </w:rPr>
                              <w:t xml:space="preserve"> per capita in </w:t>
                            </w:r>
                            <w:r w:rsidRPr="00073D9C">
                              <w:rPr>
                                <w:lang w:val="en-GB"/>
                              </w:rPr>
                              <w:t>households in</w:t>
                            </w:r>
                            <w:r>
                              <w:rPr>
                                <w:lang w:val="en-GB"/>
                              </w:rPr>
                              <w:t xml:space="preserve"> 2024 increased by 10.8% in comparison</w:t>
                            </w:r>
                            <w:r w:rsidRPr="00A13CB9">
                              <w:rPr>
                                <w:lang w:val="en-GB"/>
                              </w:rPr>
                              <w:t xml:space="preserve"> </w:t>
                            </w:r>
                            <w:r>
                              <w:rPr>
                                <w:lang w:val="en-GB"/>
                              </w:rPr>
                              <w:t>with the previous year</w:t>
                            </w:r>
                          </w:p>
                          <w:p w14:paraId="7EE95016" w14:textId="77777777" w:rsidR="00882B10" w:rsidRDefault="00882B10" w:rsidP="00764D9C">
                            <w:pPr>
                              <w:pStyle w:val="tekstzboku"/>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AA" id="Pole tekstowe 219" o:spid="_x0000_s1032" type="#_x0000_t202" style="position:absolute;margin-left:410.25pt;margin-top:13.5pt;width:135.85pt;height:112.5pt;z-index:-25150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" filled="f" stroked="f">
                <v:textbox>
                  <w:txbxContent>
                    <w:p w14:paraId="7EE95015" w14:textId="3D3BE35C" w:rsidR="00882B10" w:rsidRDefault="00882B10" w:rsidP="00764D9C">
                      <w:pPr>
                        <w:pStyle w:val="tekstzboku"/>
                        <w:rPr>
                          <w:lang w:val="en-GB"/>
                        </w:rPr>
                      </w:pPr>
                      <w:r w:rsidRPr="00A13CB9">
                        <w:rPr>
                          <w:lang w:val="en-GB"/>
                        </w:rPr>
                        <w:t xml:space="preserve">In real </w:t>
                      </w:r>
                      <w:r>
                        <w:rPr>
                          <w:lang w:val="en-GB"/>
                        </w:rPr>
                        <w:t>terms – the average monthly expenditure</w:t>
                      </w:r>
                      <w:r w:rsidRPr="00A13CB9">
                        <w:rPr>
                          <w:lang w:val="en-GB"/>
                        </w:rPr>
                        <w:t xml:space="preserve"> per capita in </w:t>
                      </w:r>
                      <w:r w:rsidRPr="00073D9C">
                        <w:rPr>
                          <w:lang w:val="en-GB"/>
                        </w:rPr>
                        <w:t>households in</w:t>
                      </w:r>
                      <w:r>
                        <w:rPr>
                          <w:lang w:val="en-GB"/>
                        </w:rPr>
                        <w:t xml:space="preserve"> 2024 increased by 10.8% in comparison</w:t>
                      </w:r>
                      <w:r w:rsidRPr="00A13CB9">
                        <w:rPr>
                          <w:lang w:val="en-GB"/>
                        </w:rPr>
                        <w:t xml:space="preserve"> </w:t>
                      </w:r>
                      <w:r>
                        <w:rPr>
                          <w:lang w:val="en-GB"/>
                        </w:rPr>
                        <w:t>with the previous year</w:t>
                      </w:r>
                    </w:p>
                    <w:p w14:paraId="7EE95016" w14:textId="77777777" w:rsidR="00882B10" w:rsidRDefault="00882B10" w:rsidP="00764D9C">
                      <w:pPr>
                        <w:pStyle w:val="tekstzboku"/>
                        <w:rPr>
                          <w:lang w:val="en-GB"/>
                        </w:rPr>
                      </w:pPr>
                    </w:p>
                  </w:txbxContent>
                </v:textbox>
                <w10:wrap type="tight"/>
              </v:shape>
            </w:pict>
          </mc:Fallback>
        </mc:AlternateContent>
      </w:r>
      <w:r w:rsidR="0045609E" w:rsidRPr="005D1D5A">
        <w:rPr>
          <w:szCs w:val="19"/>
          <w:shd w:val="clear" w:color="auto" w:fill="FFFFFF"/>
          <w:lang w:val="en-GB"/>
        </w:rPr>
        <w:t>In 20</w:t>
      </w:r>
      <w:r w:rsidR="00073D9C" w:rsidRPr="005D1D5A">
        <w:rPr>
          <w:szCs w:val="19"/>
          <w:shd w:val="clear" w:color="auto" w:fill="FFFFFF"/>
          <w:lang w:val="en-GB"/>
        </w:rPr>
        <w:t>2</w:t>
      </w:r>
      <w:r w:rsidR="003E2BEB">
        <w:rPr>
          <w:szCs w:val="19"/>
          <w:shd w:val="clear" w:color="auto" w:fill="FFFFFF"/>
          <w:lang w:val="en-GB"/>
        </w:rPr>
        <w:t>4</w:t>
      </w:r>
      <w:r w:rsidR="00A22217" w:rsidRPr="005D1D5A">
        <w:rPr>
          <w:szCs w:val="19"/>
          <w:shd w:val="clear" w:color="auto" w:fill="FFFFFF"/>
          <w:lang w:val="en-GB"/>
        </w:rPr>
        <w:t>,</w:t>
      </w:r>
      <w:r w:rsidR="00A22217">
        <w:rPr>
          <w:szCs w:val="19"/>
          <w:shd w:val="clear" w:color="auto" w:fill="FFFFFF"/>
          <w:lang w:val="en-GB"/>
        </w:rPr>
        <w:t xml:space="preserve"> the average </w:t>
      </w:r>
      <w:r w:rsidR="002650D9">
        <w:rPr>
          <w:szCs w:val="19"/>
          <w:shd w:val="clear" w:color="auto" w:fill="FFFFFF"/>
          <w:lang w:val="en-GB"/>
        </w:rPr>
        <w:t xml:space="preserve">monthly </w:t>
      </w:r>
      <w:r w:rsidR="00A22217">
        <w:rPr>
          <w:szCs w:val="19"/>
          <w:shd w:val="clear" w:color="auto" w:fill="FFFFFF"/>
          <w:lang w:val="en-GB"/>
        </w:rPr>
        <w:t xml:space="preserve">expenditure per capita </w:t>
      </w:r>
      <w:r w:rsidR="008667F0">
        <w:rPr>
          <w:szCs w:val="19"/>
          <w:shd w:val="clear" w:color="auto" w:fill="FFFFFF"/>
          <w:lang w:val="en-GB"/>
        </w:rPr>
        <w:t>in</w:t>
      </w:r>
      <w:r w:rsidR="00A22217">
        <w:rPr>
          <w:szCs w:val="19"/>
          <w:shd w:val="clear" w:color="auto" w:fill="FFFFFF"/>
          <w:lang w:val="en-GB"/>
        </w:rPr>
        <w:t xml:space="preserve">creased </w:t>
      </w:r>
      <w:r w:rsidR="00527B57">
        <w:rPr>
          <w:szCs w:val="19"/>
          <w:shd w:val="clear" w:color="auto" w:fill="FFFFFF"/>
          <w:lang w:val="en-GB"/>
        </w:rPr>
        <w:t xml:space="preserve">in real terms </w:t>
      </w:r>
      <w:r w:rsidR="00A22217">
        <w:rPr>
          <w:szCs w:val="19"/>
          <w:shd w:val="clear" w:color="auto" w:fill="FFFFFF"/>
          <w:lang w:val="en-GB"/>
        </w:rPr>
        <w:t xml:space="preserve">by </w:t>
      </w:r>
      <w:r w:rsidR="000266A3">
        <w:rPr>
          <w:szCs w:val="19"/>
          <w:shd w:val="clear" w:color="auto" w:fill="FFFFFF"/>
          <w:lang w:val="en-GB"/>
        </w:rPr>
        <w:t>1</w:t>
      </w:r>
      <w:r w:rsidR="003E2BEB">
        <w:rPr>
          <w:szCs w:val="19"/>
          <w:shd w:val="clear" w:color="auto" w:fill="FFFFFF"/>
          <w:lang w:val="en-GB"/>
        </w:rPr>
        <w:t>0</w:t>
      </w:r>
      <w:r w:rsidR="000266A3">
        <w:rPr>
          <w:szCs w:val="19"/>
          <w:shd w:val="clear" w:color="auto" w:fill="FFFFFF"/>
          <w:lang w:val="en-GB"/>
        </w:rPr>
        <w:t>.8</w:t>
      </w:r>
      <w:r w:rsidR="00A22217">
        <w:rPr>
          <w:szCs w:val="19"/>
          <w:shd w:val="clear" w:color="auto" w:fill="FFFFFF"/>
          <w:lang w:val="en-GB"/>
        </w:rPr>
        <w:t>%</w:t>
      </w:r>
      <w:r w:rsidR="00527B57">
        <w:rPr>
          <w:szCs w:val="19"/>
          <w:shd w:val="clear" w:color="auto" w:fill="FFFFFF"/>
          <w:lang w:val="en-GB"/>
        </w:rPr>
        <w:t xml:space="preserve"> in comparison with 2023</w:t>
      </w:r>
      <w:r w:rsidR="00A22217">
        <w:rPr>
          <w:szCs w:val="19"/>
          <w:shd w:val="clear" w:color="auto" w:fill="FFFFFF"/>
          <w:lang w:val="en-GB"/>
        </w:rPr>
        <w:t xml:space="preserve">. </w:t>
      </w:r>
      <w:r w:rsidR="00B72F4F">
        <w:rPr>
          <w:szCs w:val="19"/>
          <w:shd w:val="clear" w:color="auto" w:fill="FFFFFF"/>
          <w:lang w:val="en-GB"/>
        </w:rPr>
        <w:t>This</w:t>
      </w:r>
      <w:r w:rsidR="0045609E" w:rsidRPr="0045609E">
        <w:rPr>
          <w:szCs w:val="19"/>
          <w:shd w:val="clear" w:color="auto" w:fill="FFFFFF"/>
          <w:lang w:val="en-GB"/>
        </w:rPr>
        <w:t xml:space="preserve"> real </w:t>
      </w:r>
      <w:r w:rsidR="008667F0">
        <w:rPr>
          <w:szCs w:val="19"/>
          <w:shd w:val="clear" w:color="auto" w:fill="FFFFFF"/>
          <w:lang w:val="en-GB"/>
        </w:rPr>
        <w:t>in</w:t>
      </w:r>
      <w:r w:rsidR="00B85578">
        <w:rPr>
          <w:szCs w:val="19"/>
          <w:shd w:val="clear" w:color="auto" w:fill="FFFFFF"/>
          <w:lang w:val="en-GB"/>
        </w:rPr>
        <w:t>crease</w:t>
      </w:r>
      <w:r w:rsidR="00073D9C">
        <w:rPr>
          <w:szCs w:val="19"/>
          <w:shd w:val="clear" w:color="auto" w:fill="FFFFFF"/>
          <w:lang w:val="en-GB"/>
        </w:rPr>
        <w:t xml:space="preserve"> </w:t>
      </w:r>
      <w:r w:rsidR="00B72F4F">
        <w:rPr>
          <w:szCs w:val="19"/>
          <w:shd w:val="clear" w:color="auto" w:fill="FFFFFF"/>
          <w:lang w:val="en-GB"/>
        </w:rPr>
        <w:t xml:space="preserve">occurred </w:t>
      </w:r>
      <w:r w:rsidR="001B69B5">
        <w:rPr>
          <w:szCs w:val="19"/>
          <w:shd w:val="clear" w:color="auto" w:fill="FFFFFF"/>
          <w:lang w:val="en-GB"/>
        </w:rPr>
        <w:t xml:space="preserve">in </w:t>
      </w:r>
      <w:r w:rsidR="000266A3">
        <w:rPr>
          <w:szCs w:val="19"/>
          <w:shd w:val="clear" w:color="auto" w:fill="FFFFFF"/>
          <w:lang w:val="en-GB"/>
        </w:rPr>
        <w:t xml:space="preserve">all </w:t>
      </w:r>
      <w:r w:rsidR="000266A3" w:rsidRPr="0045609E">
        <w:rPr>
          <w:szCs w:val="19"/>
          <w:shd w:val="clear" w:color="auto" w:fill="FFFFFF"/>
          <w:lang w:val="en-GB"/>
        </w:rPr>
        <w:t>socio-econom</w:t>
      </w:r>
      <w:r w:rsidR="000266A3">
        <w:rPr>
          <w:szCs w:val="19"/>
          <w:shd w:val="clear" w:color="auto" w:fill="FFFFFF"/>
          <w:lang w:val="en-GB"/>
        </w:rPr>
        <w:t xml:space="preserve">ic groups of households, and the </w:t>
      </w:r>
      <w:r w:rsidR="003E2BEB">
        <w:rPr>
          <w:szCs w:val="19"/>
          <w:shd w:val="clear" w:color="auto" w:fill="FFFFFF"/>
          <w:lang w:val="en-GB"/>
        </w:rPr>
        <w:t>highest</w:t>
      </w:r>
      <w:r w:rsidR="000266A3">
        <w:rPr>
          <w:szCs w:val="19"/>
          <w:shd w:val="clear" w:color="auto" w:fill="FFFFFF"/>
          <w:lang w:val="en-GB"/>
        </w:rPr>
        <w:t xml:space="preserve"> in </w:t>
      </w:r>
      <w:r w:rsidR="001B69B5">
        <w:rPr>
          <w:szCs w:val="19"/>
          <w:shd w:val="clear" w:color="auto" w:fill="FFFFFF"/>
          <w:lang w:val="en-GB"/>
        </w:rPr>
        <w:t xml:space="preserve">the group of </w:t>
      </w:r>
      <w:r w:rsidR="003E2BEB">
        <w:rPr>
          <w:szCs w:val="19"/>
          <w:shd w:val="clear" w:color="auto" w:fill="FFFFFF"/>
          <w:lang w:val="en-GB"/>
        </w:rPr>
        <w:t xml:space="preserve">pensioners </w:t>
      </w:r>
      <w:r w:rsidR="001B69B5">
        <w:rPr>
          <w:szCs w:val="19"/>
          <w:shd w:val="clear" w:color="auto" w:fill="FFFFFF"/>
          <w:lang w:val="en-GB"/>
        </w:rPr>
        <w:t>(</w:t>
      </w:r>
      <w:r w:rsidR="003E2BEB">
        <w:rPr>
          <w:szCs w:val="19"/>
          <w:shd w:val="clear" w:color="auto" w:fill="FFFFFF"/>
          <w:lang w:val="en-GB"/>
        </w:rPr>
        <w:t>in</w:t>
      </w:r>
      <w:r w:rsidR="001B69B5">
        <w:rPr>
          <w:szCs w:val="19"/>
          <w:shd w:val="clear" w:color="auto" w:fill="FFFFFF"/>
          <w:lang w:val="en-GB"/>
        </w:rPr>
        <w:t xml:space="preserve">crease by </w:t>
      </w:r>
      <w:r w:rsidR="003E2BEB">
        <w:rPr>
          <w:szCs w:val="19"/>
          <w:shd w:val="clear" w:color="auto" w:fill="FFFFFF"/>
          <w:lang w:val="en-GB"/>
        </w:rPr>
        <w:t>13.4</w:t>
      </w:r>
      <w:r w:rsidR="001B69B5">
        <w:rPr>
          <w:szCs w:val="19"/>
          <w:shd w:val="clear" w:color="auto" w:fill="FFFFFF"/>
          <w:lang w:val="en-GB"/>
        </w:rPr>
        <w:t xml:space="preserve">%), </w:t>
      </w:r>
      <w:r w:rsidR="003E2BEB">
        <w:rPr>
          <w:szCs w:val="19"/>
          <w:shd w:val="clear" w:color="auto" w:fill="FFFFFF"/>
          <w:lang w:val="en-GB"/>
        </w:rPr>
        <w:t xml:space="preserve">employees </w:t>
      </w:r>
      <w:r w:rsidR="00827A72">
        <w:rPr>
          <w:szCs w:val="19"/>
          <w:shd w:val="clear" w:color="auto" w:fill="FFFFFF"/>
          <w:lang w:val="en-GB"/>
        </w:rPr>
        <w:t>(by </w:t>
      </w:r>
      <w:r w:rsidR="003E2BEB">
        <w:rPr>
          <w:szCs w:val="19"/>
          <w:shd w:val="clear" w:color="auto" w:fill="FFFFFF"/>
          <w:lang w:val="en-GB"/>
        </w:rPr>
        <w:t>11.9</w:t>
      </w:r>
      <w:r w:rsidR="001B69B5">
        <w:rPr>
          <w:szCs w:val="19"/>
          <w:shd w:val="clear" w:color="auto" w:fill="FFFFFF"/>
          <w:lang w:val="en-GB"/>
        </w:rPr>
        <w:t xml:space="preserve">%) and </w:t>
      </w:r>
      <w:r w:rsidR="003E2BEB">
        <w:rPr>
          <w:szCs w:val="19"/>
          <w:shd w:val="clear" w:color="auto" w:fill="FFFFFF"/>
          <w:lang w:val="en-GB"/>
        </w:rPr>
        <w:t>self-employed</w:t>
      </w:r>
      <w:r w:rsidR="001B69B5">
        <w:rPr>
          <w:szCs w:val="19"/>
          <w:shd w:val="clear" w:color="auto" w:fill="FFFFFF"/>
          <w:lang w:val="en-GB"/>
        </w:rPr>
        <w:t xml:space="preserve"> (by </w:t>
      </w:r>
      <w:r w:rsidR="003E2BEB">
        <w:rPr>
          <w:szCs w:val="19"/>
          <w:shd w:val="clear" w:color="auto" w:fill="FFFFFF"/>
          <w:lang w:val="en-GB"/>
        </w:rPr>
        <w:t>10.8</w:t>
      </w:r>
      <w:r w:rsidR="001B69B5">
        <w:rPr>
          <w:szCs w:val="19"/>
          <w:shd w:val="clear" w:color="auto" w:fill="FFFFFF"/>
          <w:lang w:val="en-GB"/>
        </w:rPr>
        <w:t xml:space="preserve">%). </w:t>
      </w:r>
    </w:p>
    <w:p w14:paraId="346D494C" w14:textId="4A146D3C" w:rsidR="00814191" w:rsidRDefault="00312341" w:rsidP="00384D18">
      <w:pPr>
        <w:rPr>
          <w:rFonts w:cs="Arial"/>
          <w:szCs w:val="19"/>
          <w:lang w:val="en-GB"/>
        </w:rPr>
      </w:pPr>
      <w:r w:rsidRPr="00312341">
        <w:rPr>
          <w:rFonts w:cs="Arial"/>
          <w:szCs w:val="19"/>
          <w:lang w:val="en-GB"/>
        </w:rPr>
        <w:t xml:space="preserve">Expenditure on food and non-alcoholic beverages, similarly to the previous years, had the highest share in the structure of expenditure </w:t>
      </w:r>
      <w:r w:rsidR="00BA07C5">
        <w:rPr>
          <w:rFonts w:cs="Arial"/>
          <w:szCs w:val="19"/>
          <w:lang w:val="en-GB"/>
        </w:rPr>
        <w:t>for</w:t>
      </w:r>
      <w:r w:rsidR="00751A59">
        <w:rPr>
          <w:rFonts w:cs="Arial"/>
          <w:szCs w:val="19"/>
          <w:lang w:val="en-GB"/>
        </w:rPr>
        <w:t xml:space="preserve"> </w:t>
      </w:r>
      <w:r w:rsidRPr="00312341">
        <w:rPr>
          <w:rFonts w:cs="Arial"/>
          <w:szCs w:val="19"/>
          <w:lang w:val="en-GB"/>
        </w:rPr>
        <w:t>household</w:t>
      </w:r>
      <w:r>
        <w:rPr>
          <w:rFonts w:cs="Arial"/>
          <w:szCs w:val="19"/>
          <w:lang w:val="en-GB"/>
        </w:rPr>
        <w:t>s</w:t>
      </w:r>
      <w:r w:rsidRPr="00312341">
        <w:rPr>
          <w:rFonts w:cs="Arial"/>
          <w:szCs w:val="19"/>
          <w:lang w:val="en-GB"/>
        </w:rPr>
        <w:t xml:space="preserve"> </w:t>
      </w:r>
      <w:r w:rsidR="00751A59">
        <w:rPr>
          <w:rFonts w:cs="Arial"/>
          <w:szCs w:val="19"/>
          <w:lang w:val="en-GB"/>
        </w:rPr>
        <w:t xml:space="preserve">in </w:t>
      </w:r>
      <w:r w:rsidRPr="00312341">
        <w:rPr>
          <w:rFonts w:cs="Arial"/>
          <w:szCs w:val="19"/>
          <w:lang w:val="en-GB"/>
        </w:rPr>
        <w:t xml:space="preserve">total </w:t>
      </w:r>
      <w:r w:rsidR="00751A59">
        <w:rPr>
          <w:rFonts w:cs="Arial"/>
          <w:szCs w:val="19"/>
          <w:lang w:val="en-GB"/>
        </w:rPr>
        <w:t>–</w:t>
      </w:r>
      <w:r w:rsidRPr="00312341">
        <w:rPr>
          <w:rFonts w:cs="Arial"/>
          <w:szCs w:val="19"/>
          <w:lang w:val="en-GB"/>
        </w:rPr>
        <w:t xml:space="preserve"> </w:t>
      </w:r>
      <w:r w:rsidR="003E2BEB">
        <w:rPr>
          <w:rFonts w:cs="Arial"/>
          <w:szCs w:val="19"/>
          <w:lang w:val="en-GB"/>
        </w:rPr>
        <w:t>25.3</w:t>
      </w:r>
      <w:r w:rsidRPr="00312341">
        <w:rPr>
          <w:rFonts w:cs="Arial"/>
          <w:szCs w:val="19"/>
          <w:lang w:val="en-GB"/>
        </w:rPr>
        <w:t xml:space="preserve">% </w:t>
      </w:r>
      <w:r w:rsidR="004550D9">
        <w:rPr>
          <w:rFonts w:cs="Arial"/>
          <w:szCs w:val="19"/>
          <w:lang w:val="en-GB"/>
        </w:rPr>
        <w:t>(</w:t>
      </w:r>
      <w:r w:rsidR="006D670B">
        <w:rPr>
          <w:rFonts w:cs="Arial"/>
          <w:szCs w:val="19"/>
          <w:lang w:val="en-GB"/>
        </w:rPr>
        <w:t>in 2023 – 27.2</w:t>
      </w:r>
      <w:r w:rsidR="004550D9">
        <w:rPr>
          <w:rFonts w:cs="Arial"/>
          <w:szCs w:val="19"/>
          <w:lang w:val="en-GB"/>
        </w:rPr>
        <w:t xml:space="preserve">). In individual socio-economic groups </w:t>
      </w:r>
      <w:r w:rsidR="0053510F">
        <w:rPr>
          <w:rFonts w:cs="Arial"/>
          <w:szCs w:val="19"/>
          <w:lang w:val="en-GB"/>
        </w:rPr>
        <w:t>this share</w:t>
      </w:r>
      <w:r w:rsidR="004550D9">
        <w:rPr>
          <w:rFonts w:cs="Arial"/>
          <w:szCs w:val="19"/>
          <w:lang w:val="en-GB"/>
        </w:rPr>
        <w:t xml:space="preserve"> </w:t>
      </w:r>
      <w:r w:rsidRPr="00312341">
        <w:rPr>
          <w:rFonts w:cs="Arial"/>
          <w:szCs w:val="19"/>
          <w:lang w:val="en-GB"/>
        </w:rPr>
        <w:t xml:space="preserve">ranged from </w:t>
      </w:r>
      <w:r w:rsidR="00DA1644">
        <w:rPr>
          <w:rFonts w:cs="Arial"/>
          <w:szCs w:val="19"/>
          <w:lang w:val="en-GB"/>
        </w:rPr>
        <w:t>2</w:t>
      </w:r>
      <w:r w:rsidR="003E2BEB">
        <w:rPr>
          <w:rFonts w:cs="Arial"/>
          <w:szCs w:val="19"/>
          <w:lang w:val="en-GB"/>
        </w:rPr>
        <w:t>1</w:t>
      </w:r>
      <w:r w:rsidR="00DA1644">
        <w:rPr>
          <w:rFonts w:cs="Arial"/>
          <w:szCs w:val="19"/>
          <w:lang w:val="en-GB"/>
        </w:rPr>
        <w:t>.</w:t>
      </w:r>
      <w:r w:rsidR="004550D9">
        <w:rPr>
          <w:rFonts w:cs="Arial"/>
          <w:szCs w:val="19"/>
          <w:lang w:val="en-GB"/>
        </w:rPr>
        <w:t>5</w:t>
      </w:r>
      <w:r w:rsidRPr="00312341">
        <w:rPr>
          <w:rFonts w:cs="Arial"/>
          <w:szCs w:val="19"/>
          <w:lang w:val="en-GB"/>
        </w:rPr>
        <w:t xml:space="preserve">% in </w:t>
      </w:r>
      <w:r w:rsidR="00751A59" w:rsidRPr="00312341">
        <w:rPr>
          <w:rFonts w:cs="Arial"/>
          <w:szCs w:val="19"/>
          <w:lang w:val="en-GB"/>
        </w:rPr>
        <w:t xml:space="preserve">households </w:t>
      </w:r>
      <w:r w:rsidR="00751A59">
        <w:rPr>
          <w:rFonts w:cs="Arial"/>
          <w:szCs w:val="19"/>
          <w:lang w:val="en-GB"/>
        </w:rPr>
        <w:t xml:space="preserve">of </w:t>
      </w:r>
      <w:r w:rsidRPr="00312341">
        <w:rPr>
          <w:rFonts w:cs="Arial"/>
          <w:szCs w:val="19"/>
          <w:lang w:val="en-GB"/>
        </w:rPr>
        <w:t>self-employed outside farm</w:t>
      </w:r>
      <w:r w:rsidR="00751A59">
        <w:rPr>
          <w:rFonts w:cs="Arial"/>
          <w:szCs w:val="19"/>
          <w:lang w:val="en-GB"/>
        </w:rPr>
        <w:t>ing</w:t>
      </w:r>
      <w:r w:rsidRPr="00312341">
        <w:rPr>
          <w:rFonts w:cs="Arial"/>
          <w:szCs w:val="19"/>
          <w:lang w:val="en-GB"/>
        </w:rPr>
        <w:t xml:space="preserve"> to </w:t>
      </w:r>
      <w:r w:rsidR="003E2BEB">
        <w:rPr>
          <w:rFonts w:cs="Arial"/>
          <w:szCs w:val="19"/>
          <w:lang w:val="en-GB"/>
        </w:rPr>
        <w:t>33.2</w:t>
      </w:r>
      <w:r w:rsidRPr="00312341">
        <w:rPr>
          <w:rFonts w:cs="Arial"/>
          <w:szCs w:val="19"/>
          <w:lang w:val="en-GB"/>
        </w:rPr>
        <w:t xml:space="preserve">% in </w:t>
      </w:r>
      <w:r w:rsidR="00751A59">
        <w:rPr>
          <w:rFonts w:cs="Arial"/>
          <w:szCs w:val="19"/>
          <w:lang w:val="en-GB"/>
        </w:rPr>
        <w:t>households</w:t>
      </w:r>
      <w:r w:rsidRPr="00312341">
        <w:rPr>
          <w:rFonts w:cs="Arial"/>
          <w:szCs w:val="19"/>
          <w:lang w:val="en-GB"/>
        </w:rPr>
        <w:t xml:space="preserve"> of farmers. </w:t>
      </w:r>
    </w:p>
    <w:p w14:paraId="7DE953A0" w14:textId="6F96192C" w:rsidR="00814191" w:rsidRPr="00056F23" w:rsidRDefault="00814191" w:rsidP="00814191">
      <w:pPr>
        <w:rPr>
          <w:spacing w:val="-2"/>
          <w:szCs w:val="19"/>
          <w:shd w:val="clear" w:color="auto" w:fill="FFFFFF"/>
          <w:lang w:val="en-GB"/>
        </w:rPr>
      </w:pPr>
      <w:r w:rsidRPr="00504306">
        <w:rPr>
          <w:rFonts w:cs="Arial"/>
          <w:bCs/>
          <w:szCs w:val="19"/>
          <w:lang w:val="en-GB"/>
        </w:rPr>
        <w:t xml:space="preserve">Another important item in households expenditure was </w:t>
      </w:r>
      <w:r w:rsidR="00CC3BB5" w:rsidRPr="00504306">
        <w:rPr>
          <w:rFonts w:cs="Arial"/>
          <w:bCs/>
          <w:szCs w:val="19"/>
          <w:lang w:val="en-GB"/>
        </w:rPr>
        <w:t xml:space="preserve">expenditure </w:t>
      </w:r>
      <w:r w:rsidRPr="00504306">
        <w:rPr>
          <w:rFonts w:cs="Arial"/>
          <w:bCs/>
          <w:szCs w:val="19"/>
          <w:lang w:val="en-GB"/>
        </w:rPr>
        <w:t xml:space="preserve">on </w:t>
      </w:r>
      <w:bookmarkStart w:id="3" w:name="_Hlk72155264"/>
      <w:r w:rsidRPr="00504306">
        <w:rPr>
          <w:rFonts w:cs="Arial"/>
          <w:bCs/>
          <w:szCs w:val="19"/>
          <w:lang w:val="en-GB"/>
        </w:rPr>
        <w:t>housing, water, electricity, gas and other fuels</w:t>
      </w:r>
      <w:bookmarkEnd w:id="3"/>
      <w:r w:rsidRPr="00504306">
        <w:rPr>
          <w:rFonts w:cs="Arial"/>
          <w:bCs/>
          <w:szCs w:val="19"/>
          <w:lang w:val="en-GB"/>
        </w:rPr>
        <w:t xml:space="preserve">. Its share in total expenditure was on average </w:t>
      </w:r>
      <w:r w:rsidR="003E2BEB">
        <w:rPr>
          <w:rFonts w:cs="Arial"/>
          <w:bCs/>
          <w:szCs w:val="19"/>
          <w:lang w:val="en-GB"/>
        </w:rPr>
        <w:t>18.8</w:t>
      </w:r>
      <w:r w:rsidRPr="00504306">
        <w:rPr>
          <w:rFonts w:cs="Arial"/>
          <w:bCs/>
          <w:szCs w:val="19"/>
          <w:lang w:val="en-GB"/>
        </w:rPr>
        <w:t xml:space="preserve">% and </w:t>
      </w:r>
      <w:r w:rsidR="006D3BCA" w:rsidRPr="00504306">
        <w:rPr>
          <w:rFonts w:cs="Arial"/>
          <w:bCs/>
          <w:szCs w:val="19"/>
          <w:lang w:val="en-GB"/>
        </w:rPr>
        <w:t>in 202</w:t>
      </w:r>
      <w:r w:rsidR="003E2BEB">
        <w:rPr>
          <w:rFonts w:cs="Arial"/>
          <w:bCs/>
          <w:szCs w:val="19"/>
          <w:lang w:val="en-GB"/>
        </w:rPr>
        <w:t>4</w:t>
      </w:r>
      <w:r w:rsidR="006D3BCA">
        <w:rPr>
          <w:rFonts w:cs="Arial"/>
          <w:bCs/>
          <w:szCs w:val="19"/>
          <w:lang w:val="en-GB"/>
        </w:rPr>
        <w:t xml:space="preserve"> </w:t>
      </w:r>
      <w:r w:rsidR="003E2BEB">
        <w:rPr>
          <w:rFonts w:cs="Arial"/>
          <w:bCs/>
          <w:szCs w:val="19"/>
          <w:lang w:val="en-GB"/>
        </w:rPr>
        <w:t>de</w:t>
      </w:r>
      <w:r w:rsidR="00377B56" w:rsidRPr="00504306">
        <w:rPr>
          <w:rFonts w:cs="Arial"/>
          <w:bCs/>
          <w:szCs w:val="19"/>
          <w:lang w:val="en-GB"/>
        </w:rPr>
        <w:t xml:space="preserve">creased </w:t>
      </w:r>
      <w:r w:rsidRPr="00504306">
        <w:rPr>
          <w:rFonts w:cs="Arial"/>
          <w:bCs/>
          <w:szCs w:val="19"/>
          <w:lang w:val="en-GB"/>
        </w:rPr>
        <w:t xml:space="preserve">by </w:t>
      </w:r>
      <w:r w:rsidR="003E2BEB">
        <w:rPr>
          <w:rFonts w:cs="Arial"/>
          <w:bCs/>
          <w:szCs w:val="19"/>
          <w:lang w:val="en-GB"/>
        </w:rPr>
        <w:t>1.1</w:t>
      </w:r>
      <w:r w:rsidRPr="00504306">
        <w:rPr>
          <w:rFonts w:cs="Arial"/>
          <w:bCs/>
          <w:szCs w:val="19"/>
          <w:lang w:val="en-GB"/>
        </w:rPr>
        <w:t> percentage points</w:t>
      </w:r>
      <w:r w:rsidR="006D3BCA">
        <w:rPr>
          <w:rFonts w:cs="Arial"/>
          <w:bCs/>
          <w:szCs w:val="19"/>
          <w:lang w:val="en-GB"/>
        </w:rPr>
        <w:t xml:space="preserve"> in comparison with the previous year</w:t>
      </w:r>
      <w:r w:rsidRPr="00504306">
        <w:rPr>
          <w:rFonts w:cs="Arial"/>
          <w:bCs/>
          <w:szCs w:val="19"/>
          <w:lang w:val="en-GB"/>
        </w:rPr>
        <w:t xml:space="preserve">. </w:t>
      </w:r>
      <w:r w:rsidR="006D3BCA">
        <w:rPr>
          <w:rFonts w:cs="Arial"/>
          <w:bCs/>
          <w:szCs w:val="19"/>
          <w:lang w:val="en-GB"/>
        </w:rPr>
        <w:t>Among the socio-economic groups, t</w:t>
      </w:r>
      <w:r w:rsidRPr="00504306">
        <w:rPr>
          <w:rFonts w:cs="Arial"/>
          <w:bCs/>
          <w:szCs w:val="19"/>
          <w:lang w:val="en-GB"/>
        </w:rPr>
        <w:t xml:space="preserve">he lowest share of expenditure </w:t>
      </w:r>
      <w:r w:rsidR="006D3BCA" w:rsidRPr="00504306">
        <w:rPr>
          <w:rFonts w:cs="Arial"/>
          <w:bCs/>
          <w:szCs w:val="19"/>
          <w:lang w:val="en-GB"/>
        </w:rPr>
        <w:t xml:space="preserve">on housing, water, electricity, gas and other fuels </w:t>
      </w:r>
      <w:r w:rsidRPr="00504306">
        <w:rPr>
          <w:rFonts w:cs="Arial"/>
          <w:bCs/>
          <w:szCs w:val="19"/>
          <w:lang w:val="en-GB"/>
        </w:rPr>
        <w:t xml:space="preserve">was </w:t>
      </w:r>
      <w:r w:rsidR="006D3BCA">
        <w:rPr>
          <w:rFonts w:cs="Arial"/>
          <w:bCs/>
          <w:szCs w:val="19"/>
          <w:lang w:val="en-GB"/>
        </w:rPr>
        <w:t xml:space="preserve">recorded </w:t>
      </w:r>
      <w:r w:rsidRPr="00504306">
        <w:rPr>
          <w:rFonts w:cs="Arial"/>
          <w:bCs/>
          <w:szCs w:val="19"/>
          <w:lang w:val="en-GB"/>
        </w:rPr>
        <w:t xml:space="preserve">in the households of </w:t>
      </w:r>
      <w:r w:rsidR="00377B56">
        <w:rPr>
          <w:rFonts w:cs="Arial"/>
          <w:bCs/>
          <w:szCs w:val="19"/>
          <w:lang w:val="en-GB"/>
        </w:rPr>
        <w:t>farmers</w:t>
      </w:r>
      <w:r w:rsidRPr="006416F7">
        <w:rPr>
          <w:rFonts w:cs="Arial"/>
          <w:bCs/>
          <w:szCs w:val="19"/>
          <w:lang w:val="en-GB"/>
        </w:rPr>
        <w:t xml:space="preserve"> (</w:t>
      </w:r>
      <w:r>
        <w:rPr>
          <w:rFonts w:cs="Arial"/>
          <w:bCs/>
          <w:szCs w:val="19"/>
          <w:lang w:val="en-GB"/>
        </w:rPr>
        <w:t>16.</w:t>
      </w:r>
      <w:r w:rsidR="00EC1615">
        <w:rPr>
          <w:rFonts w:cs="Arial"/>
          <w:bCs/>
          <w:szCs w:val="19"/>
          <w:lang w:val="en-GB"/>
        </w:rPr>
        <w:t>4</w:t>
      </w:r>
      <w:r w:rsidRPr="006416F7">
        <w:rPr>
          <w:rFonts w:cs="Arial"/>
          <w:bCs/>
          <w:szCs w:val="19"/>
          <w:lang w:val="en-GB"/>
        </w:rPr>
        <w:t xml:space="preserve">%) and the highest in the households of pensioners </w:t>
      </w:r>
      <w:r w:rsidR="006D3BCA">
        <w:rPr>
          <w:rFonts w:cs="Arial"/>
          <w:bCs/>
          <w:szCs w:val="19"/>
          <w:lang w:val="en-GB"/>
        </w:rPr>
        <w:t>(</w:t>
      </w:r>
      <w:r w:rsidR="00EC1615">
        <w:rPr>
          <w:rFonts w:cs="Arial"/>
          <w:bCs/>
          <w:szCs w:val="19"/>
          <w:lang w:val="en-GB"/>
        </w:rPr>
        <w:t>25.4</w:t>
      </w:r>
      <w:r w:rsidRPr="006416F7">
        <w:rPr>
          <w:rFonts w:cs="Arial"/>
          <w:bCs/>
          <w:szCs w:val="19"/>
          <w:lang w:val="en-GB"/>
        </w:rPr>
        <w:t>%</w:t>
      </w:r>
      <w:r w:rsidR="006D3BCA">
        <w:rPr>
          <w:rFonts w:cs="Arial"/>
          <w:bCs/>
          <w:szCs w:val="19"/>
          <w:lang w:val="en-GB"/>
        </w:rPr>
        <w:t>)</w:t>
      </w:r>
      <w:r w:rsidRPr="006416F7">
        <w:rPr>
          <w:rFonts w:cs="Arial"/>
          <w:bCs/>
          <w:szCs w:val="19"/>
          <w:lang w:val="en-GB"/>
        </w:rPr>
        <w:t>.</w:t>
      </w:r>
    </w:p>
    <w:p w14:paraId="7EE94E5D" w14:textId="4514C33F" w:rsidR="00764D9C" w:rsidRDefault="00EC1615" w:rsidP="00F64E3E">
      <w:pPr>
        <w:spacing w:before="360" w:after="360" w:line="240" w:lineRule="auto"/>
        <w:rPr>
          <w:spacing w:val="-2"/>
          <w:szCs w:val="19"/>
          <w:shd w:val="clear" w:color="auto" w:fill="FFFFFF"/>
          <w:lang w:val="en-GB"/>
        </w:rPr>
      </w:pPr>
      <w:r>
        <w:rPr>
          <w:noProof/>
          <w:lang w:eastAsia="pl-PL"/>
        </w:rPr>
        <w:lastRenderedPageBreak/>
        <w:drawing>
          <wp:inline distT="0" distB="0" distL="0" distR="0" wp14:anchorId="489310A4" wp14:editId="2790BB80">
            <wp:extent cx="5122545" cy="2915920"/>
            <wp:effectExtent l="0" t="0" r="1905" b="0"/>
            <wp:docPr id="21" name="Wykres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E94E5F" w14:textId="527D0762" w:rsidR="007E2F9C" w:rsidRDefault="00EC1615" w:rsidP="005067E3">
      <w:pPr>
        <w:spacing w:line="240" w:lineRule="auto"/>
        <w:rPr>
          <w:rFonts w:cs="Arial"/>
          <w:i/>
          <w:szCs w:val="19"/>
          <w:lang w:val="en-GB"/>
        </w:rPr>
      </w:pPr>
      <w:r w:rsidRPr="00EC1615">
        <w:rPr>
          <w:rFonts w:cs="Arial"/>
          <w:szCs w:val="19"/>
          <w:lang w:val="en-GB"/>
        </w:rPr>
        <w:t>In 2024, differences in structure in the main groups of consumer goods and services were greater than in 2023.</w:t>
      </w:r>
      <w:r w:rsidR="008C7F4B">
        <w:rPr>
          <w:rFonts w:cs="Arial"/>
          <w:szCs w:val="19"/>
          <w:lang w:val="en-GB"/>
        </w:rPr>
        <w:t xml:space="preserve"> </w:t>
      </w:r>
      <w:r>
        <w:rPr>
          <w:rFonts w:cs="Arial"/>
          <w:szCs w:val="19"/>
          <w:lang w:val="en-GB"/>
        </w:rPr>
        <w:t>B</w:t>
      </w:r>
      <w:r w:rsidR="008C7F4B">
        <w:rPr>
          <w:rFonts w:cs="Arial"/>
          <w:szCs w:val="19"/>
          <w:lang w:val="en-GB"/>
        </w:rPr>
        <w:t>etween 20</w:t>
      </w:r>
      <w:r w:rsidR="00D468FC">
        <w:rPr>
          <w:rFonts w:cs="Arial"/>
          <w:szCs w:val="19"/>
          <w:lang w:val="en-GB"/>
        </w:rPr>
        <w:t>2</w:t>
      </w:r>
      <w:r>
        <w:rPr>
          <w:rFonts w:cs="Arial"/>
          <w:szCs w:val="19"/>
          <w:lang w:val="en-GB"/>
        </w:rPr>
        <w:t>3</w:t>
      </w:r>
      <w:r w:rsidR="008C7F4B">
        <w:rPr>
          <w:rFonts w:cs="Arial"/>
          <w:szCs w:val="19"/>
          <w:lang w:val="en-GB"/>
        </w:rPr>
        <w:t xml:space="preserve"> and 20</w:t>
      </w:r>
      <w:r w:rsidR="008D7D3B">
        <w:rPr>
          <w:rFonts w:cs="Arial"/>
          <w:szCs w:val="19"/>
          <w:lang w:val="en-GB"/>
        </w:rPr>
        <w:t>2</w:t>
      </w:r>
      <w:r>
        <w:rPr>
          <w:rFonts w:cs="Arial"/>
          <w:szCs w:val="19"/>
          <w:lang w:val="en-GB"/>
        </w:rPr>
        <w:t>4</w:t>
      </w:r>
      <w:r w:rsidR="008C7F4B">
        <w:rPr>
          <w:rFonts w:cs="Arial"/>
          <w:szCs w:val="19"/>
          <w:lang w:val="en-GB"/>
        </w:rPr>
        <w:t>, c</w:t>
      </w:r>
      <w:r w:rsidR="007E2F9C" w:rsidRPr="00F95CD2">
        <w:rPr>
          <w:rFonts w:cs="Arial"/>
          <w:szCs w:val="19"/>
          <w:lang w:val="en-GB"/>
        </w:rPr>
        <w:t xml:space="preserve">hanges in </w:t>
      </w:r>
      <w:r w:rsidR="008D7D3B">
        <w:rPr>
          <w:rFonts w:cs="Arial"/>
          <w:szCs w:val="19"/>
          <w:lang w:val="en-GB"/>
        </w:rPr>
        <w:t xml:space="preserve">the </w:t>
      </w:r>
      <w:r w:rsidR="00BA07C5">
        <w:rPr>
          <w:rFonts w:cs="Arial"/>
          <w:szCs w:val="19"/>
          <w:lang w:val="en-GB"/>
        </w:rPr>
        <w:t xml:space="preserve">share in expenditure </w:t>
      </w:r>
      <w:r w:rsidR="007E2F9C" w:rsidRPr="00F95CD2">
        <w:rPr>
          <w:rFonts w:cs="Arial"/>
          <w:szCs w:val="19"/>
          <w:lang w:val="en-GB"/>
        </w:rPr>
        <w:t>structure for households in total ranged from -</w:t>
      </w:r>
      <w:r>
        <w:rPr>
          <w:rFonts w:cs="Arial"/>
          <w:szCs w:val="19"/>
          <w:lang w:val="en-GB"/>
        </w:rPr>
        <w:t>1.9</w:t>
      </w:r>
      <w:r w:rsidR="007E2F9C" w:rsidRPr="00F95CD2">
        <w:rPr>
          <w:rFonts w:cs="Arial"/>
          <w:szCs w:val="19"/>
          <w:lang w:val="en-GB"/>
        </w:rPr>
        <w:t xml:space="preserve"> </w:t>
      </w:r>
      <w:r w:rsidR="00F95CD2" w:rsidRPr="00F95CD2">
        <w:rPr>
          <w:rFonts w:cs="Arial"/>
          <w:szCs w:val="19"/>
          <w:lang w:val="en-GB"/>
        </w:rPr>
        <w:t>percentage point</w:t>
      </w:r>
      <w:r w:rsidR="002E6303">
        <w:rPr>
          <w:rFonts w:cs="Arial"/>
          <w:szCs w:val="19"/>
          <w:lang w:val="en-GB"/>
        </w:rPr>
        <w:t>s</w:t>
      </w:r>
      <w:r w:rsidR="000B04B8">
        <w:rPr>
          <w:rFonts w:cs="Arial"/>
          <w:szCs w:val="19"/>
          <w:lang w:val="en-GB"/>
        </w:rPr>
        <w:t xml:space="preserve"> </w:t>
      </w:r>
      <w:r w:rsidR="00A3489A">
        <w:rPr>
          <w:rFonts w:cs="Arial"/>
          <w:szCs w:val="19"/>
          <w:lang w:val="en-GB"/>
        </w:rPr>
        <w:t>(</w:t>
      </w:r>
      <w:r>
        <w:rPr>
          <w:rFonts w:cs="Arial"/>
          <w:szCs w:val="19"/>
          <w:lang w:val="en-GB"/>
        </w:rPr>
        <w:t>food and non-alcoholic beverages</w:t>
      </w:r>
      <w:r w:rsidR="00A3489A">
        <w:rPr>
          <w:rFonts w:cs="Arial"/>
          <w:szCs w:val="19"/>
          <w:lang w:val="en-GB"/>
        </w:rPr>
        <w:t>)</w:t>
      </w:r>
      <w:r w:rsidR="007E2F9C" w:rsidRPr="00F95CD2">
        <w:rPr>
          <w:rFonts w:cs="Arial"/>
          <w:szCs w:val="19"/>
          <w:lang w:val="en-GB"/>
        </w:rPr>
        <w:t xml:space="preserve"> </w:t>
      </w:r>
      <w:r w:rsidR="00BA07C5">
        <w:rPr>
          <w:rFonts w:cs="Arial"/>
          <w:szCs w:val="19"/>
          <w:lang w:val="en-GB"/>
        </w:rPr>
        <w:t xml:space="preserve">to </w:t>
      </w:r>
      <w:r w:rsidR="007E2F9C" w:rsidRPr="00F95CD2">
        <w:rPr>
          <w:rFonts w:cs="Arial"/>
          <w:szCs w:val="19"/>
          <w:lang w:val="en-GB"/>
        </w:rPr>
        <w:t>+</w:t>
      </w:r>
      <w:r>
        <w:rPr>
          <w:rFonts w:cs="Arial"/>
          <w:szCs w:val="19"/>
          <w:lang w:val="en-GB"/>
        </w:rPr>
        <w:t>1.7</w:t>
      </w:r>
      <w:r w:rsidR="007E2F9C" w:rsidRPr="00F95CD2">
        <w:rPr>
          <w:rFonts w:cs="Arial"/>
          <w:szCs w:val="19"/>
          <w:lang w:val="en-GB"/>
        </w:rPr>
        <w:t xml:space="preserve"> pe</w:t>
      </w:r>
      <w:r w:rsidR="000B04B8">
        <w:rPr>
          <w:rFonts w:cs="Arial"/>
          <w:szCs w:val="19"/>
          <w:lang w:val="en-GB"/>
        </w:rPr>
        <w:t xml:space="preserve">rcentage points </w:t>
      </w:r>
      <w:r w:rsidR="00BA07C5">
        <w:rPr>
          <w:rFonts w:cs="Arial"/>
          <w:szCs w:val="19"/>
          <w:lang w:val="en-GB"/>
        </w:rPr>
        <w:t>(</w:t>
      </w:r>
      <w:r>
        <w:rPr>
          <w:rFonts w:cs="Arial"/>
          <w:szCs w:val="19"/>
          <w:lang w:val="en-GB"/>
        </w:rPr>
        <w:t>transport</w:t>
      </w:r>
      <w:r w:rsidR="00BA07C5">
        <w:rPr>
          <w:rFonts w:cs="Arial"/>
          <w:szCs w:val="19"/>
          <w:lang w:val="en-GB"/>
        </w:rPr>
        <w:t>)</w:t>
      </w:r>
      <w:r w:rsidR="007E2F9C" w:rsidRPr="00F95CD2">
        <w:rPr>
          <w:rFonts w:cs="Arial"/>
          <w:i/>
          <w:szCs w:val="19"/>
          <w:lang w:val="en-GB"/>
        </w:rPr>
        <w:t>.</w:t>
      </w:r>
    </w:p>
    <w:p w14:paraId="7EE94E61" w14:textId="7DBAEE7E" w:rsidR="00764D9C" w:rsidRPr="00377B56" w:rsidRDefault="00321C28" w:rsidP="00F64E3E">
      <w:pPr>
        <w:spacing w:before="360" w:after="360" w:line="240" w:lineRule="auto"/>
        <w:rPr>
          <w:i/>
          <w:spacing w:val="-2"/>
          <w:szCs w:val="19"/>
          <w:shd w:val="clear" w:color="auto" w:fill="FFFFFF"/>
          <w:lang w:val="en-GB"/>
        </w:rPr>
      </w:pPr>
      <w:r>
        <w:rPr>
          <w:noProof/>
          <w:lang w:eastAsia="pl-PL"/>
        </w:rPr>
        <w:drawing>
          <wp:inline distT="0" distB="0" distL="0" distR="0" wp14:anchorId="075C5115" wp14:editId="3B7EF799">
            <wp:extent cx="5122545" cy="4787900"/>
            <wp:effectExtent l="0" t="0" r="1905" b="0"/>
            <wp:docPr id="17" name="Wykres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00000000-0008-0000-07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E94F26" w14:textId="1B7F8353" w:rsidR="00FE38FD" w:rsidRDefault="00BD5E02" w:rsidP="005B4411">
      <w:pPr>
        <w:spacing w:line="240" w:lineRule="auto"/>
        <w:rPr>
          <w:rFonts w:cs="Arial"/>
          <w:szCs w:val="19"/>
          <w:lang w:val="en-GB"/>
        </w:rPr>
      </w:pPr>
      <w:r>
        <w:rPr>
          <w:noProof/>
          <w:lang w:eastAsia="pl-PL"/>
        </w:rPr>
        <w:lastRenderedPageBreak/>
        <mc:AlternateContent>
          <mc:Choice Requires="wps">
            <w:drawing>
              <wp:anchor distT="45720" distB="45720" distL="114300" distR="114300" simplePos="0" relativeHeight="251813888" behindDoc="1" locked="0" layoutInCell="1" allowOverlap="1" wp14:anchorId="7EE94FB0" wp14:editId="223C1CDB">
                <wp:simplePos x="0" y="0"/>
                <wp:positionH relativeFrom="column">
                  <wp:posOffset>5257800</wp:posOffset>
                </wp:positionH>
                <wp:positionV relativeFrom="paragraph">
                  <wp:posOffset>533400</wp:posOffset>
                </wp:positionV>
                <wp:extent cx="1764665" cy="1714500"/>
                <wp:effectExtent l="0" t="0" r="0" b="0"/>
                <wp:wrapTight wrapText="bothSides">
                  <wp:wrapPolygon edited="0">
                    <wp:start x="700" y="0"/>
                    <wp:lineTo x="700" y="21360"/>
                    <wp:lineTo x="20753" y="21360"/>
                    <wp:lineTo x="20753" y="0"/>
                    <wp:lineTo x="700" y="0"/>
                  </wp:wrapPolygon>
                </wp:wrapTight>
                <wp:docPr id="216" name="Pole tekstowe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714500"/>
                        </a:xfrm>
                        <a:prstGeom prst="rect">
                          <a:avLst/>
                        </a:prstGeom>
                        <a:noFill/>
                        <a:ln w="9525">
                          <a:noFill/>
                          <a:miter lim="800000"/>
                          <a:headEnd/>
                          <a:tailEnd/>
                        </a:ln>
                      </wps:spPr>
                      <wps:txbx>
                        <w:txbxContent>
                          <w:p w14:paraId="7EE95018" w14:textId="001F3C2D" w:rsidR="00882B10" w:rsidRPr="00A13CB9" w:rsidRDefault="00882B10" w:rsidP="00764D9C">
                            <w:pPr>
                              <w:pStyle w:val="tekstzboku"/>
                              <w:rPr>
                                <w:spacing w:val="-2"/>
                                <w:lang w:val="en-GB"/>
                              </w:rPr>
                            </w:pPr>
                            <w:r>
                              <w:rPr>
                                <w:spacing w:val="-2"/>
                                <w:lang w:val="en-GB"/>
                              </w:rPr>
                              <w:t>In the h</w:t>
                            </w:r>
                            <w:r w:rsidRPr="00A13CB9">
                              <w:rPr>
                                <w:spacing w:val="-2"/>
                                <w:lang w:val="en-GB"/>
                              </w:rPr>
                              <w:t>ouseholds of 20% of persons in the most favourable financial s</w:t>
                            </w:r>
                            <w:r>
                              <w:rPr>
                                <w:spacing w:val="-2"/>
                                <w:lang w:val="en-GB"/>
                              </w:rPr>
                              <w:t>i</w:t>
                            </w:r>
                            <w:r w:rsidRPr="00A13CB9">
                              <w:rPr>
                                <w:spacing w:val="-2"/>
                                <w:lang w:val="en-GB"/>
                              </w:rPr>
                              <w:t xml:space="preserve">tuation </w:t>
                            </w:r>
                            <w:r>
                              <w:rPr>
                                <w:spacing w:val="-2"/>
                                <w:lang w:val="en-GB"/>
                              </w:rPr>
                              <w:t>was ac</w:t>
                            </w:r>
                            <w:r w:rsidRPr="00A13CB9">
                              <w:rPr>
                                <w:spacing w:val="-2"/>
                                <w:lang w:val="en-GB"/>
                              </w:rPr>
                              <w:t xml:space="preserve">cumulated </w:t>
                            </w:r>
                            <w:r>
                              <w:rPr>
                                <w:spacing w:val="-2"/>
                                <w:lang w:val="en-GB"/>
                              </w:rPr>
                              <w:t>38.2</w:t>
                            </w:r>
                            <w:r w:rsidRPr="00A13CB9">
                              <w:rPr>
                                <w:spacing w:val="-2"/>
                                <w:lang w:val="en-GB"/>
                              </w:rPr>
                              <w:t xml:space="preserve">% </w:t>
                            </w:r>
                            <w:r>
                              <w:rPr>
                                <w:spacing w:val="-2"/>
                                <w:lang w:val="en-GB"/>
                              </w:rPr>
                              <w:t xml:space="preserve">of </w:t>
                            </w:r>
                            <w:r w:rsidRPr="00A13CB9">
                              <w:rPr>
                                <w:spacing w:val="-2"/>
                                <w:lang w:val="en-GB"/>
                              </w:rPr>
                              <w:t xml:space="preserve">income </w:t>
                            </w:r>
                            <w:r>
                              <w:rPr>
                                <w:spacing w:val="-2"/>
                                <w:lang w:val="en-GB"/>
                              </w:rPr>
                              <w:t>of entire</w:t>
                            </w:r>
                            <w:r w:rsidRPr="00A13CB9">
                              <w:rPr>
                                <w:spacing w:val="-2"/>
                                <w:lang w:val="en-GB"/>
                              </w:rPr>
                              <w:t xml:space="preserve"> sur</w:t>
                            </w:r>
                            <w:r>
                              <w:rPr>
                                <w:spacing w:val="-2"/>
                                <w:lang w:val="en-GB"/>
                              </w:rPr>
                              <w:t>veyed population of households, while in the h</w:t>
                            </w:r>
                            <w:r w:rsidRPr="00A13CB9">
                              <w:rPr>
                                <w:spacing w:val="-2"/>
                                <w:lang w:val="en-GB"/>
                              </w:rPr>
                              <w:t xml:space="preserve">ouseholds of 20% of the persons </w:t>
                            </w:r>
                            <w:r>
                              <w:rPr>
                                <w:spacing w:val="-2"/>
                                <w:lang w:val="en-GB"/>
                              </w:rPr>
                              <w:t xml:space="preserve">in the worst situation </w:t>
                            </w:r>
                            <w:r>
                              <w:rPr>
                                <w:spacing w:val="-2"/>
                                <w:lang w:val="en-GB"/>
                              </w:rPr>
                              <w:br/>
                              <w:t>– 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EE94FB0" id="Pole tekstowe 216" o:spid="_x0000_s1033" type="#_x0000_t202" style="position:absolute;margin-left:414pt;margin-top:42pt;width:138.95pt;height:135pt;z-index:-25150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" filled="f" stroked="f">
                <v:textbox>
                  <w:txbxContent>
                    <w:p w14:paraId="7EE95018" w14:textId="001F3C2D" w:rsidR="00882B10" w:rsidRPr="00A13CB9" w:rsidRDefault="00882B10" w:rsidP="00764D9C">
                      <w:pPr>
                        <w:pStyle w:val="tekstzboku"/>
                        <w:rPr>
                          <w:spacing w:val="-2"/>
                          <w:lang w:val="en-GB"/>
                        </w:rPr>
                      </w:pPr>
                      <w:r>
                        <w:rPr>
                          <w:spacing w:val="-2"/>
                          <w:lang w:val="en-GB"/>
                        </w:rPr>
                        <w:t>In the h</w:t>
                      </w:r>
                      <w:r w:rsidRPr="00A13CB9">
                        <w:rPr>
                          <w:spacing w:val="-2"/>
                          <w:lang w:val="en-GB"/>
                        </w:rPr>
                        <w:t>ouseholds of 20% of persons in the most favourable financial s</w:t>
                      </w:r>
                      <w:r>
                        <w:rPr>
                          <w:spacing w:val="-2"/>
                          <w:lang w:val="en-GB"/>
                        </w:rPr>
                        <w:t>i</w:t>
                      </w:r>
                      <w:r w:rsidRPr="00A13CB9">
                        <w:rPr>
                          <w:spacing w:val="-2"/>
                          <w:lang w:val="en-GB"/>
                        </w:rPr>
                        <w:t xml:space="preserve">tuation </w:t>
                      </w:r>
                      <w:r>
                        <w:rPr>
                          <w:spacing w:val="-2"/>
                          <w:lang w:val="en-GB"/>
                        </w:rPr>
                        <w:t>was ac</w:t>
                      </w:r>
                      <w:r w:rsidRPr="00A13CB9">
                        <w:rPr>
                          <w:spacing w:val="-2"/>
                          <w:lang w:val="en-GB"/>
                        </w:rPr>
                        <w:t xml:space="preserve">cumulated </w:t>
                      </w:r>
                      <w:r>
                        <w:rPr>
                          <w:spacing w:val="-2"/>
                          <w:lang w:val="en-GB"/>
                        </w:rPr>
                        <w:t>38.2</w:t>
                      </w:r>
                      <w:r w:rsidRPr="00A13CB9">
                        <w:rPr>
                          <w:spacing w:val="-2"/>
                          <w:lang w:val="en-GB"/>
                        </w:rPr>
                        <w:t xml:space="preserve">% </w:t>
                      </w:r>
                      <w:r>
                        <w:rPr>
                          <w:spacing w:val="-2"/>
                          <w:lang w:val="en-GB"/>
                        </w:rPr>
                        <w:t xml:space="preserve">of </w:t>
                      </w:r>
                      <w:r w:rsidRPr="00A13CB9">
                        <w:rPr>
                          <w:spacing w:val="-2"/>
                          <w:lang w:val="en-GB"/>
                        </w:rPr>
                        <w:t xml:space="preserve">income </w:t>
                      </w:r>
                      <w:r>
                        <w:rPr>
                          <w:spacing w:val="-2"/>
                          <w:lang w:val="en-GB"/>
                        </w:rPr>
                        <w:t>of entire</w:t>
                      </w:r>
                      <w:r w:rsidRPr="00A13CB9">
                        <w:rPr>
                          <w:spacing w:val="-2"/>
                          <w:lang w:val="en-GB"/>
                        </w:rPr>
                        <w:t xml:space="preserve"> sur</w:t>
                      </w:r>
                      <w:r>
                        <w:rPr>
                          <w:spacing w:val="-2"/>
                          <w:lang w:val="en-GB"/>
                        </w:rPr>
                        <w:t>veyed population of households, while in the h</w:t>
                      </w:r>
                      <w:r w:rsidRPr="00A13CB9">
                        <w:rPr>
                          <w:spacing w:val="-2"/>
                          <w:lang w:val="en-GB"/>
                        </w:rPr>
                        <w:t xml:space="preserve">ouseholds of 20% of the persons </w:t>
                      </w:r>
                      <w:r>
                        <w:rPr>
                          <w:spacing w:val="-2"/>
                          <w:lang w:val="en-GB"/>
                        </w:rPr>
                        <w:t xml:space="preserve">in the worst situation </w:t>
                      </w:r>
                      <w:r>
                        <w:rPr>
                          <w:spacing w:val="-2"/>
                          <w:lang w:val="en-GB"/>
                        </w:rPr>
                        <w:br/>
                        <w:t>– 7.2%</w:t>
                      </w:r>
                    </w:p>
                  </w:txbxContent>
                </v:textbox>
                <w10:wrap type="tight"/>
              </v:shape>
            </w:pict>
          </mc:Fallback>
        </mc:AlternateContent>
      </w:r>
      <w:r w:rsidR="00FE38FD" w:rsidRPr="00F42DEC">
        <w:rPr>
          <w:rFonts w:cs="Arial"/>
          <w:szCs w:val="19"/>
          <w:lang w:val="en-GB"/>
        </w:rPr>
        <w:t xml:space="preserve">The average </w:t>
      </w:r>
      <w:r w:rsidR="00E37E07">
        <w:rPr>
          <w:rFonts w:cs="Arial"/>
          <w:szCs w:val="19"/>
          <w:lang w:val="en-GB"/>
        </w:rPr>
        <w:t xml:space="preserve">monthly </w:t>
      </w:r>
      <w:r w:rsidR="00FE38FD" w:rsidRPr="00F42DEC">
        <w:rPr>
          <w:rFonts w:cs="Arial"/>
          <w:szCs w:val="19"/>
          <w:lang w:val="en-GB"/>
        </w:rPr>
        <w:t xml:space="preserve">available income </w:t>
      </w:r>
      <w:r w:rsidR="00F203D8">
        <w:rPr>
          <w:rFonts w:cs="Arial"/>
          <w:szCs w:val="19"/>
          <w:lang w:val="en-GB"/>
        </w:rPr>
        <w:t xml:space="preserve">per capita in the group </w:t>
      </w:r>
      <w:r w:rsidR="00E26767">
        <w:rPr>
          <w:rFonts w:cs="Arial"/>
          <w:szCs w:val="19"/>
          <w:lang w:val="en-GB"/>
        </w:rPr>
        <w:t>of the 20% of persons with the </w:t>
      </w:r>
      <w:r w:rsidR="00FE38FD" w:rsidRPr="00F42DEC">
        <w:rPr>
          <w:rFonts w:cs="Arial"/>
          <w:szCs w:val="19"/>
          <w:lang w:val="en-GB"/>
        </w:rPr>
        <w:t xml:space="preserve">highest income (5th quintile group) amounted to PLN </w:t>
      </w:r>
      <w:r w:rsidR="00EC1615">
        <w:rPr>
          <w:rFonts w:cs="Arial"/>
          <w:szCs w:val="19"/>
          <w:lang w:val="en-GB"/>
        </w:rPr>
        <w:t>6071</w:t>
      </w:r>
      <w:r w:rsidR="00FE38FD" w:rsidRPr="00F42DEC">
        <w:rPr>
          <w:rFonts w:cs="Arial"/>
          <w:szCs w:val="19"/>
          <w:lang w:val="en-GB"/>
        </w:rPr>
        <w:t xml:space="preserve">, and </w:t>
      </w:r>
      <w:r w:rsidR="000D384E">
        <w:rPr>
          <w:rFonts w:cs="Arial"/>
          <w:szCs w:val="19"/>
          <w:lang w:val="en-GB"/>
        </w:rPr>
        <w:t xml:space="preserve">it </w:t>
      </w:r>
      <w:r w:rsidR="00FE38FD" w:rsidRPr="00F42DEC">
        <w:rPr>
          <w:rFonts w:cs="Arial"/>
          <w:szCs w:val="19"/>
          <w:lang w:val="en-GB"/>
        </w:rPr>
        <w:t xml:space="preserve">was </w:t>
      </w:r>
      <w:r w:rsidR="00EC1615">
        <w:rPr>
          <w:rFonts w:cs="Arial"/>
          <w:szCs w:val="19"/>
          <w:lang w:val="en-GB"/>
        </w:rPr>
        <w:t>5.3</w:t>
      </w:r>
      <w:r w:rsidR="00FE38FD" w:rsidRPr="00F42DEC">
        <w:rPr>
          <w:rFonts w:cs="Arial"/>
          <w:szCs w:val="19"/>
          <w:lang w:val="en-GB"/>
        </w:rPr>
        <w:t xml:space="preserve"> times higher </w:t>
      </w:r>
      <w:r w:rsidR="00E26767">
        <w:rPr>
          <w:rFonts w:cs="Arial"/>
          <w:szCs w:val="19"/>
          <w:lang w:val="en-GB"/>
        </w:rPr>
        <w:t>(in </w:t>
      </w:r>
      <w:r w:rsidR="000D384E">
        <w:rPr>
          <w:rFonts w:cs="Arial"/>
          <w:szCs w:val="19"/>
          <w:lang w:val="en-GB"/>
        </w:rPr>
        <w:t>20</w:t>
      </w:r>
      <w:r w:rsidR="0071615B">
        <w:rPr>
          <w:rFonts w:cs="Arial"/>
          <w:szCs w:val="19"/>
          <w:lang w:val="en-GB"/>
        </w:rPr>
        <w:t>2</w:t>
      </w:r>
      <w:r w:rsidR="00EC1615">
        <w:rPr>
          <w:rFonts w:cs="Arial"/>
          <w:szCs w:val="19"/>
          <w:lang w:val="en-GB"/>
        </w:rPr>
        <w:t>3</w:t>
      </w:r>
      <w:r w:rsidR="000D384E">
        <w:rPr>
          <w:rFonts w:cs="Arial"/>
          <w:szCs w:val="19"/>
          <w:lang w:val="en-GB"/>
        </w:rPr>
        <w:t xml:space="preserve"> </w:t>
      </w:r>
      <w:r w:rsidR="008F6139">
        <w:rPr>
          <w:rFonts w:cs="Arial"/>
          <w:szCs w:val="19"/>
          <w:lang w:val="en-GB"/>
        </w:rPr>
        <w:t xml:space="preserve">– </w:t>
      </w:r>
      <w:r w:rsidR="005B4411">
        <w:rPr>
          <w:rFonts w:cs="Arial"/>
          <w:szCs w:val="19"/>
          <w:lang w:val="en-GB"/>
        </w:rPr>
        <w:t>6.</w:t>
      </w:r>
      <w:r w:rsidR="00EC1615">
        <w:rPr>
          <w:rFonts w:cs="Arial"/>
          <w:szCs w:val="19"/>
          <w:lang w:val="en-GB"/>
        </w:rPr>
        <w:t>4</w:t>
      </w:r>
      <w:r w:rsidR="000D384E">
        <w:rPr>
          <w:rFonts w:cs="Arial"/>
          <w:szCs w:val="19"/>
          <w:lang w:val="en-GB"/>
        </w:rPr>
        <w:t xml:space="preserve"> times higher and amounted to PLN </w:t>
      </w:r>
      <w:r w:rsidR="00EC1615">
        <w:rPr>
          <w:rFonts w:cs="Arial"/>
          <w:szCs w:val="19"/>
          <w:lang w:val="en-GB"/>
        </w:rPr>
        <w:t>5269</w:t>
      </w:r>
      <w:r w:rsidR="000D384E">
        <w:rPr>
          <w:rFonts w:cs="Arial"/>
          <w:szCs w:val="19"/>
          <w:lang w:val="en-GB"/>
        </w:rPr>
        <w:t xml:space="preserve">) </w:t>
      </w:r>
      <w:r w:rsidR="00FE38FD" w:rsidRPr="00F42DEC">
        <w:rPr>
          <w:rFonts w:cs="Arial"/>
          <w:szCs w:val="19"/>
          <w:lang w:val="en-GB"/>
        </w:rPr>
        <w:t>than the respective income of the 20% of persons with the lowest income (1st quintile group)</w:t>
      </w:r>
      <w:r w:rsidR="000D384E">
        <w:rPr>
          <w:rFonts w:cs="Arial"/>
          <w:szCs w:val="19"/>
          <w:lang w:val="en-GB"/>
        </w:rPr>
        <w:t xml:space="preserve">. </w:t>
      </w:r>
    </w:p>
    <w:p w14:paraId="7EE94F27" w14:textId="05DDC4AC" w:rsidR="00A46164" w:rsidRPr="00E26767" w:rsidRDefault="009B10AC" w:rsidP="00764D9C">
      <w:pPr>
        <w:rPr>
          <w:rFonts w:cs="Arial"/>
          <w:bCs/>
          <w:i/>
          <w:spacing w:val="-2"/>
          <w:szCs w:val="19"/>
          <w:lang w:val="en-GB"/>
        </w:rPr>
      </w:pPr>
      <w:r w:rsidRPr="00E26767">
        <w:rPr>
          <w:rFonts w:cs="Arial"/>
          <w:spacing w:val="-2"/>
          <w:szCs w:val="19"/>
          <w:lang w:val="en-GB"/>
        </w:rPr>
        <w:t>In the h</w:t>
      </w:r>
      <w:r w:rsidR="00A46164" w:rsidRPr="00E26767">
        <w:rPr>
          <w:rFonts w:cs="Arial"/>
          <w:spacing w:val="-2"/>
          <w:szCs w:val="19"/>
          <w:lang w:val="en-GB"/>
        </w:rPr>
        <w:t xml:space="preserve">ouseholds of 20% </w:t>
      </w:r>
      <w:r w:rsidR="003207FC" w:rsidRPr="00E26767">
        <w:rPr>
          <w:rFonts w:cs="Arial"/>
          <w:spacing w:val="-2"/>
          <w:szCs w:val="19"/>
          <w:lang w:val="en-GB"/>
        </w:rPr>
        <w:t xml:space="preserve">of </w:t>
      </w:r>
      <w:r w:rsidR="00A46164" w:rsidRPr="00E26767">
        <w:rPr>
          <w:rFonts w:cs="Arial"/>
          <w:spacing w:val="-2"/>
          <w:szCs w:val="19"/>
          <w:lang w:val="en-GB"/>
        </w:rPr>
        <w:t xml:space="preserve">persons </w:t>
      </w:r>
      <w:r w:rsidR="00353959" w:rsidRPr="00E26767">
        <w:rPr>
          <w:rFonts w:cs="Arial"/>
          <w:spacing w:val="-2"/>
          <w:szCs w:val="19"/>
          <w:lang w:val="en-GB"/>
        </w:rPr>
        <w:t>in</w:t>
      </w:r>
      <w:r w:rsidR="00A46164" w:rsidRPr="00E26767">
        <w:rPr>
          <w:rFonts w:cs="Arial"/>
          <w:spacing w:val="-2"/>
          <w:szCs w:val="19"/>
          <w:lang w:val="en-GB"/>
        </w:rPr>
        <w:t xml:space="preserve"> the </w:t>
      </w:r>
      <w:r w:rsidR="00976CCF" w:rsidRPr="00E26767">
        <w:rPr>
          <w:rFonts w:cs="Arial"/>
          <w:spacing w:val="-2"/>
          <w:szCs w:val="19"/>
          <w:lang w:val="en-GB"/>
        </w:rPr>
        <w:t>most favourable</w:t>
      </w:r>
      <w:r w:rsidR="00A46164" w:rsidRPr="00E26767">
        <w:rPr>
          <w:rFonts w:cs="Arial"/>
          <w:spacing w:val="-2"/>
          <w:szCs w:val="19"/>
          <w:lang w:val="en-GB"/>
        </w:rPr>
        <w:t xml:space="preserve"> income </w:t>
      </w:r>
      <w:r w:rsidR="00353959" w:rsidRPr="00E26767">
        <w:rPr>
          <w:rFonts w:cs="Arial"/>
          <w:spacing w:val="-2"/>
          <w:szCs w:val="19"/>
          <w:lang w:val="en-GB"/>
        </w:rPr>
        <w:t>situation</w:t>
      </w:r>
      <w:r w:rsidR="003207FC" w:rsidRPr="00E26767">
        <w:rPr>
          <w:rFonts w:cs="Arial"/>
          <w:spacing w:val="-2"/>
          <w:szCs w:val="19"/>
          <w:lang w:val="en-GB"/>
        </w:rPr>
        <w:t>,</w:t>
      </w:r>
      <w:r w:rsidR="00353959" w:rsidRPr="00E26767">
        <w:rPr>
          <w:rFonts w:cs="Arial"/>
          <w:spacing w:val="-2"/>
          <w:szCs w:val="19"/>
          <w:lang w:val="en-GB"/>
        </w:rPr>
        <w:t xml:space="preserve"> there was </w:t>
      </w:r>
      <w:r w:rsidR="00A13CB9" w:rsidRPr="00E26767">
        <w:rPr>
          <w:rFonts w:cs="Arial"/>
          <w:spacing w:val="-2"/>
          <w:szCs w:val="19"/>
          <w:lang w:val="en-GB"/>
        </w:rPr>
        <w:t>ac</w:t>
      </w:r>
      <w:r w:rsidR="00A46164" w:rsidRPr="00E26767">
        <w:rPr>
          <w:rFonts w:cs="Arial"/>
          <w:spacing w:val="-2"/>
          <w:szCs w:val="19"/>
          <w:lang w:val="en-GB"/>
        </w:rPr>
        <w:t xml:space="preserve">cumulated </w:t>
      </w:r>
      <w:r w:rsidR="00EC1615" w:rsidRPr="00E26767">
        <w:rPr>
          <w:rFonts w:cs="Arial"/>
          <w:spacing w:val="-2"/>
          <w:szCs w:val="19"/>
          <w:lang w:val="en-GB"/>
        </w:rPr>
        <w:t>38.2</w:t>
      </w:r>
      <w:r w:rsidR="00A46164" w:rsidRPr="00E26767">
        <w:rPr>
          <w:rFonts w:cs="Arial"/>
          <w:spacing w:val="-2"/>
          <w:szCs w:val="19"/>
          <w:lang w:val="en-GB"/>
        </w:rPr>
        <w:t xml:space="preserve">% </w:t>
      </w:r>
      <w:r w:rsidR="00353959" w:rsidRPr="00E26767">
        <w:rPr>
          <w:rFonts w:cs="Arial"/>
          <w:spacing w:val="-2"/>
          <w:szCs w:val="19"/>
          <w:lang w:val="en-GB"/>
        </w:rPr>
        <w:t xml:space="preserve">of </w:t>
      </w:r>
      <w:r w:rsidR="00A46164" w:rsidRPr="00E26767">
        <w:rPr>
          <w:rFonts w:cs="Arial"/>
          <w:spacing w:val="-2"/>
          <w:szCs w:val="19"/>
          <w:lang w:val="en-GB"/>
        </w:rPr>
        <w:t xml:space="preserve">income </w:t>
      </w:r>
      <w:r w:rsidR="00353959" w:rsidRPr="00E26767">
        <w:rPr>
          <w:rFonts w:cs="Arial"/>
          <w:spacing w:val="-2"/>
          <w:szCs w:val="19"/>
          <w:lang w:val="en-GB"/>
        </w:rPr>
        <w:t>of entire</w:t>
      </w:r>
      <w:r w:rsidR="00A46164" w:rsidRPr="00E26767">
        <w:rPr>
          <w:rFonts w:cs="Arial"/>
          <w:spacing w:val="-2"/>
          <w:szCs w:val="19"/>
          <w:lang w:val="en-GB"/>
        </w:rPr>
        <w:t xml:space="preserve"> </w:t>
      </w:r>
      <w:r w:rsidR="00353959" w:rsidRPr="00E26767">
        <w:rPr>
          <w:rFonts w:cs="Arial"/>
          <w:spacing w:val="-2"/>
          <w:szCs w:val="19"/>
          <w:lang w:val="en-GB"/>
        </w:rPr>
        <w:t xml:space="preserve">surveyed </w:t>
      </w:r>
      <w:r w:rsidR="00A46164" w:rsidRPr="00E26767">
        <w:rPr>
          <w:rFonts w:cs="Arial"/>
          <w:spacing w:val="-2"/>
          <w:szCs w:val="19"/>
          <w:lang w:val="en-GB"/>
        </w:rPr>
        <w:t>population of households (in 20</w:t>
      </w:r>
      <w:r w:rsidR="0071615B" w:rsidRPr="00E26767">
        <w:rPr>
          <w:rFonts w:cs="Arial"/>
          <w:spacing w:val="-2"/>
          <w:szCs w:val="19"/>
          <w:lang w:val="en-GB"/>
        </w:rPr>
        <w:t>2</w:t>
      </w:r>
      <w:r w:rsidR="00EC1615" w:rsidRPr="00E26767">
        <w:rPr>
          <w:rFonts w:cs="Arial"/>
          <w:spacing w:val="-2"/>
          <w:szCs w:val="19"/>
          <w:lang w:val="en-GB"/>
        </w:rPr>
        <w:t>3</w:t>
      </w:r>
      <w:r w:rsidR="00A46164" w:rsidRPr="00E26767">
        <w:rPr>
          <w:rFonts w:cs="Arial"/>
          <w:spacing w:val="-2"/>
          <w:szCs w:val="19"/>
          <w:lang w:val="en-GB"/>
        </w:rPr>
        <w:t xml:space="preserve"> – </w:t>
      </w:r>
      <w:r w:rsidR="005B4411" w:rsidRPr="00E26767">
        <w:rPr>
          <w:rFonts w:cs="Arial"/>
          <w:spacing w:val="-2"/>
          <w:szCs w:val="19"/>
          <w:lang w:val="en-GB"/>
        </w:rPr>
        <w:t>39.</w:t>
      </w:r>
      <w:r w:rsidR="00EC1615" w:rsidRPr="00E26767">
        <w:rPr>
          <w:rFonts w:cs="Arial"/>
          <w:spacing w:val="-2"/>
          <w:szCs w:val="19"/>
          <w:lang w:val="en-GB"/>
        </w:rPr>
        <w:t>3</w:t>
      </w:r>
      <w:r w:rsidR="00A46164" w:rsidRPr="00E26767">
        <w:rPr>
          <w:rFonts w:cs="Arial"/>
          <w:spacing w:val="-2"/>
          <w:szCs w:val="19"/>
          <w:lang w:val="en-GB"/>
        </w:rPr>
        <w:t xml:space="preserve">%), while </w:t>
      </w:r>
      <w:r w:rsidR="0026206E" w:rsidRPr="00E26767">
        <w:rPr>
          <w:rFonts w:cs="Arial"/>
          <w:spacing w:val="-2"/>
          <w:szCs w:val="19"/>
          <w:lang w:val="en-GB"/>
        </w:rPr>
        <w:t xml:space="preserve">in the households of </w:t>
      </w:r>
      <w:r w:rsidR="00A46164" w:rsidRPr="00E26767">
        <w:rPr>
          <w:rFonts w:cs="Arial"/>
          <w:spacing w:val="-2"/>
          <w:szCs w:val="19"/>
          <w:lang w:val="en-GB"/>
        </w:rPr>
        <w:t xml:space="preserve">20% </w:t>
      </w:r>
      <w:r w:rsidR="003207FC" w:rsidRPr="00E26767">
        <w:rPr>
          <w:rFonts w:cs="Arial"/>
          <w:spacing w:val="-2"/>
          <w:szCs w:val="19"/>
          <w:lang w:val="en-GB"/>
        </w:rPr>
        <w:t xml:space="preserve">of </w:t>
      </w:r>
      <w:r w:rsidR="00A46164" w:rsidRPr="00E26767">
        <w:rPr>
          <w:rFonts w:cs="Arial"/>
          <w:spacing w:val="-2"/>
          <w:szCs w:val="19"/>
          <w:lang w:val="en-GB"/>
        </w:rPr>
        <w:t xml:space="preserve">persons </w:t>
      </w:r>
      <w:r w:rsidR="00353959" w:rsidRPr="00E26767">
        <w:rPr>
          <w:rFonts w:cs="Arial"/>
          <w:spacing w:val="-2"/>
          <w:szCs w:val="19"/>
          <w:lang w:val="en-GB"/>
        </w:rPr>
        <w:t>in the worst</w:t>
      </w:r>
      <w:r w:rsidR="003207FC" w:rsidRPr="00E26767">
        <w:rPr>
          <w:rFonts w:cs="Arial"/>
          <w:spacing w:val="-2"/>
          <w:szCs w:val="19"/>
          <w:lang w:val="en-GB"/>
        </w:rPr>
        <w:t xml:space="preserve"> income</w:t>
      </w:r>
      <w:r w:rsidR="00353959" w:rsidRPr="00E26767">
        <w:rPr>
          <w:rFonts w:cs="Arial"/>
          <w:spacing w:val="-2"/>
          <w:szCs w:val="19"/>
          <w:lang w:val="en-GB"/>
        </w:rPr>
        <w:t xml:space="preserve"> situation</w:t>
      </w:r>
      <w:r w:rsidR="00A46164" w:rsidRPr="00E26767">
        <w:rPr>
          <w:rFonts w:cs="Arial"/>
          <w:spacing w:val="-2"/>
          <w:szCs w:val="19"/>
          <w:lang w:val="en-GB"/>
        </w:rPr>
        <w:t xml:space="preserve"> – </w:t>
      </w:r>
      <w:r w:rsidR="00EC1615" w:rsidRPr="00E26767">
        <w:rPr>
          <w:rFonts w:cs="Arial"/>
          <w:spacing w:val="-2"/>
          <w:szCs w:val="19"/>
          <w:lang w:val="en-GB"/>
        </w:rPr>
        <w:t>7</w:t>
      </w:r>
      <w:r w:rsidR="0071615B" w:rsidRPr="00E26767">
        <w:rPr>
          <w:rFonts w:cs="Arial"/>
          <w:spacing w:val="-2"/>
          <w:szCs w:val="19"/>
          <w:lang w:val="en-GB"/>
        </w:rPr>
        <w:t>.</w:t>
      </w:r>
      <w:r w:rsidR="002A1E03" w:rsidRPr="00E26767">
        <w:rPr>
          <w:rFonts w:cs="Arial"/>
          <w:spacing w:val="-2"/>
          <w:szCs w:val="19"/>
          <w:lang w:val="en-GB"/>
        </w:rPr>
        <w:t>2</w:t>
      </w:r>
      <w:r w:rsidR="00A46164" w:rsidRPr="00E26767">
        <w:rPr>
          <w:rFonts w:cs="Arial"/>
          <w:spacing w:val="-2"/>
          <w:szCs w:val="19"/>
          <w:lang w:val="en-GB"/>
        </w:rPr>
        <w:t>% (in 20</w:t>
      </w:r>
      <w:r w:rsidR="0071615B" w:rsidRPr="00E26767">
        <w:rPr>
          <w:rFonts w:cs="Arial"/>
          <w:spacing w:val="-2"/>
          <w:szCs w:val="19"/>
          <w:lang w:val="en-GB"/>
        </w:rPr>
        <w:t>2</w:t>
      </w:r>
      <w:r w:rsidR="00EC1615" w:rsidRPr="00E26767">
        <w:rPr>
          <w:rFonts w:cs="Arial"/>
          <w:spacing w:val="-2"/>
          <w:szCs w:val="19"/>
          <w:lang w:val="en-GB"/>
        </w:rPr>
        <w:t>3</w:t>
      </w:r>
      <w:r w:rsidR="00A46164" w:rsidRPr="00E26767">
        <w:rPr>
          <w:rFonts w:cs="Arial"/>
          <w:spacing w:val="-2"/>
          <w:szCs w:val="19"/>
          <w:lang w:val="en-GB"/>
        </w:rPr>
        <w:t xml:space="preserve"> – </w:t>
      </w:r>
      <w:r w:rsidR="00E71BA1" w:rsidRPr="00E26767">
        <w:rPr>
          <w:rFonts w:cs="Arial"/>
          <w:spacing w:val="-2"/>
          <w:szCs w:val="19"/>
          <w:lang w:val="en-GB"/>
        </w:rPr>
        <w:t>6.</w:t>
      </w:r>
      <w:r w:rsidR="00EC1615" w:rsidRPr="00E26767">
        <w:rPr>
          <w:rFonts w:cs="Arial"/>
          <w:spacing w:val="-2"/>
          <w:szCs w:val="19"/>
          <w:lang w:val="en-GB"/>
        </w:rPr>
        <w:t>2</w:t>
      </w:r>
      <w:r w:rsidR="00A46164" w:rsidRPr="00E26767">
        <w:rPr>
          <w:rFonts w:cs="Arial"/>
          <w:spacing w:val="-2"/>
          <w:szCs w:val="19"/>
          <w:lang w:val="en-GB"/>
        </w:rPr>
        <w:t>%).</w:t>
      </w:r>
    </w:p>
    <w:p w14:paraId="7EE94F2A" w14:textId="16272C17" w:rsidR="00764D9C" w:rsidRPr="003B33FE" w:rsidRDefault="00321C28" w:rsidP="00F64E3E">
      <w:pPr>
        <w:spacing w:before="360" w:after="360" w:line="240" w:lineRule="auto"/>
        <w:rPr>
          <w:i/>
          <w:spacing w:val="-2"/>
          <w:szCs w:val="19"/>
          <w:shd w:val="clear" w:color="auto" w:fill="FFFFFF"/>
        </w:rPr>
      </w:pPr>
      <w:r>
        <w:rPr>
          <w:noProof/>
          <w:lang w:eastAsia="pl-PL"/>
        </w:rPr>
        <w:drawing>
          <wp:inline distT="0" distB="0" distL="0" distR="0" wp14:anchorId="77D31E3B" wp14:editId="6DFF5F1C">
            <wp:extent cx="5122545" cy="2879725"/>
            <wp:effectExtent l="0" t="0" r="1905" b="0"/>
            <wp:docPr id="25" name="Wykres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00000000-0008-0000-08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AD1A33" w14:textId="4E6257BE" w:rsidR="005B4411" w:rsidRDefault="005B4411" w:rsidP="005B4411">
      <w:pPr>
        <w:spacing w:line="240" w:lineRule="auto"/>
        <w:rPr>
          <w:rFonts w:cs="Arial"/>
          <w:bCs/>
          <w:szCs w:val="19"/>
          <w:lang w:val="en-GB"/>
        </w:rPr>
      </w:pPr>
      <w:r w:rsidRPr="005D7DB0">
        <w:rPr>
          <w:rFonts w:cs="Arial"/>
          <w:szCs w:val="19"/>
          <w:lang w:val="en-GB"/>
        </w:rPr>
        <w:t xml:space="preserve">The average </w:t>
      </w:r>
      <w:r>
        <w:rPr>
          <w:rFonts w:cs="Arial"/>
          <w:szCs w:val="19"/>
          <w:lang w:val="en-GB"/>
        </w:rPr>
        <w:t>monthly expenditure</w:t>
      </w:r>
      <w:r w:rsidRPr="006416F7">
        <w:rPr>
          <w:rFonts w:cs="Arial"/>
          <w:szCs w:val="19"/>
          <w:lang w:val="en-GB"/>
        </w:rPr>
        <w:t xml:space="preserve"> </w:t>
      </w:r>
      <w:r>
        <w:rPr>
          <w:rFonts w:cs="Arial"/>
          <w:szCs w:val="19"/>
          <w:lang w:val="en-GB"/>
        </w:rPr>
        <w:t>per capita in the 5th quintile group</w:t>
      </w:r>
      <w:r w:rsidRPr="006416F7">
        <w:rPr>
          <w:rFonts w:cs="Arial"/>
          <w:szCs w:val="19"/>
          <w:lang w:val="en-GB"/>
        </w:rPr>
        <w:t xml:space="preserve"> </w:t>
      </w:r>
      <w:r>
        <w:rPr>
          <w:rFonts w:cs="Arial"/>
          <w:szCs w:val="19"/>
          <w:lang w:val="en-GB"/>
        </w:rPr>
        <w:t>were 2.</w:t>
      </w:r>
      <w:r w:rsidR="00EC1615">
        <w:rPr>
          <w:rFonts w:cs="Arial"/>
          <w:szCs w:val="19"/>
          <w:lang w:val="en-GB"/>
        </w:rPr>
        <w:t>3</w:t>
      </w:r>
      <w:r w:rsidRPr="006416F7">
        <w:rPr>
          <w:rFonts w:cs="Arial"/>
          <w:szCs w:val="19"/>
          <w:lang w:val="en-GB"/>
        </w:rPr>
        <w:t xml:space="preserve"> times higher </w:t>
      </w:r>
      <w:r>
        <w:rPr>
          <w:rFonts w:cs="Arial"/>
          <w:szCs w:val="19"/>
          <w:lang w:val="en-GB"/>
        </w:rPr>
        <w:t>than in the 1st quintile group (in 202</w:t>
      </w:r>
      <w:r w:rsidR="00EC1615">
        <w:rPr>
          <w:rFonts w:cs="Arial"/>
          <w:szCs w:val="19"/>
          <w:lang w:val="en-GB"/>
        </w:rPr>
        <w:t>3</w:t>
      </w:r>
      <w:r>
        <w:rPr>
          <w:rFonts w:cs="Arial"/>
          <w:szCs w:val="19"/>
          <w:lang w:val="en-GB"/>
        </w:rPr>
        <w:t xml:space="preserve"> – 2.</w:t>
      </w:r>
      <w:r w:rsidR="00E71BA1">
        <w:rPr>
          <w:rFonts w:cs="Arial"/>
          <w:szCs w:val="19"/>
          <w:lang w:val="en-GB"/>
        </w:rPr>
        <w:t>1</w:t>
      </w:r>
      <w:r>
        <w:rPr>
          <w:rFonts w:cs="Arial"/>
          <w:szCs w:val="19"/>
          <w:lang w:val="en-GB"/>
        </w:rPr>
        <w:t xml:space="preserve"> times higher)</w:t>
      </w:r>
      <w:r w:rsidRPr="006416F7">
        <w:rPr>
          <w:rFonts w:cs="Arial"/>
          <w:szCs w:val="19"/>
          <w:lang w:val="en-GB"/>
        </w:rPr>
        <w:t xml:space="preserve">. </w:t>
      </w:r>
      <w:r w:rsidRPr="006416F7">
        <w:rPr>
          <w:rFonts w:cs="Arial"/>
          <w:bCs/>
          <w:szCs w:val="19"/>
          <w:lang w:val="en-GB"/>
        </w:rPr>
        <w:t>The share of expenditure in available income in the highest quintile group amounted to </w:t>
      </w:r>
      <w:r w:rsidR="00EC1615">
        <w:rPr>
          <w:rFonts w:cs="Arial"/>
          <w:bCs/>
          <w:szCs w:val="19"/>
          <w:lang w:val="en-GB"/>
        </w:rPr>
        <w:t>49.6</w:t>
      </w:r>
      <w:r w:rsidRPr="006416F7">
        <w:rPr>
          <w:rFonts w:cs="Arial"/>
          <w:bCs/>
          <w:szCs w:val="19"/>
          <w:lang w:val="en-GB"/>
        </w:rPr>
        <w:t>%</w:t>
      </w:r>
      <w:r w:rsidR="00E71BA1">
        <w:rPr>
          <w:rFonts w:cs="Arial"/>
          <w:bCs/>
          <w:szCs w:val="19"/>
          <w:lang w:val="en-GB"/>
        </w:rPr>
        <w:t xml:space="preserve"> (in 202</w:t>
      </w:r>
      <w:r w:rsidR="00EC1615">
        <w:rPr>
          <w:rFonts w:cs="Arial"/>
          <w:bCs/>
          <w:szCs w:val="19"/>
          <w:lang w:val="en-GB"/>
        </w:rPr>
        <w:t>3</w:t>
      </w:r>
      <w:r w:rsidR="00E71BA1">
        <w:rPr>
          <w:rFonts w:cs="Arial"/>
          <w:bCs/>
          <w:szCs w:val="19"/>
          <w:lang w:val="en-GB"/>
        </w:rPr>
        <w:t xml:space="preserve"> – </w:t>
      </w:r>
      <w:r w:rsidR="00EC1615">
        <w:rPr>
          <w:rFonts w:cs="Arial"/>
          <w:bCs/>
          <w:szCs w:val="19"/>
          <w:lang w:val="en-GB"/>
        </w:rPr>
        <w:t>48.7</w:t>
      </w:r>
      <w:r w:rsidR="00E71BA1">
        <w:rPr>
          <w:rFonts w:cs="Arial"/>
          <w:bCs/>
          <w:szCs w:val="19"/>
          <w:lang w:val="en-GB"/>
        </w:rPr>
        <w:t>%)</w:t>
      </w:r>
      <w:r w:rsidRPr="006416F7">
        <w:rPr>
          <w:rFonts w:cs="Arial"/>
          <w:bCs/>
          <w:szCs w:val="19"/>
          <w:lang w:val="en-GB"/>
        </w:rPr>
        <w:t xml:space="preserve">, and in the lowest </w:t>
      </w:r>
      <w:r>
        <w:rPr>
          <w:rFonts w:cs="Arial"/>
          <w:bCs/>
          <w:szCs w:val="19"/>
          <w:lang w:val="en-GB"/>
        </w:rPr>
        <w:t>–</w:t>
      </w:r>
      <w:r w:rsidRPr="006416F7">
        <w:rPr>
          <w:rFonts w:cs="Arial"/>
          <w:bCs/>
          <w:szCs w:val="19"/>
          <w:lang w:val="en-GB"/>
        </w:rPr>
        <w:t xml:space="preserve"> </w:t>
      </w:r>
      <w:r w:rsidR="00EC1615">
        <w:rPr>
          <w:rFonts w:cs="Arial"/>
          <w:bCs/>
          <w:szCs w:val="19"/>
          <w:lang w:val="en-GB"/>
        </w:rPr>
        <w:t>113.2</w:t>
      </w:r>
      <w:r w:rsidRPr="006416F7">
        <w:rPr>
          <w:rFonts w:cs="Arial"/>
          <w:bCs/>
          <w:szCs w:val="19"/>
          <w:lang w:val="en-GB"/>
        </w:rPr>
        <w:t>%</w:t>
      </w:r>
      <w:r w:rsidR="00E71BA1">
        <w:rPr>
          <w:rFonts w:cs="Arial"/>
          <w:bCs/>
          <w:szCs w:val="19"/>
          <w:lang w:val="en-GB"/>
        </w:rPr>
        <w:t xml:space="preserve"> (in 202</w:t>
      </w:r>
      <w:r w:rsidR="00EC1615">
        <w:rPr>
          <w:rFonts w:cs="Arial"/>
          <w:bCs/>
          <w:szCs w:val="19"/>
          <w:lang w:val="en-GB"/>
        </w:rPr>
        <w:t>3</w:t>
      </w:r>
      <w:r w:rsidR="00E71BA1">
        <w:rPr>
          <w:rFonts w:cs="Arial"/>
          <w:bCs/>
          <w:szCs w:val="19"/>
          <w:lang w:val="en-GB"/>
        </w:rPr>
        <w:t xml:space="preserve"> – </w:t>
      </w:r>
      <w:r w:rsidR="00EC1615">
        <w:rPr>
          <w:rFonts w:cs="Arial"/>
          <w:bCs/>
          <w:szCs w:val="19"/>
          <w:lang w:val="en-GB"/>
        </w:rPr>
        <w:t>146.2</w:t>
      </w:r>
      <w:r w:rsidR="00E71BA1">
        <w:rPr>
          <w:rFonts w:cs="Arial"/>
          <w:bCs/>
          <w:szCs w:val="19"/>
          <w:lang w:val="en-GB"/>
        </w:rPr>
        <w:t>%)</w:t>
      </w:r>
      <w:r w:rsidR="006A0698">
        <w:rPr>
          <w:rFonts w:cs="Arial"/>
          <w:bCs/>
          <w:szCs w:val="19"/>
          <w:lang w:val="en-GB"/>
        </w:rPr>
        <w:t>, which means</w:t>
      </w:r>
      <w:r w:rsidR="0070624D">
        <w:rPr>
          <w:rFonts w:cs="Arial"/>
          <w:bCs/>
          <w:szCs w:val="19"/>
          <w:lang w:val="en-GB"/>
        </w:rPr>
        <w:t xml:space="preserve"> that</w:t>
      </w:r>
      <w:r w:rsidR="00E71BA1" w:rsidRPr="00E71BA1">
        <w:rPr>
          <w:rFonts w:cs="Arial"/>
          <w:bCs/>
          <w:szCs w:val="19"/>
          <w:lang w:val="en-GB"/>
        </w:rPr>
        <w:t xml:space="preserve"> the poorest households to </w:t>
      </w:r>
      <w:r w:rsidR="00EC1615">
        <w:rPr>
          <w:rFonts w:cs="Arial"/>
          <w:bCs/>
          <w:szCs w:val="19"/>
          <w:lang w:val="en-GB"/>
        </w:rPr>
        <w:t>some</w:t>
      </w:r>
      <w:r w:rsidR="00E71BA1" w:rsidRPr="00E71BA1">
        <w:rPr>
          <w:rFonts w:cs="Arial"/>
          <w:bCs/>
          <w:szCs w:val="19"/>
          <w:lang w:val="en-GB"/>
        </w:rPr>
        <w:t xml:space="preserve"> extent</w:t>
      </w:r>
      <w:r w:rsidR="00E71BA1">
        <w:rPr>
          <w:rFonts w:cs="Arial"/>
          <w:bCs/>
          <w:szCs w:val="19"/>
          <w:lang w:val="en-GB"/>
        </w:rPr>
        <w:t xml:space="preserve"> were</w:t>
      </w:r>
      <w:r w:rsidR="00E71BA1" w:rsidRPr="00E71BA1">
        <w:rPr>
          <w:rFonts w:cs="Arial"/>
          <w:bCs/>
          <w:szCs w:val="19"/>
          <w:lang w:val="en-GB"/>
        </w:rPr>
        <w:t xml:space="preserve"> forced to use their savings, </w:t>
      </w:r>
      <w:r w:rsidR="00E71BA1">
        <w:rPr>
          <w:rFonts w:cs="Arial"/>
          <w:bCs/>
          <w:szCs w:val="19"/>
          <w:lang w:val="en-GB"/>
        </w:rPr>
        <w:t xml:space="preserve">or </w:t>
      </w:r>
      <w:r w:rsidR="00E71BA1" w:rsidRPr="00E71BA1">
        <w:rPr>
          <w:rFonts w:cs="Arial"/>
          <w:bCs/>
          <w:szCs w:val="19"/>
          <w:lang w:val="en-GB"/>
        </w:rPr>
        <w:t>loans</w:t>
      </w:r>
      <w:r w:rsidR="00E71BA1">
        <w:rPr>
          <w:rFonts w:cs="Arial"/>
          <w:bCs/>
          <w:szCs w:val="19"/>
          <w:lang w:val="en-GB"/>
        </w:rPr>
        <w:t>,</w:t>
      </w:r>
      <w:r w:rsidR="00E71BA1" w:rsidRPr="00E71BA1">
        <w:rPr>
          <w:rFonts w:cs="Arial"/>
          <w:bCs/>
          <w:szCs w:val="19"/>
          <w:lang w:val="en-GB"/>
        </w:rPr>
        <w:t xml:space="preserve"> or credits</w:t>
      </w:r>
      <w:r w:rsidR="00EC1615">
        <w:rPr>
          <w:rFonts w:cs="Arial"/>
          <w:bCs/>
          <w:szCs w:val="19"/>
          <w:lang w:val="en-GB"/>
        </w:rPr>
        <w:t xml:space="preserve">, but </w:t>
      </w:r>
      <w:r w:rsidR="00EC1615" w:rsidRPr="00EC1615">
        <w:rPr>
          <w:rFonts w:cs="Arial"/>
          <w:bCs/>
          <w:szCs w:val="19"/>
          <w:lang w:val="en-GB"/>
        </w:rPr>
        <w:t>on a smaller scale than in 2023.</w:t>
      </w:r>
    </w:p>
    <w:p w14:paraId="7EE94F2F" w14:textId="1B6506D2" w:rsidR="00D04BE9" w:rsidRPr="00E71BA1" w:rsidRDefault="00E71BA1" w:rsidP="00F64E3E">
      <w:pPr>
        <w:spacing w:before="360" w:after="360" w:line="240" w:lineRule="auto"/>
        <w:rPr>
          <w:i/>
          <w:spacing w:val="-2"/>
          <w:szCs w:val="19"/>
          <w:shd w:val="clear" w:color="auto" w:fill="FFFFFF"/>
          <w:lang w:val="en-GB"/>
        </w:rPr>
      </w:pPr>
      <w:r>
        <w:rPr>
          <w:noProof/>
          <w:lang w:eastAsia="pl-PL"/>
        </w:rPr>
        <mc:AlternateContent>
          <mc:Choice Requires="wps">
            <w:drawing>
              <wp:anchor distT="45720" distB="45720" distL="114300" distR="114300" simplePos="0" relativeHeight="251805696" behindDoc="1" locked="0" layoutInCell="1" allowOverlap="1" wp14:anchorId="7EE94FB4" wp14:editId="63088CC4">
                <wp:simplePos x="0" y="0"/>
                <wp:positionH relativeFrom="column">
                  <wp:posOffset>5257800</wp:posOffset>
                </wp:positionH>
                <wp:positionV relativeFrom="paragraph">
                  <wp:posOffset>875030</wp:posOffset>
                </wp:positionV>
                <wp:extent cx="1725295" cy="2124075"/>
                <wp:effectExtent l="0" t="0" r="0" b="0"/>
                <wp:wrapTight wrapText="bothSides">
                  <wp:wrapPolygon edited="0">
                    <wp:start x="715" y="0"/>
                    <wp:lineTo x="715" y="21309"/>
                    <wp:lineTo x="20749" y="21309"/>
                    <wp:lineTo x="20749" y="0"/>
                    <wp:lineTo x="715" y="0"/>
                  </wp:wrapPolygon>
                </wp:wrapTight>
                <wp:docPr id="215" name="Pole tekstowe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124075"/>
                        </a:xfrm>
                        <a:prstGeom prst="rect">
                          <a:avLst/>
                        </a:prstGeom>
                        <a:noFill/>
                        <a:ln w="9525">
                          <a:noFill/>
                          <a:miter lim="800000"/>
                          <a:headEnd/>
                          <a:tailEnd/>
                        </a:ln>
                      </wps:spPr>
                      <wps:txbx>
                        <w:txbxContent>
                          <w:p w14:paraId="7EE95019" w14:textId="223A62A4" w:rsidR="00882B10" w:rsidRPr="00A13CB9" w:rsidRDefault="00882B10"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 xml:space="preserve">The average monthly available income per capita in urban households was by </w:t>
                            </w:r>
                            <w:r>
                              <w:rPr>
                                <w:rFonts w:eastAsia="Times New Roman"/>
                                <w:bCs/>
                                <w:color w:val="001D77"/>
                                <w:sz w:val="18"/>
                                <w:szCs w:val="18"/>
                                <w:lang w:val="en-GB" w:eastAsia="pl-PL"/>
                              </w:rPr>
                              <w:t>25.</w:t>
                            </w:r>
                            <w:r w:rsidR="00C55878">
                              <w:rPr>
                                <w:rFonts w:eastAsia="Times New Roman"/>
                                <w:bCs/>
                                <w:color w:val="001D77"/>
                                <w:sz w:val="18"/>
                                <w:szCs w:val="18"/>
                                <w:lang w:val="en-GB" w:eastAsia="pl-PL"/>
                              </w:rPr>
                              <w:t>0</w:t>
                            </w:r>
                            <w:r w:rsidRPr="00A13CB9">
                              <w:rPr>
                                <w:rFonts w:eastAsia="Times New Roman"/>
                                <w:bCs/>
                                <w:color w:val="001D77"/>
                                <w:sz w:val="18"/>
                                <w:szCs w:val="18"/>
                                <w:lang w:val="en-GB" w:eastAsia="pl-PL"/>
                              </w:rPr>
                              <w:t>% higher than in rural households</w:t>
                            </w:r>
                          </w:p>
                          <w:p w14:paraId="7EE9501A" w14:textId="0E02855D" w:rsidR="00882B10" w:rsidRPr="00A13CB9" w:rsidRDefault="00882B10"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 xml:space="preserve">The average monthly expenditure per capita in urban households was by </w:t>
                            </w:r>
                            <w:r>
                              <w:rPr>
                                <w:rFonts w:eastAsia="Times New Roman"/>
                                <w:bCs/>
                                <w:color w:val="001D77"/>
                                <w:sz w:val="18"/>
                                <w:szCs w:val="18"/>
                                <w:lang w:val="en-GB" w:eastAsia="pl-PL"/>
                              </w:rPr>
                              <w:t>36.6</w:t>
                            </w:r>
                            <w:r w:rsidRPr="00A13CB9">
                              <w:rPr>
                                <w:rFonts w:eastAsia="Times New Roman"/>
                                <w:bCs/>
                                <w:color w:val="001D77"/>
                                <w:sz w:val="18"/>
                                <w:szCs w:val="18"/>
                                <w:lang w:val="en-GB" w:eastAsia="pl-PL"/>
                              </w:rPr>
                              <w:t>% higher than in rural households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E94FB4" id="_x0000_t202" coordsize="21600,21600" o:spt="202" path="m,l,21600r21600,l21600,xe">
                <v:stroke joinstyle="miter"/>
                <v:path gradientshapeok="t" o:connecttype="rect"/>
              </v:shapetype>
              <v:shape id="Pole tekstowe 215" o:spid="_x0000_s1034" type="#_x0000_t202" style="position:absolute;margin-left:414pt;margin-top:68.9pt;width:135.85pt;height:167.25pt;z-index:-25151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" filled="f" stroked="f">
                <v:textbox>
                  <w:txbxContent>
                    <w:p w14:paraId="7EE95019" w14:textId="223A62A4" w:rsidR="00882B10" w:rsidRPr="00A13CB9" w:rsidRDefault="00882B10"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 xml:space="preserve">The average monthly available income per capita in urban households was by </w:t>
                      </w:r>
                      <w:r>
                        <w:rPr>
                          <w:rFonts w:eastAsia="Times New Roman"/>
                          <w:bCs/>
                          <w:color w:val="001D77"/>
                          <w:sz w:val="18"/>
                          <w:szCs w:val="18"/>
                          <w:lang w:val="en-GB" w:eastAsia="pl-PL"/>
                        </w:rPr>
                        <w:t>25.</w:t>
                      </w:r>
                      <w:r w:rsidR="00C55878">
                        <w:rPr>
                          <w:rFonts w:eastAsia="Times New Roman"/>
                          <w:bCs/>
                          <w:color w:val="001D77"/>
                          <w:sz w:val="18"/>
                          <w:szCs w:val="18"/>
                          <w:lang w:val="en-GB" w:eastAsia="pl-PL"/>
                        </w:rPr>
                        <w:t>0</w:t>
                      </w:r>
                      <w:r w:rsidRPr="00A13CB9">
                        <w:rPr>
                          <w:rFonts w:eastAsia="Times New Roman"/>
                          <w:bCs/>
                          <w:color w:val="001D77"/>
                          <w:sz w:val="18"/>
                          <w:szCs w:val="18"/>
                          <w:lang w:val="en-GB" w:eastAsia="pl-PL"/>
                        </w:rPr>
                        <w:t>% higher than in rural households</w:t>
                      </w:r>
                    </w:p>
                    <w:p w14:paraId="7EE9501A" w14:textId="0E02855D" w:rsidR="00882B10" w:rsidRPr="00A13CB9" w:rsidRDefault="00882B10"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 xml:space="preserve">The average monthly expenditure per capita in urban households was by </w:t>
                      </w:r>
                      <w:r>
                        <w:rPr>
                          <w:rFonts w:eastAsia="Times New Roman"/>
                          <w:bCs/>
                          <w:color w:val="001D77"/>
                          <w:sz w:val="18"/>
                          <w:szCs w:val="18"/>
                          <w:lang w:val="en-GB" w:eastAsia="pl-PL"/>
                        </w:rPr>
                        <w:t>36.6</w:t>
                      </w:r>
                      <w:r w:rsidRPr="00A13CB9">
                        <w:rPr>
                          <w:rFonts w:eastAsia="Times New Roman"/>
                          <w:bCs/>
                          <w:color w:val="001D77"/>
                          <w:sz w:val="18"/>
                          <w:szCs w:val="18"/>
                          <w:lang w:val="en-GB" w:eastAsia="pl-PL"/>
                        </w:rPr>
                        <w:t>% higher than in rural households</w:t>
                      </w:r>
                    </w:p>
                  </w:txbxContent>
                </v:textbox>
                <w10:wrap type="tight"/>
              </v:shape>
            </w:pict>
          </mc:Fallback>
        </mc:AlternateContent>
      </w:r>
      <w:r w:rsidR="00321C28">
        <w:rPr>
          <w:noProof/>
          <w:lang w:eastAsia="pl-PL"/>
        </w:rPr>
        <w:drawing>
          <wp:inline distT="0" distB="0" distL="0" distR="0" wp14:anchorId="0DC35F03" wp14:editId="72CBCE57">
            <wp:extent cx="5122545" cy="3239770"/>
            <wp:effectExtent l="0" t="0" r="1905" b="0"/>
            <wp:docPr id="1"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00000000-0008-0000-09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293419" w14:textId="77777777" w:rsidR="00E71BA1" w:rsidRDefault="00E71BA1" w:rsidP="005B4411">
      <w:pPr>
        <w:rPr>
          <w:rFonts w:cs="Arial"/>
          <w:bCs/>
          <w:szCs w:val="19"/>
          <w:lang w:val="en-GB"/>
        </w:rPr>
      </w:pPr>
    </w:p>
    <w:p w14:paraId="212CFD1A" w14:textId="77777777" w:rsidR="00FC6ED0" w:rsidRDefault="00FC6ED0" w:rsidP="005B4411">
      <w:pPr>
        <w:rPr>
          <w:rFonts w:cs="Arial"/>
          <w:bCs/>
          <w:szCs w:val="19"/>
          <w:lang w:val="en-GB"/>
        </w:rPr>
      </w:pPr>
      <w:r>
        <w:rPr>
          <w:rFonts w:cs="Arial"/>
          <w:bCs/>
          <w:szCs w:val="19"/>
          <w:lang w:val="en-GB"/>
        </w:rPr>
        <w:br w:type="page"/>
      </w:r>
    </w:p>
    <w:p w14:paraId="398078FA" w14:textId="36100F70" w:rsidR="005B4411" w:rsidRPr="00211F7F" w:rsidRDefault="005B4411" w:rsidP="005B4411">
      <w:pPr>
        <w:rPr>
          <w:spacing w:val="-2"/>
          <w:szCs w:val="19"/>
          <w:shd w:val="clear" w:color="auto" w:fill="FFFFFF"/>
          <w:lang w:val="en-GB"/>
        </w:rPr>
      </w:pPr>
      <w:r w:rsidRPr="005F6A4E">
        <w:rPr>
          <w:rFonts w:cs="Arial"/>
          <w:bCs/>
          <w:szCs w:val="19"/>
          <w:lang w:val="en-GB"/>
        </w:rPr>
        <w:lastRenderedPageBreak/>
        <w:t xml:space="preserve">The place of residence is another factor that substantially diversified dynamics and structure of income and expenditure </w:t>
      </w:r>
      <w:r w:rsidRPr="000C6457">
        <w:rPr>
          <w:rFonts w:cs="Arial"/>
          <w:bCs/>
          <w:szCs w:val="19"/>
          <w:lang w:val="en-GB"/>
        </w:rPr>
        <w:t>of households.</w:t>
      </w:r>
    </w:p>
    <w:p w14:paraId="10ADDB1A" w14:textId="07A9935D" w:rsidR="005B4411" w:rsidRDefault="005B4411" w:rsidP="005B4411">
      <w:pPr>
        <w:rPr>
          <w:rFonts w:cs="Arial"/>
          <w:szCs w:val="19"/>
          <w:lang w:val="en-GB"/>
        </w:rPr>
      </w:pPr>
      <w:r w:rsidRPr="006416F7">
        <w:rPr>
          <w:rFonts w:cs="Arial"/>
          <w:szCs w:val="19"/>
          <w:lang w:val="en-GB"/>
        </w:rPr>
        <w:t xml:space="preserve">The average </w:t>
      </w:r>
      <w:r>
        <w:rPr>
          <w:rFonts w:cs="Arial"/>
          <w:szCs w:val="19"/>
          <w:lang w:val="en-GB"/>
        </w:rPr>
        <w:t xml:space="preserve">monthly </w:t>
      </w:r>
      <w:r w:rsidRPr="006416F7">
        <w:rPr>
          <w:rFonts w:cs="Arial"/>
          <w:szCs w:val="19"/>
          <w:lang w:val="en-GB"/>
        </w:rPr>
        <w:t xml:space="preserve">available income per capita in urban households was by </w:t>
      </w:r>
      <w:r w:rsidR="00494717">
        <w:rPr>
          <w:rFonts w:cs="Arial"/>
          <w:szCs w:val="19"/>
          <w:lang w:val="en-GB"/>
        </w:rPr>
        <w:t>25.0</w:t>
      </w:r>
      <w:r w:rsidRPr="006416F7">
        <w:rPr>
          <w:rFonts w:cs="Arial"/>
          <w:szCs w:val="19"/>
          <w:lang w:val="en-GB"/>
        </w:rPr>
        <w:t>% higher than in households</w:t>
      </w:r>
      <w:r>
        <w:rPr>
          <w:rFonts w:cs="Arial"/>
          <w:szCs w:val="19"/>
          <w:lang w:val="en-GB"/>
        </w:rPr>
        <w:t xml:space="preserve"> </w:t>
      </w:r>
      <w:r w:rsidR="0053510F">
        <w:rPr>
          <w:rFonts w:cs="Arial"/>
          <w:szCs w:val="19"/>
          <w:lang w:val="en-GB"/>
        </w:rPr>
        <w:t xml:space="preserve">in rural areas </w:t>
      </w:r>
      <w:r w:rsidRPr="006416F7">
        <w:rPr>
          <w:rFonts w:cs="Arial"/>
          <w:szCs w:val="19"/>
          <w:lang w:val="en-GB"/>
        </w:rPr>
        <w:t xml:space="preserve">(in </w:t>
      </w:r>
      <w:r>
        <w:rPr>
          <w:rFonts w:cs="Arial"/>
          <w:szCs w:val="19"/>
          <w:lang w:val="en-GB"/>
        </w:rPr>
        <w:t>202</w:t>
      </w:r>
      <w:r w:rsidR="00494717">
        <w:rPr>
          <w:rFonts w:cs="Arial"/>
          <w:szCs w:val="19"/>
          <w:lang w:val="en-GB"/>
        </w:rPr>
        <w:t>3</w:t>
      </w:r>
      <w:r w:rsidRPr="006416F7">
        <w:rPr>
          <w:rFonts w:cs="Arial"/>
          <w:szCs w:val="19"/>
          <w:lang w:val="en-GB"/>
        </w:rPr>
        <w:t xml:space="preserve"> </w:t>
      </w:r>
      <w:r>
        <w:rPr>
          <w:rFonts w:cs="Arial"/>
          <w:szCs w:val="19"/>
          <w:lang w:val="en-GB"/>
        </w:rPr>
        <w:t>by</w:t>
      </w:r>
      <w:r w:rsidRPr="006416F7">
        <w:rPr>
          <w:rFonts w:cs="Arial"/>
          <w:szCs w:val="19"/>
          <w:lang w:val="en-GB"/>
        </w:rPr>
        <w:t xml:space="preserve"> </w:t>
      </w:r>
      <w:r w:rsidR="00494717">
        <w:rPr>
          <w:rFonts w:cs="Arial"/>
          <w:szCs w:val="19"/>
          <w:lang w:val="en-GB"/>
        </w:rPr>
        <w:t>26.6</w:t>
      </w:r>
      <w:r w:rsidRPr="006416F7">
        <w:rPr>
          <w:rFonts w:cs="Arial"/>
          <w:szCs w:val="19"/>
          <w:lang w:val="en-GB"/>
        </w:rPr>
        <w:t>%)</w:t>
      </w:r>
      <w:r w:rsidR="00C625EC">
        <w:rPr>
          <w:rFonts w:cs="Arial"/>
          <w:szCs w:val="19"/>
          <w:lang w:val="en-GB"/>
        </w:rPr>
        <w:t>, which</w:t>
      </w:r>
      <w:r w:rsidRPr="006416F7">
        <w:rPr>
          <w:rFonts w:cs="Arial"/>
          <w:szCs w:val="19"/>
          <w:lang w:val="en-GB"/>
        </w:rPr>
        <w:t xml:space="preserve"> </w:t>
      </w:r>
      <w:r>
        <w:rPr>
          <w:rFonts w:cs="Arial"/>
          <w:szCs w:val="19"/>
          <w:lang w:val="en-GB"/>
        </w:rPr>
        <w:t>resulted from</w:t>
      </w:r>
      <w:r w:rsidRPr="006416F7">
        <w:rPr>
          <w:rFonts w:cs="Arial"/>
          <w:szCs w:val="19"/>
          <w:lang w:val="en-GB"/>
        </w:rPr>
        <w:t xml:space="preserve"> the amount of income obtained by households, but were also connected with the larger number of </w:t>
      </w:r>
      <w:r>
        <w:rPr>
          <w:rFonts w:cs="Arial"/>
          <w:szCs w:val="19"/>
          <w:lang w:val="en-GB"/>
        </w:rPr>
        <w:t xml:space="preserve">persons </w:t>
      </w:r>
      <w:r w:rsidRPr="006416F7">
        <w:rPr>
          <w:rFonts w:cs="Arial"/>
          <w:szCs w:val="19"/>
          <w:lang w:val="en-GB"/>
        </w:rPr>
        <w:t xml:space="preserve">living </w:t>
      </w:r>
      <w:r>
        <w:rPr>
          <w:rFonts w:cs="Arial"/>
          <w:szCs w:val="19"/>
          <w:lang w:val="en-GB"/>
        </w:rPr>
        <w:t>in</w:t>
      </w:r>
      <w:r w:rsidRPr="006416F7">
        <w:rPr>
          <w:rFonts w:cs="Arial"/>
          <w:szCs w:val="19"/>
          <w:lang w:val="en-GB"/>
        </w:rPr>
        <w:t xml:space="preserve"> rural household</w:t>
      </w:r>
      <w:r>
        <w:rPr>
          <w:rFonts w:cs="Arial"/>
          <w:szCs w:val="19"/>
          <w:lang w:val="en-GB"/>
        </w:rPr>
        <w:t>s</w:t>
      </w:r>
      <w:r>
        <w:rPr>
          <w:rStyle w:val="Odwoanieprzypisudolnego"/>
          <w:rFonts w:cs="Arial"/>
          <w:szCs w:val="19"/>
          <w:lang w:val="en-GB"/>
        </w:rPr>
        <w:footnoteReference w:id="5"/>
      </w:r>
      <w:r w:rsidRPr="006416F7">
        <w:rPr>
          <w:rFonts w:cs="Arial"/>
          <w:szCs w:val="19"/>
          <w:lang w:val="en-GB"/>
        </w:rPr>
        <w:t>. Similar</w:t>
      </w:r>
      <w:r>
        <w:rPr>
          <w:rFonts w:cs="Arial"/>
          <w:szCs w:val="19"/>
          <w:lang w:val="en-GB"/>
        </w:rPr>
        <w:t xml:space="preserve"> situation was observed</w:t>
      </w:r>
      <w:r w:rsidRPr="006416F7">
        <w:rPr>
          <w:rFonts w:cs="Arial"/>
          <w:szCs w:val="19"/>
          <w:lang w:val="en-GB"/>
        </w:rPr>
        <w:t xml:space="preserve"> </w:t>
      </w:r>
      <w:r>
        <w:rPr>
          <w:rFonts w:cs="Arial"/>
          <w:szCs w:val="19"/>
          <w:lang w:val="en-GB"/>
        </w:rPr>
        <w:t xml:space="preserve">in the case of </w:t>
      </w:r>
      <w:r w:rsidRPr="006416F7">
        <w:rPr>
          <w:rFonts w:cs="Arial"/>
          <w:szCs w:val="19"/>
          <w:lang w:val="en-GB"/>
        </w:rPr>
        <w:t xml:space="preserve">expenditure of households. </w:t>
      </w:r>
      <w:r>
        <w:rPr>
          <w:rFonts w:cs="Arial"/>
          <w:szCs w:val="19"/>
          <w:lang w:val="en-GB"/>
        </w:rPr>
        <w:t>Average monthly e</w:t>
      </w:r>
      <w:r w:rsidRPr="006416F7">
        <w:rPr>
          <w:rFonts w:cs="Arial"/>
          <w:szCs w:val="19"/>
          <w:lang w:val="en-GB"/>
        </w:rPr>
        <w:t>xpenditure per capita in households</w:t>
      </w:r>
      <w:r w:rsidR="0053510F">
        <w:rPr>
          <w:rFonts w:cs="Arial"/>
          <w:szCs w:val="19"/>
          <w:lang w:val="en-GB"/>
        </w:rPr>
        <w:t xml:space="preserve"> in urban areas</w:t>
      </w:r>
      <w:r w:rsidRPr="006416F7">
        <w:rPr>
          <w:rFonts w:cs="Arial"/>
          <w:szCs w:val="19"/>
          <w:lang w:val="en-GB"/>
        </w:rPr>
        <w:t xml:space="preserve"> was by </w:t>
      </w:r>
      <w:r w:rsidR="00494717">
        <w:rPr>
          <w:rFonts w:cs="Arial"/>
          <w:szCs w:val="19"/>
          <w:lang w:val="en-GB"/>
        </w:rPr>
        <w:t>36.6</w:t>
      </w:r>
      <w:r w:rsidRPr="006416F7">
        <w:rPr>
          <w:rFonts w:cs="Arial"/>
          <w:szCs w:val="19"/>
          <w:lang w:val="en-GB"/>
        </w:rPr>
        <w:t xml:space="preserve">% higher than in households </w:t>
      </w:r>
      <w:r w:rsidR="0053510F">
        <w:rPr>
          <w:rFonts w:cs="Arial"/>
          <w:szCs w:val="19"/>
          <w:lang w:val="en-GB"/>
        </w:rPr>
        <w:t xml:space="preserve">in rural areas </w:t>
      </w:r>
      <w:r w:rsidRPr="006416F7">
        <w:rPr>
          <w:rFonts w:cs="Arial"/>
          <w:szCs w:val="19"/>
          <w:lang w:val="en-GB"/>
        </w:rPr>
        <w:t xml:space="preserve">(in </w:t>
      </w:r>
      <w:r>
        <w:rPr>
          <w:rFonts w:cs="Arial"/>
          <w:szCs w:val="19"/>
          <w:lang w:val="en-GB"/>
        </w:rPr>
        <w:t>202</w:t>
      </w:r>
      <w:r w:rsidR="00494717">
        <w:rPr>
          <w:rFonts w:cs="Arial"/>
          <w:szCs w:val="19"/>
          <w:lang w:val="en-GB"/>
        </w:rPr>
        <w:t xml:space="preserve">3 </w:t>
      </w:r>
      <w:r w:rsidR="00C625EC">
        <w:rPr>
          <w:rFonts w:cs="Arial"/>
          <w:szCs w:val="19"/>
          <w:lang w:val="en-GB"/>
        </w:rPr>
        <w:t>by</w:t>
      </w:r>
      <w:r w:rsidRPr="006416F7">
        <w:rPr>
          <w:rFonts w:cs="Arial"/>
          <w:szCs w:val="19"/>
          <w:lang w:val="en-GB"/>
        </w:rPr>
        <w:t xml:space="preserve"> </w:t>
      </w:r>
      <w:r w:rsidR="00494717">
        <w:rPr>
          <w:rFonts w:cs="Arial"/>
          <w:szCs w:val="19"/>
          <w:lang w:val="en-GB"/>
        </w:rPr>
        <w:t>29.5</w:t>
      </w:r>
      <w:r w:rsidRPr="006416F7">
        <w:rPr>
          <w:rFonts w:cs="Arial"/>
          <w:szCs w:val="19"/>
          <w:lang w:val="en-GB"/>
        </w:rPr>
        <w:t>%).</w:t>
      </w:r>
      <w:r>
        <w:rPr>
          <w:rFonts w:cs="Arial"/>
          <w:szCs w:val="19"/>
          <w:lang w:val="en-GB"/>
        </w:rPr>
        <w:t xml:space="preserve"> </w:t>
      </w:r>
    </w:p>
    <w:p w14:paraId="7EE94F31" w14:textId="2DAAEDED" w:rsidR="00B92CB2" w:rsidRPr="00B92CB2" w:rsidRDefault="00392586" w:rsidP="00FD0CA4">
      <w:pPr>
        <w:spacing w:before="0" w:line="259" w:lineRule="auto"/>
        <w:rPr>
          <w:szCs w:val="19"/>
          <w:shd w:val="clear" w:color="auto" w:fill="FFFFFF"/>
          <w:lang w:val="en-GB"/>
        </w:rPr>
      </w:pPr>
      <w:r w:rsidRPr="003638B4">
        <w:rPr>
          <w:rFonts w:cs="Arial"/>
          <w:bCs/>
          <w:szCs w:val="19"/>
          <w:lang w:val="en-GB"/>
        </w:rPr>
        <w:t>In</w:t>
      </w:r>
      <w:r w:rsidR="00134A30" w:rsidRPr="003638B4">
        <w:rPr>
          <w:rFonts w:cs="Arial"/>
          <w:bCs/>
          <w:szCs w:val="19"/>
          <w:lang w:val="en-GB"/>
        </w:rPr>
        <w:t xml:space="preserve"> territorial </w:t>
      </w:r>
      <w:r w:rsidRPr="003638B4">
        <w:rPr>
          <w:rFonts w:cs="Arial"/>
          <w:bCs/>
          <w:szCs w:val="19"/>
          <w:lang w:val="en-GB"/>
        </w:rPr>
        <w:t>terms</w:t>
      </w:r>
      <w:r w:rsidR="00134A30" w:rsidRPr="003638B4">
        <w:rPr>
          <w:rFonts w:cs="Arial"/>
          <w:bCs/>
          <w:szCs w:val="19"/>
          <w:lang w:val="en-GB"/>
        </w:rPr>
        <w:t xml:space="preserve"> </w:t>
      </w:r>
      <w:r w:rsidR="007527D6">
        <w:rPr>
          <w:rFonts w:cs="Arial"/>
          <w:bCs/>
          <w:szCs w:val="19"/>
          <w:lang w:val="en-GB"/>
        </w:rPr>
        <w:t>average monthly</w:t>
      </w:r>
      <w:r w:rsidR="00134A30" w:rsidRPr="003638B4">
        <w:rPr>
          <w:rFonts w:cs="Arial"/>
          <w:bCs/>
          <w:szCs w:val="19"/>
          <w:lang w:val="en-GB"/>
        </w:rPr>
        <w:t xml:space="preserve"> </w:t>
      </w:r>
      <w:r w:rsidR="007527D6">
        <w:rPr>
          <w:rFonts w:cs="Arial"/>
          <w:bCs/>
          <w:szCs w:val="19"/>
          <w:lang w:val="en-GB"/>
        </w:rPr>
        <w:t xml:space="preserve">available </w:t>
      </w:r>
      <w:r w:rsidR="00134A30" w:rsidRPr="003638B4">
        <w:rPr>
          <w:rFonts w:cs="Arial"/>
          <w:bCs/>
          <w:szCs w:val="19"/>
          <w:lang w:val="en-GB"/>
        </w:rPr>
        <w:t xml:space="preserve">income </w:t>
      </w:r>
      <w:r w:rsidR="007527D6">
        <w:rPr>
          <w:rFonts w:cs="Arial"/>
          <w:bCs/>
          <w:szCs w:val="19"/>
          <w:lang w:val="en-GB"/>
        </w:rPr>
        <w:t xml:space="preserve">per capita </w:t>
      </w:r>
      <w:r w:rsidR="00134A30" w:rsidRPr="003638B4">
        <w:rPr>
          <w:rFonts w:cs="Arial"/>
          <w:bCs/>
          <w:szCs w:val="19"/>
          <w:lang w:val="en-GB"/>
        </w:rPr>
        <w:t xml:space="preserve">higher than the national average appeared in </w:t>
      </w:r>
      <w:r w:rsidR="008F7E05" w:rsidRPr="003638B4">
        <w:rPr>
          <w:rFonts w:cs="Arial"/>
          <w:bCs/>
          <w:szCs w:val="19"/>
          <w:lang w:val="en-GB"/>
        </w:rPr>
        <w:t>voivodships</w:t>
      </w:r>
      <w:r w:rsidR="00134A30" w:rsidRPr="003638B4">
        <w:rPr>
          <w:rFonts w:cs="Arial"/>
          <w:bCs/>
          <w:szCs w:val="19"/>
          <w:lang w:val="en-GB"/>
        </w:rPr>
        <w:t>:</w:t>
      </w:r>
      <w:r w:rsidR="00134A30" w:rsidRPr="00134A30">
        <w:rPr>
          <w:rFonts w:cs="Arial"/>
          <w:bCs/>
          <w:szCs w:val="19"/>
          <w:lang w:val="en-GB"/>
        </w:rPr>
        <w:t xml:space="preserve"> Mazowiecki</w:t>
      </w:r>
      <w:r w:rsidR="008F7E05">
        <w:rPr>
          <w:rFonts w:cs="Arial"/>
          <w:bCs/>
          <w:szCs w:val="19"/>
          <w:lang w:val="en-GB"/>
        </w:rPr>
        <w:t>e</w:t>
      </w:r>
      <w:r w:rsidR="00134A30" w:rsidRPr="00134A30">
        <w:rPr>
          <w:rFonts w:cs="Arial"/>
          <w:bCs/>
          <w:szCs w:val="19"/>
          <w:lang w:val="en-GB"/>
        </w:rPr>
        <w:t xml:space="preserve">, </w:t>
      </w:r>
      <w:r w:rsidR="00882B10">
        <w:rPr>
          <w:rFonts w:cs="Arial"/>
          <w:bCs/>
          <w:szCs w:val="19"/>
          <w:lang w:val="en-GB"/>
        </w:rPr>
        <w:t xml:space="preserve">Podlaskie, </w:t>
      </w:r>
      <w:r w:rsidR="00882B10" w:rsidRPr="00134A30">
        <w:rPr>
          <w:rFonts w:cs="Arial"/>
          <w:bCs/>
          <w:szCs w:val="19"/>
          <w:lang w:val="en-GB"/>
        </w:rPr>
        <w:t>Lubus</w:t>
      </w:r>
      <w:r w:rsidR="00882B10">
        <w:rPr>
          <w:rFonts w:cs="Arial"/>
          <w:bCs/>
          <w:szCs w:val="19"/>
          <w:lang w:val="en-GB"/>
        </w:rPr>
        <w:t>kie, Małopolskie,</w:t>
      </w:r>
      <w:r w:rsidR="00882B10" w:rsidRPr="00134A30">
        <w:rPr>
          <w:rFonts w:cs="Arial"/>
          <w:bCs/>
          <w:szCs w:val="19"/>
          <w:lang w:val="en-GB"/>
        </w:rPr>
        <w:t xml:space="preserve"> </w:t>
      </w:r>
      <w:r w:rsidR="00C625EC" w:rsidRPr="00134A30">
        <w:rPr>
          <w:rFonts w:cs="Arial"/>
          <w:bCs/>
          <w:szCs w:val="19"/>
          <w:lang w:val="en-GB"/>
        </w:rPr>
        <w:t xml:space="preserve">Śląskie </w:t>
      </w:r>
      <w:r w:rsidR="00882B10">
        <w:rPr>
          <w:rFonts w:cs="Arial"/>
          <w:bCs/>
          <w:szCs w:val="19"/>
          <w:lang w:val="en-GB"/>
        </w:rPr>
        <w:t>and P</w:t>
      </w:r>
      <w:r w:rsidR="004501AE">
        <w:rPr>
          <w:rFonts w:cs="Arial"/>
          <w:bCs/>
          <w:szCs w:val="19"/>
          <w:lang w:val="en-GB"/>
        </w:rPr>
        <w:t>omorskie</w:t>
      </w:r>
      <w:r w:rsidR="00134A30" w:rsidRPr="00134A30">
        <w:rPr>
          <w:rFonts w:cs="Arial"/>
          <w:bCs/>
          <w:szCs w:val="19"/>
          <w:lang w:val="en-GB"/>
        </w:rPr>
        <w:t>. As in the previous year, definitely the highest average</w:t>
      </w:r>
      <w:r w:rsidR="002650D9">
        <w:rPr>
          <w:rFonts w:cs="Arial"/>
          <w:bCs/>
          <w:szCs w:val="19"/>
          <w:lang w:val="en-GB"/>
        </w:rPr>
        <w:t xml:space="preserve"> monthly</w:t>
      </w:r>
      <w:r w:rsidR="00134A30" w:rsidRPr="00134A30">
        <w:rPr>
          <w:rFonts w:cs="Arial"/>
          <w:bCs/>
          <w:szCs w:val="19"/>
          <w:lang w:val="en-GB"/>
        </w:rPr>
        <w:t xml:space="preserve"> income </w:t>
      </w:r>
      <w:r w:rsidR="008F7E05">
        <w:rPr>
          <w:rFonts w:cs="Arial"/>
          <w:bCs/>
          <w:szCs w:val="19"/>
          <w:lang w:val="en-GB"/>
        </w:rPr>
        <w:t>per capita</w:t>
      </w:r>
      <w:r w:rsidR="00134A30" w:rsidRPr="00134A30">
        <w:rPr>
          <w:rFonts w:cs="Arial"/>
          <w:bCs/>
          <w:szCs w:val="19"/>
          <w:lang w:val="en-GB"/>
        </w:rPr>
        <w:t xml:space="preserve"> </w:t>
      </w:r>
      <w:r w:rsidR="008F7E05">
        <w:rPr>
          <w:rFonts w:cs="Arial"/>
          <w:bCs/>
          <w:szCs w:val="19"/>
          <w:lang w:val="en-GB"/>
        </w:rPr>
        <w:t>was in</w:t>
      </w:r>
      <w:r w:rsidR="00134A30" w:rsidRPr="00134A30">
        <w:rPr>
          <w:rFonts w:cs="Arial"/>
          <w:bCs/>
          <w:szCs w:val="19"/>
          <w:lang w:val="en-GB"/>
        </w:rPr>
        <w:t xml:space="preserve"> households </w:t>
      </w:r>
      <w:r w:rsidR="008F7E05">
        <w:rPr>
          <w:rFonts w:cs="Arial"/>
          <w:bCs/>
          <w:szCs w:val="19"/>
          <w:lang w:val="en-GB"/>
        </w:rPr>
        <w:t>in</w:t>
      </w:r>
      <w:r w:rsidR="00134A30" w:rsidRPr="00134A30">
        <w:rPr>
          <w:rFonts w:cs="Arial"/>
          <w:bCs/>
          <w:szCs w:val="19"/>
          <w:lang w:val="en-GB"/>
        </w:rPr>
        <w:t xml:space="preserve"> </w:t>
      </w:r>
      <w:r w:rsidR="008F7E05">
        <w:rPr>
          <w:rFonts w:cs="Arial"/>
          <w:bCs/>
          <w:szCs w:val="19"/>
          <w:lang w:val="en-GB"/>
        </w:rPr>
        <w:t>Mazowieckie</w:t>
      </w:r>
      <w:r w:rsidR="00134A30" w:rsidRPr="00134A30">
        <w:rPr>
          <w:rFonts w:cs="Arial"/>
          <w:bCs/>
          <w:szCs w:val="19"/>
          <w:lang w:val="en-GB"/>
        </w:rPr>
        <w:t xml:space="preserve"> </w:t>
      </w:r>
      <w:r w:rsidR="008D2B2D">
        <w:rPr>
          <w:rFonts w:cs="Arial"/>
          <w:bCs/>
          <w:szCs w:val="19"/>
          <w:lang w:val="en-GB"/>
        </w:rPr>
        <w:t>V</w:t>
      </w:r>
      <w:r w:rsidR="00134A30" w:rsidRPr="00134A30">
        <w:rPr>
          <w:rFonts w:cs="Arial"/>
          <w:bCs/>
          <w:szCs w:val="19"/>
          <w:lang w:val="en-GB"/>
        </w:rPr>
        <w:t xml:space="preserve">oivodship </w:t>
      </w:r>
      <w:r w:rsidR="00F203D8">
        <w:rPr>
          <w:rFonts w:cs="Arial"/>
          <w:bCs/>
          <w:szCs w:val="19"/>
          <w:lang w:val="en-GB"/>
        </w:rPr>
        <w:t xml:space="preserve">– </w:t>
      </w:r>
      <w:r w:rsidR="00134A30" w:rsidRPr="00134A30">
        <w:rPr>
          <w:rFonts w:cs="Arial"/>
          <w:bCs/>
          <w:szCs w:val="19"/>
          <w:lang w:val="en-GB"/>
        </w:rPr>
        <w:t xml:space="preserve">PLN </w:t>
      </w:r>
      <w:r w:rsidR="00882B10">
        <w:rPr>
          <w:rFonts w:cs="Arial"/>
          <w:bCs/>
          <w:szCs w:val="19"/>
          <w:lang w:val="en-GB"/>
        </w:rPr>
        <w:t>3632</w:t>
      </w:r>
      <w:r w:rsidR="00F36205">
        <w:rPr>
          <w:rFonts w:cs="Arial"/>
          <w:bCs/>
          <w:szCs w:val="19"/>
          <w:lang w:val="en-GB"/>
        </w:rPr>
        <w:t xml:space="preserve"> (in 202</w:t>
      </w:r>
      <w:r w:rsidR="00882B10">
        <w:rPr>
          <w:rFonts w:cs="Arial"/>
          <w:bCs/>
          <w:szCs w:val="19"/>
          <w:lang w:val="en-GB"/>
        </w:rPr>
        <w:t>3</w:t>
      </w:r>
      <w:r w:rsidR="00F36205">
        <w:rPr>
          <w:rFonts w:cs="Arial"/>
          <w:bCs/>
          <w:szCs w:val="19"/>
          <w:lang w:val="en-GB"/>
        </w:rPr>
        <w:t xml:space="preserve"> – PLN </w:t>
      </w:r>
      <w:r w:rsidR="00882B10">
        <w:rPr>
          <w:rFonts w:cs="Arial"/>
          <w:bCs/>
          <w:szCs w:val="19"/>
          <w:lang w:val="en-GB"/>
        </w:rPr>
        <w:t>3209</w:t>
      </w:r>
      <w:r w:rsidR="00F36205">
        <w:rPr>
          <w:rFonts w:cs="Arial"/>
          <w:bCs/>
          <w:szCs w:val="19"/>
          <w:lang w:val="en-GB"/>
        </w:rPr>
        <w:t>)</w:t>
      </w:r>
      <w:r w:rsidR="007527D6">
        <w:rPr>
          <w:rFonts w:cs="Arial"/>
          <w:bCs/>
          <w:szCs w:val="19"/>
          <w:lang w:val="en-GB"/>
        </w:rPr>
        <w:t xml:space="preserve">. </w:t>
      </w:r>
      <w:r w:rsidR="00134A30" w:rsidRPr="00CB2BBC">
        <w:rPr>
          <w:rFonts w:cs="Arial"/>
          <w:bCs/>
          <w:szCs w:val="19"/>
          <w:lang w:val="en-GB"/>
        </w:rPr>
        <w:t>Th</w:t>
      </w:r>
      <w:r w:rsidR="00F36205">
        <w:rPr>
          <w:rFonts w:cs="Arial"/>
          <w:bCs/>
          <w:szCs w:val="19"/>
          <w:lang w:val="en-GB"/>
        </w:rPr>
        <w:t>e</w:t>
      </w:r>
      <w:r w:rsidR="00134A30" w:rsidRPr="00CB2BBC">
        <w:rPr>
          <w:rFonts w:cs="Arial"/>
          <w:bCs/>
          <w:szCs w:val="19"/>
          <w:lang w:val="en-GB"/>
        </w:rPr>
        <w:t xml:space="preserve"> income </w:t>
      </w:r>
      <w:r w:rsidR="00F36205">
        <w:rPr>
          <w:rFonts w:cs="Arial"/>
          <w:bCs/>
          <w:szCs w:val="19"/>
          <w:lang w:val="en-GB"/>
        </w:rPr>
        <w:t xml:space="preserve">in Mazowieckie Voivodship </w:t>
      </w:r>
      <w:r w:rsidR="00134A30" w:rsidRPr="00CB2BBC">
        <w:rPr>
          <w:rFonts w:cs="Arial"/>
          <w:bCs/>
          <w:szCs w:val="19"/>
          <w:lang w:val="en-GB"/>
        </w:rPr>
        <w:t>w</w:t>
      </w:r>
      <w:r w:rsidR="008F7E05" w:rsidRPr="00CB2BBC">
        <w:rPr>
          <w:rFonts w:cs="Arial"/>
          <w:bCs/>
          <w:szCs w:val="19"/>
          <w:lang w:val="en-GB"/>
        </w:rPr>
        <w:t>as</w:t>
      </w:r>
      <w:r w:rsidR="00134A30" w:rsidRPr="00CB2BBC">
        <w:rPr>
          <w:rFonts w:cs="Arial"/>
          <w:bCs/>
          <w:szCs w:val="19"/>
          <w:lang w:val="en-GB"/>
        </w:rPr>
        <w:t xml:space="preserve"> higher than the average </w:t>
      </w:r>
      <w:r w:rsidR="002650D9">
        <w:rPr>
          <w:rFonts w:cs="Arial"/>
          <w:bCs/>
          <w:szCs w:val="19"/>
          <w:lang w:val="en-GB"/>
        </w:rPr>
        <w:t>monthly</w:t>
      </w:r>
      <w:r w:rsidR="00134A30" w:rsidRPr="00CB2BBC">
        <w:rPr>
          <w:rFonts w:cs="Arial"/>
          <w:bCs/>
          <w:szCs w:val="19"/>
          <w:lang w:val="en-GB"/>
        </w:rPr>
        <w:t xml:space="preserve"> income per </w:t>
      </w:r>
      <w:r w:rsidR="008F7E05" w:rsidRPr="00CB2BBC">
        <w:rPr>
          <w:rFonts w:cs="Arial"/>
          <w:bCs/>
          <w:szCs w:val="19"/>
          <w:lang w:val="en-GB"/>
        </w:rPr>
        <w:t>capita</w:t>
      </w:r>
      <w:r w:rsidR="00134A30" w:rsidRPr="00CB2BBC">
        <w:rPr>
          <w:rFonts w:cs="Arial"/>
          <w:bCs/>
          <w:szCs w:val="19"/>
          <w:lang w:val="en-GB"/>
        </w:rPr>
        <w:t xml:space="preserve"> </w:t>
      </w:r>
      <w:r w:rsidR="002650D9">
        <w:rPr>
          <w:rFonts w:cs="Arial"/>
          <w:bCs/>
          <w:szCs w:val="19"/>
          <w:lang w:val="en-GB"/>
        </w:rPr>
        <w:t xml:space="preserve">for the country </w:t>
      </w:r>
      <w:r w:rsidR="00134A30" w:rsidRPr="00CB2BBC">
        <w:rPr>
          <w:rFonts w:cs="Arial"/>
          <w:bCs/>
          <w:szCs w:val="19"/>
          <w:lang w:val="en-GB"/>
        </w:rPr>
        <w:t xml:space="preserve">by </w:t>
      </w:r>
      <w:r w:rsidR="00882B10">
        <w:rPr>
          <w:rFonts w:cs="Arial"/>
          <w:bCs/>
          <w:szCs w:val="19"/>
          <w:lang w:val="en-GB"/>
        </w:rPr>
        <w:t>14.7</w:t>
      </w:r>
      <w:r w:rsidR="00134A30" w:rsidRPr="00CB2BBC">
        <w:rPr>
          <w:rFonts w:cs="Arial"/>
          <w:bCs/>
          <w:szCs w:val="19"/>
          <w:lang w:val="en-GB"/>
        </w:rPr>
        <w:t>% (</w:t>
      </w:r>
      <w:r w:rsidR="00134A30" w:rsidRPr="00134A30">
        <w:rPr>
          <w:rFonts w:cs="Arial"/>
          <w:bCs/>
          <w:szCs w:val="19"/>
          <w:lang w:val="en-GB"/>
        </w:rPr>
        <w:t xml:space="preserve">higher </w:t>
      </w:r>
      <w:r>
        <w:rPr>
          <w:rFonts w:cs="Arial"/>
          <w:bCs/>
          <w:szCs w:val="19"/>
          <w:lang w:val="en-GB"/>
        </w:rPr>
        <w:t xml:space="preserve">than national average </w:t>
      </w:r>
      <w:r w:rsidR="00134A30" w:rsidRPr="00134A30">
        <w:rPr>
          <w:rFonts w:cs="Arial"/>
          <w:bCs/>
          <w:szCs w:val="19"/>
          <w:lang w:val="en-GB"/>
        </w:rPr>
        <w:t xml:space="preserve">by </w:t>
      </w:r>
      <w:r w:rsidR="00882B10">
        <w:rPr>
          <w:rFonts w:cs="Arial"/>
          <w:bCs/>
          <w:szCs w:val="19"/>
          <w:lang w:val="en-GB"/>
        </w:rPr>
        <w:t>32.5</w:t>
      </w:r>
      <w:r w:rsidR="00134A30" w:rsidRPr="00134A30">
        <w:rPr>
          <w:rFonts w:cs="Arial"/>
          <w:bCs/>
          <w:szCs w:val="19"/>
          <w:lang w:val="en-GB"/>
        </w:rPr>
        <w:t xml:space="preserve">% in </w:t>
      </w:r>
      <w:r w:rsidR="00AB1D39">
        <w:rPr>
          <w:rFonts w:cs="Arial"/>
          <w:bCs/>
          <w:szCs w:val="19"/>
          <w:lang w:val="en-GB"/>
        </w:rPr>
        <w:t>Warsaw Capital</w:t>
      </w:r>
      <w:r w:rsidR="00134A30" w:rsidRPr="00134A30">
        <w:rPr>
          <w:rFonts w:cs="Arial"/>
          <w:bCs/>
          <w:szCs w:val="19"/>
          <w:lang w:val="en-GB"/>
        </w:rPr>
        <w:t xml:space="preserve"> Region and lower by </w:t>
      </w:r>
      <w:r w:rsidR="00882B10">
        <w:rPr>
          <w:rFonts w:cs="Arial"/>
          <w:bCs/>
          <w:szCs w:val="19"/>
          <w:lang w:val="en-GB"/>
        </w:rPr>
        <w:t>9.3</w:t>
      </w:r>
      <w:r w:rsidR="00134A30" w:rsidRPr="00134A30">
        <w:rPr>
          <w:rFonts w:cs="Arial"/>
          <w:bCs/>
          <w:szCs w:val="19"/>
          <w:lang w:val="en-GB"/>
        </w:rPr>
        <w:t xml:space="preserve">% in the </w:t>
      </w:r>
      <w:r w:rsidR="008F7E05">
        <w:rPr>
          <w:rFonts w:cs="Arial"/>
          <w:bCs/>
          <w:szCs w:val="19"/>
          <w:lang w:val="en-GB"/>
        </w:rPr>
        <w:t>remaining part</w:t>
      </w:r>
      <w:r w:rsidR="00134A30" w:rsidRPr="00134A30">
        <w:rPr>
          <w:rFonts w:cs="Arial"/>
          <w:bCs/>
          <w:szCs w:val="19"/>
          <w:lang w:val="en-GB"/>
        </w:rPr>
        <w:t xml:space="preserve"> of Mazowieckie Voivodship). </w:t>
      </w:r>
      <w:r w:rsidR="003B74E4">
        <w:rPr>
          <w:rFonts w:cs="Arial"/>
          <w:bCs/>
          <w:szCs w:val="19"/>
          <w:lang w:val="en-GB"/>
        </w:rPr>
        <w:t>T</w:t>
      </w:r>
      <w:r w:rsidR="00134A30" w:rsidRPr="00134A30">
        <w:rPr>
          <w:rFonts w:cs="Arial"/>
          <w:bCs/>
          <w:szCs w:val="19"/>
          <w:lang w:val="en-GB"/>
        </w:rPr>
        <w:t xml:space="preserve">he lowest </w:t>
      </w:r>
      <w:r w:rsidR="007527D6">
        <w:rPr>
          <w:rFonts w:cs="Arial"/>
          <w:bCs/>
          <w:szCs w:val="19"/>
          <w:lang w:val="en-GB"/>
        </w:rPr>
        <w:t xml:space="preserve">average monthly available </w:t>
      </w:r>
      <w:r w:rsidR="00134A30" w:rsidRPr="00134A30">
        <w:rPr>
          <w:rFonts w:cs="Arial"/>
          <w:bCs/>
          <w:szCs w:val="19"/>
          <w:lang w:val="en-GB"/>
        </w:rPr>
        <w:t xml:space="preserve">income </w:t>
      </w:r>
      <w:r w:rsidR="007527D6">
        <w:rPr>
          <w:rFonts w:cs="Arial"/>
          <w:bCs/>
          <w:szCs w:val="19"/>
          <w:lang w:val="en-GB"/>
        </w:rPr>
        <w:t xml:space="preserve">per capita </w:t>
      </w:r>
      <w:r w:rsidR="00134A30" w:rsidRPr="00134A30">
        <w:rPr>
          <w:rFonts w:cs="Arial"/>
          <w:bCs/>
          <w:szCs w:val="19"/>
          <w:lang w:val="en-GB"/>
        </w:rPr>
        <w:t xml:space="preserve">obtained </w:t>
      </w:r>
      <w:r w:rsidR="008F7E05">
        <w:rPr>
          <w:rFonts w:cs="Arial"/>
          <w:bCs/>
          <w:szCs w:val="19"/>
          <w:lang w:val="en-GB"/>
        </w:rPr>
        <w:t>households</w:t>
      </w:r>
      <w:r w:rsidR="00134A30" w:rsidRPr="00134A30">
        <w:rPr>
          <w:rFonts w:cs="Arial"/>
          <w:bCs/>
          <w:szCs w:val="19"/>
          <w:lang w:val="en-GB"/>
        </w:rPr>
        <w:t xml:space="preserve"> </w:t>
      </w:r>
      <w:r w:rsidR="008F7E05">
        <w:rPr>
          <w:rFonts w:cs="Arial"/>
          <w:bCs/>
          <w:szCs w:val="19"/>
          <w:lang w:val="en-GB"/>
        </w:rPr>
        <w:t>in</w:t>
      </w:r>
      <w:r w:rsidR="00134A30" w:rsidRPr="00134A30">
        <w:rPr>
          <w:rFonts w:cs="Arial"/>
          <w:bCs/>
          <w:szCs w:val="19"/>
          <w:lang w:val="en-GB"/>
        </w:rPr>
        <w:t xml:space="preserve"> </w:t>
      </w:r>
      <w:r w:rsidR="00687791">
        <w:rPr>
          <w:rFonts w:cs="Arial"/>
          <w:bCs/>
          <w:szCs w:val="19"/>
          <w:lang w:val="en-GB"/>
        </w:rPr>
        <w:t>Opolskie</w:t>
      </w:r>
      <w:r w:rsidR="003B74E4">
        <w:rPr>
          <w:rFonts w:cs="Arial"/>
          <w:bCs/>
          <w:szCs w:val="19"/>
          <w:lang w:val="en-GB"/>
        </w:rPr>
        <w:t xml:space="preserve"> </w:t>
      </w:r>
      <w:r w:rsidR="00134A30" w:rsidRPr="00134A30">
        <w:rPr>
          <w:rFonts w:cs="Arial"/>
          <w:bCs/>
          <w:szCs w:val="19"/>
          <w:lang w:val="en-GB"/>
        </w:rPr>
        <w:t xml:space="preserve">Voivodship (PLN </w:t>
      </w:r>
      <w:r w:rsidR="006B533F">
        <w:rPr>
          <w:rFonts w:cs="Arial"/>
          <w:bCs/>
          <w:szCs w:val="19"/>
          <w:lang w:val="en-GB"/>
        </w:rPr>
        <w:t>2538</w:t>
      </w:r>
      <w:r w:rsidR="00F36205">
        <w:rPr>
          <w:rFonts w:cs="Arial"/>
          <w:bCs/>
          <w:szCs w:val="19"/>
          <w:lang w:val="en-GB"/>
        </w:rPr>
        <w:t>)</w:t>
      </w:r>
      <w:r w:rsidR="00134A30" w:rsidRPr="00134A30">
        <w:rPr>
          <w:rFonts w:cs="Arial"/>
          <w:bCs/>
          <w:szCs w:val="19"/>
          <w:lang w:val="en-GB"/>
        </w:rPr>
        <w:t xml:space="preserve"> </w:t>
      </w:r>
      <w:r w:rsidR="008F7E05">
        <w:rPr>
          <w:rFonts w:cs="Arial"/>
          <w:bCs/>
          <w:szCs w:val="19"/>
          <w:lang w:val="en-GB"/>
        </w:rPr>
        <w:t>– by</w:t>
      </w:r>
      <w:r w:rsidR="00134A30" w:rsidRPr="00134A30">
        <w:rPr>
          <w:rFonts w:cs="Arial"/>
          <w:bCs/>
          <w:szCs w:val="19"/>
          <w:lang w:val="en-GB"/>
        </w:rPr>
        <w:t xml:space="preserve"> </w:t>
      </w:r>
      <w:r w:rsidR="006B533F">
        <w:rPr>
          <w:rFonts w:cs="Arial"/>
          <w:bCs/>
          <w:szCs w:val="19"/>
          <w:lang w:val="en-GB"/>
        </w:rPr>
        <w:t>19.9</w:t>
      </w:r>
      <w:r w:rsidR="00134A30" w:rsidRPr="00134A30">
        <w:rPr>
          <w:rFonts w:cs="Arial"/>
          <w:bCs/>
          <w:szCs w:val="19"/>
          <w:lang w:val="en-GB"/>
        </w:rPr>
        <w:t>% below the national average</w:t>
      </w:r>
      <w:r w:rsidR="001A602C">
        <w:rPr>
          <w:rFonts w:cs="Arial"/>
          <w:bCs/>
          <w:szCs w:val="19"/>
          <w:lang w:val="en-GB"/>
        </w:rPr>
        <w:t xml:space="preserve">. </w:t>
      </w:r>
      <w:r w:rsidR="00757E3A" w:rsidRPr="00757E3A">
        <w:rPr>
          <w:rFonts w:cs="Arial"/>
          <w:bCs/>
          <w:szCs w:val="19"/>
          <w:lang w:val="en-GB"/>
        </w:rPr>
        <w:t xml:space="preserve">The next voivodships with the lowest level of </w:t>
      </w:r>
      <w:r w:rsidR="001E4BE5">
        <w:rPr>
          <w:rFonts w:cs="Arial"/>
          <w:bCs/>
          <w:szCs w:val="19"/>
          <w:lang w:val="en-GB"/>
        </w:rPr>
        <w:t xml:space="preserve">average monthly </w:t>
      </w:r>
      <w:r w:rsidR="00757E3A" w:rsidRPr="00757E3A">
        <w:rPr>
          <w:rFonts w:cs="Arial"/>
          <w:bCs/>
          <w:szCs w:val="19"/>
          <w:lang w:val="en-GB"/>
        </w:rPr>
        <w:t xml:space="preserve">income </w:t>
      </w:r>
      <w:r w:rsidR="001E4BE5">
        <w:rPr>
          <w:rFonts w:cs="Arial"/>
          <w:bCs/>
          <w:szCs w:val="19"/>
          <w:lang w:val="en-GB"/>
        </w:rPr>
        <w:t xml:space="preserve">per capita </w:t>
      </w:r>
      <w:r w:rsidR="00757E3A" w:rsidRPr="00757E3A">
        <w:rPr>
          <w:rFonts w:cs="Arial"/>
          <w:bCs/>
          <w:szCs w:val="19"/>
          <w:lang w:val="en-GB"/>
        </w:rPr>
        <w:t xml:space="preserve">were </w:t>
      </w:r>
      <w:r w:rsidR="00F203D8">
        <w:rPr>
          <w:rFonts w:cs="Arial"/>
          <w:bCs/>
          <w:szCs w:val="19"/>
          <w:lang w:val="en-GB"/>
        </w:rPr>
        <w:t>voivodships</w:t>
      </w:r>
      <w:r w:rsidR="00F36205">
        <w:rPr>
          <w:rFonts w:cs="Arial"/>
          <w:bCs/>
          <w:szCs w:val="19"/>
          <w:lang w:val="en-GB"/>
        </w:rPr>
        <w:t xml:space="preserve">: </w:t>
      </w:r>
      <w:r w:rsidR="006B533F">
        <w:rPr>
          <w:rFonts w:cs="Arial"/>
          <w:bCs/>
          <w:szCs w:val="19"/>
          <w:lang w:val="en-GB"/>
        </w:rPr>
        <w:t>Podkarpackie (lower by 10.7%</w:t>
      </w:r>
      <w:r w:rsidR="006D670B">
        <w:rPr>
          <w:rFonts w:cs="Arial"/>
          <w:bCs/>
          <w:szCs w:val="19"/>
          <w:lang w:val="en-GB"/>
        </w:rPr>
        <w:t xml:space="preserve"> than national average</w:t>
      </w:r>
      <w:r w:rsidR="006B533F">
        <w:rPr>
          <w:rFonts w:cs="Arial"/>
          <w:bCs/>
          <w:szCs w:val="19"/>
          <w:lang w:val="en-GB"/>
        </w:rPr>
        <w:t xml:space="preserve">), </w:t>
      </w:r>
      <w:r w:rsidR="00882B10">
        <w:rPr>
          <w:rFonts w:cs="Arial"/>
          <w:bCs/>
          <w:szCs w:val="19"/>
          <w:lang w:val="en-GB"/>
        </w:rPr>
        <w:t>Świętokrzyskie (lower by 9.</w:t>
      </w:r>
      <w:r w:rsidR="007103FC">
        <w:rPr>
          <w:rFonts w:cs="Arial"/>
          <w:bCs/>
          <w:szCs w:val="19"/>
          <w:lang w:val="en-GB"/>
        </w:rPr>
        <w:t>8</w:t>
      </w:r>
      <w:r w:rsidR="00882B10">
        <w:rPr>
          <w:rFonts w:cs="Arial"/>
          <w:bCs/>
          <w:szCs w:val="19"/>
          <w:lang w:val="en-GB"/>
        </w:rPr>
        <w:t xml:space="preserve">%), </w:t>
      </w:r>
      <w:r w:rsidR="007103FC">
        <w:rPr>
          <w:rFonts w:cs="Arial"/>
          <w:bCs/>
          <w:szCs w:val="19"/>
          <w:lang w:val="en-GB"/>
        </w:rPr>
        <w:t>Warmińsko-Mazurskie (lower by 8.8%),</w:t>
      </w:r>
      <w:r w:rsidR="00F36205">
        <w:rPr>
          <w:rFonts w:cs="Arial"/>
          <w:bCs/>
          <w:szCs w:val="19"/>
          <w:lang w:val="en-GB"/>
        </w:rPr>
        <w:t xml:space="preserve"> </w:t>
      </w:r>
      <w:r w:rsidR="007527D6">
        <w:rPr>
          <w:rFonts w:cs="Arial"/>
          <w:bCs/>
          <w:szCs w:val="19"/>
          <w:lang w:val="en-GB"/>
        </w:rPr>
        <w:t>and Lub</w:t>
      </w:r>
      <w:r w:rsidR="007103FC">
        <w:rPr>
          <w:rFonts w:cs="Arial"/>
          <w:bCs/>
          <w:szCs w:val="19"/>
          <w:lang w:val="en-GB"/>
        </w:rPr>
        <w:t>el</w:t>
      </w:r>
      <w:r w:rsidR="007527D6">
        <w:rPr>
          <w:rFonts w:cs="Arial"/>
          <w:bCs/>
          <w:szCs w:val="19"/>
          <w:lang w:val="en-GB"/>
        </w:rPr>
        <w:t>skie (lower by 8.</w:t>
      </w:r>
      <w:r w:rsidR="007103FC">
        <w:rPr>
          <w:rFonts w:cs="Arial"/>
          <w:bCs/>
          <w:szCs w:val="19"/>
          <w:lang w:val="en-GB"/>
        </w:rPr>
        <w:t>3</w:t>
      </w:r>
      <w:r w:rsidR="007527D6">
        <w:rPr>
          <w:rFonts w:cs="Arial"/>
          <w:bCs/>
          <w:szCs w:val="19"/>
          <w:lang w:val="en-GB"/>
        </w:rPr>
        <w:t>%)</w:t>
      </w:r>
      <w:r w:rsidR="00EA6277">
        <w:rPr>
          <w:rFonts w:cs="Arial"/>
          <w:bCs/>
          <w:szCs w:val="19"/>
          <w:lang w:val="en-GB"/>
        </w:rPr>
        <w:t>.</w:t>
      </w:r>
    </w:p>
    <w:p w14:paraId="7EE94F33" w14:textId="46EABC88" w:rsidR="009A352C" w:rsidRDefault="004573DF" w:rsidP="00764D9C">
      <w:pPr>
        <w:rPr>
          <w:rFonts w:cs="Arial"/>
          <w:szCs w:val="19"/>
          <w:lang w:val="en-GB"/>
        </w:rPr>
      </w:pPr>
      <w:r w:rsidRPr="006416F7">
        <w:rPr>
          <w:rFonts w:cs="Arial"/>
          <w:szCs w:val="19"/>
          <w:lang w:val="en-GB"/>
        </w:rPr>
        <w:t xml:space="preserve">The difference between the highest and the lowest average </w:t>
      </w:r>
      <w:r w:rsidR="001E4BE5">
        <w:rPr>
          <w:rFonts w:cs="Arial"/>
          <w:szCs w:val="19"/>
          <w:lang w:val="en-GB"/>
        </w:rPr>
        <w:t xml:space="preserve">monthly </w:t>
      </w:r>
      <w:r w:rsidRPr="006416F7">
        <w:rPr>
          <w:rFonts w:cs="Arial"/>
          <w:szCs w:val="19"/>
          <w:lang w:val="en-GB"/>
        </w:rPr>
        <w:t xml:space="preserve">income per capita </w:t>
      </w:r>
      <w:r w:rsidR="008F7E05">
        <w:rPr>
          <w:rFonts w:cs="Arial"/>
          <w:szCs w:val="19"/>
          <w:lang w:val="en-GB"/>
        </w:rPr>
        <w:t xml:space="preserve">in voivodships in </w:t>
      </w:r>
      <w:r w:rsidR="00EE4132">
        <w:rPr>
          <w:rFonts w:cs="Arial"/>
          <w:szCs w:val="19"/>
          <w:lang w:val="en-GB"/>
        </w:rPr>
        <w:t>relation to</w:t>
      </w:r>
      <w:r w:rsidRPr="006416F7">
        <w:rPr>
          <w:rFonts w:cs="Arial"/>
          <w:szCs w:val="19"/>
          <w:lang w:val="en-GB"/>
        </w:rPr>
        <w:t xml:space="preserve"> the national average amount</w:t>
      </w:r>
      <w:r>
        <w:rPr>
          <w:rFonts w:cs="Arial"/>
          <w:szCs w:val="19"/>
          <w:lang w:val="en-GB"/>
        </w:rPr>
        <w:t xml:space="preserve">ed to </w:t>
      </w:r>
      <w:r w:rsidR="006B533F">
        <w:rPr>
          <w:rFonts w:cs="Arial"/>
          <w:szCs w:val="19"/>
          <w:lang w:val="en-GB"/>
        </w:rPr>
        <w:t>34.6</w:t>
      </w:r>
      <w:r w:rsidRPr="006416F7">
        <w:rPr>
          <w:rFonts w:cs="Arial"/>
          <w:szCs w:val="19"/>
          <w:lang w:val="en-GB"/>
        </w:rPr>
        <w:t xml:space="preserve"> percentage points</w:t>
      </w:r>
      <w:r w:rsidR="00E873C4">
        <w:rPr>
          <w:rFonts w:cs="Arial"/>
          <w:szCs w:val="19"/>
          <w:lang w:val="en-GB"/>
        </w:rPr>
        <w:t>.</w:t>
      </w:r>
    </w:p>
    <w:p w14:paraId="7EE94F34" w14:textId="0106BC82" w:rsidR="00764D9C" w:rsidRPr="003B33FE" w:rsidRDefault="003F5092" w:rsidP="00DC28C6">
      <w:pPr>
        <w:spacing w:before="360" w:after="360" w:line="240" w:lineRule="auto"/>
        <w:rPr>
          <w:i/>
          <w:spacing w:val="-2"/>
          <w:szCs w:val="19"/>
          <w:shd w:val="clear" w:color="auto" w:fill="FFFFFF"/>
        </w:rPr>
      </w:pPr>
      <w:r>
        <w:rPr>
          <w:i/>
          <w:noProof/>
          <w:lang w:eastAsia="pl-PL"/>
        </w:rPr>
        <mc:AlternateContent>
          <mc:Choice Requires="wps">
            <w:drawing>
              <wp:anchor distT="45720" distB="45720" distL="114300" distR="114300" simplePos="0" relativeHeight="251814912" behindDoc="1" locked="0" layoutInCell="1" allowOverlap="1" wp14:anchorId="7EE94FB8" wp14:editId="7BB79611">
                <wp:simplePos x="0" y="0"/>
                <wp:positionH relativeFrom="column">
                  <wp:posOffset>5259705</wp:posOffset>
                </wp:positionH>
                <wp:positionV relativeFrom="paragraph">
                  <wp:posOffset>1269365</wp:posOffset>
                </wp:positionV>
                <wp:extent cx="1725295" cy="1764665"/>
                <wp:effectExtent l="0" t="0" r="0" b="0"/>
                <wp:wrapTight wrapText="bothSides">
                  <wp:wrapPolygon edited="0">
                    <wp:start x="715" y="0"/>
                    <wp:lineTo x="715" y="21219"/>
                    <wp:lineTo x="20749" y="21219"/>
                    <wp:lineTo x="20749" y="0"/>
                    <wp:lineTo x="715" y="0"/>
                  </wp:wrapPolygon>
                </wp:wrapTight>
                <wp:docPr id="213" name="Pole tekstow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64665"/>
                        </a:xfrm>
                        <a:prstGeom prst="rect">
                          <a:avLst/>
                        </a:prstGeom>
                        <a:noFill/>
                        <a:ln w="9525">
                          <a:noFill/>
                          <a:miter lim="800000"/>
                          <a:headEnd/>
                          <a:tailEnd/>
                        </a:ln>
                      </wps:spPr>
                      <wps:txbx>
                        <w:txbxContent>
                          <w:p w14:paraId="7EE9501B" w14:textId="240A5ECD" w:rsidR="00882B10" w:rsidRPr="00A13CB9" w:rsidRDefault="00882B10" w:rsidP="008235B1">
                            <w:pPr>
                              <w:pStyle w:val="tekstzboku"/>
                              <w:rPr>
                                <w:lang w:val="en-GB"/>
                              </w:rPr>
                            </w:pPr>
                            <w:r w:rsidRPr="00A13CB9">
                              <w:rPr>
                                <w:bCs w:val="0"/>
                                <w:lang w:val="en-GB"/>
                              </w:rPr>
                              <w:t xml:space="preserve">The highest average monthly available income per capita </w:t>
                            </w:r>
                            <w:r>
                              <w:rPr>
                                <w:bCs w:val="0"/>
                                <w:lang w:val="en-GB"/>
                              </w:rPr>
                              <w:t xml:space="preserve">had </w:t>
                            </w:r>
                            <w:r w:rsidRPr="00A13CB9">
                              <w:rPr>
                                <w:bCs w:val="0"/>
                                <w:lang w:val="en-GB"/>
                              </w:rPr>
                              <w:t>hous</w:t>
                            </w:r>
                            <w:r>
                              <w:rPr>
                                <w:bCs w:val="0"/>
                                <w:lang w:val="en-GB"/>
                              </w:rPr>
                              <w:t>e</w:t>
                            </w:r>
                            <w:r w:rsidRPr="00A13CB9">
                              <w:rPr>
                                <w:bCs w:val="0"/>
                                <w:lang w:val="en-GB"/>
                              </w:rPr>
                              <w:t xml:space="preserve">holds </w:t>
                            </w:r>
                            <w:r>
                              <w:rPr>
                                <w:bCs w:val="0"/>
                                <w:lang w:val="en-GB"/>
                              </w:rPr>
                              <w:t xml:space="preserve">in </w:t>
                            </w:r>
                            <w:r>
                              <w:rPr>
                                <w:bCs w:val="0"/>
                                <w:lang w:val="en-GB"/>
                              </w:rPr>
                              <w:br/>
                              <w:t>Mazowieckie Voivodship – PLN </w:t>
                            </w:r>
                            <w:r w:rsidR="007103FC">
                              <w:rPr>
                                <w:bCs w:val="0"/>
                                <w:lang w:val="en-GB"/>
                              </w:rPr>
                              <w:t>3632</w:t>
                            </w:r>
                            <w:r w:rsidRPr="00A13CB9">
                              <w:rPr>
                                <w:bCs w:val="0"/>
                                <w:lang w:val="en-GB"/>
                              </w:rPr>
                              <w:t xml:space="preserve"> and the lowest </w:t>
                            </w:r>
                            <w:r>
                              <w:rPr>
                                <w:bCs w:val="0"/>
                                <w:lang w:val="en-GB"/>
                              </w:rPr>
                              <w:br/>
                              <w:t xml:space="preserve">– households living </w:t>
                            </w:r>
                            <w:r w:rsidRPr="00A13CB9">
                              <w:rPr>
                                <w:bCs w:val="0"/>
                                <w:lang w:val="en-GB"/>
                              </w:rPr>
                              <w:t xml:space="preserve">in </w:t>
                            </w:r>
                            <w:r>
                              <w:rPr>
                                <w:bCs w:val="0"/>
                                <w:lang w:val="en-GB"/>
                              </w:rPr>
                              <w:br/>
                            </w:r>
                            <w:r w:rsidR="006B533F">
                              <w:rPr>
                                <w:bCs w:val="0"/>
                                <w:lang w:val="en-GB"/>
                              </w:rPr>
                              <w:t>Opolskie</w:t>
                            </w:r>
                            <w:r w:rsidRPr="00A13CB9">
                              <w:rPr>
                                <w:bCs w:val="0"/>
                                <w:lang w:val="en-GB"/>
                              </w:rPr>
                              <w:t xml:space="preserve"> Voivod</w:t>
                            </w:r>
                            <w:r>
                              <w:rPr>
                                <w:bCs w:val="0"/>
                                <w:lang w:val="en-GB"/>
                              </w:rPr>
                              <w:t>s</w:t>
                            </w:r>
                            <w:r w:rsidRPr="00A13CB9">
                              <w:rPr>
                                <w:bCs w:val="0"/>
                                <w:lang w:val="en-GB"/>
                              </w:rPr>
                              <w:t xml:space="preserve">hip </w:t>
                            </w:r>
                            <w:r>
                              <w:rPr>
                                <w:bCs w:val="0"/>
                                <w:lang w:val="en-GB"/>
                              </w:rPr>
                              <w:t>–</w:t>
                            </w:r>
                            <w:r w:rsidRPr="00A13CB9">
                              <w:rPr>
                                <w:bCs w:val="0"/>
                                <w:lang w:val="en-GB"/>
                              </w:rPr>
                              <w:t>PLN</w:t>
                            </w:r>
                            <w:r>
                              <w:rPr>
                                <w:bCs w:val="0"/>
                                <w:lang w:val="en-GB"/>
                              </w:rPr>
                              <w:t> </w:t>
                            </w:r>
                            <w:r w:rsidR="006B533F">
                              <w:rPr>
                                <w:bCs w:val="0"/>
                                <w:lang w:val="en-GB"/>
                              </w:rPr>
                              <w:t>2538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B8" id="Pole tekstowe 213" o:spid="_x0000_s1035" type="#_x0000_t202" style="position:absolute;margin-left:414.15pt;margin-top:99.95pt;width:135.85pt;height:138.95pt;z-index:-25150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" filled="f" stroked="f">
                <v:textbox>
                  <w:txbxContent>
                    <w:p w14:paraId="7EE9501B" w14:textId="240A5ECD" w:rsidR="00882B10" w:rsidRPr="00A13CB9" w:rsidRDefault="00882B10" w:rsidP="008235B1">
                      <w:pPr>
                        <w:pStyle w:val="tekstzboku"/>
                        <w:rPr>
                          <w:lang w:val="en-GB"/>
                        </w:rPr>
                      </w:pPr>
                      <w:r w:rsidRPr="00A13CB9">
                        <w:rPr>
                          <w:bCs w:val="0"/>
                          <w:lang w:val="en-GB"/>
                        </w:rPr>
                        <w:t xml:space="preserve">The highest average monthly available income per capita </w:t>
                      </w:r>
                      <w:r>
                        <w:rPr>
                          <w:bCs w:val="0"/>
                          <w:lang w:val="en-GB"/>
                        </w:rPr>
                        <w:t xml:space="preserve">had </w:t>
                      </w:r>
                      <w:r w:rsidRPr="00A13CB9">
                        <w:rPr>
                          <w:bCs w:val="0"/>
                          <w:lang w:val="en-GB"/>
                        </w:rPr>
                        <w:t>hous</w:t>
                      </w:r>
                      <w:r>
                        <w:rPr>
                          <w:bCs w:val="0"/>
                          <w:lang w:val="en-GB"/>
                        </w:rPr>
                        <w:t>e</w:t>
                      </w:r>
                      <w:r w:rsidRPr="00A13CB9">
                        <w:rPr>
                          <w:bCs w:val="0"/>
                          <w:lang w:val="en-GB"/>
                        </w:rPr>
                        <w:t xml:space="preserve">holds </w:t>
                      </w:r>
                      <w:r>
                        <w:rPr>
                          <w:bCs w:val="0"/>
                          <w:lang w:val="en-GB"/>
                        </w:rPr>
                        <w:t xml:space="preserve">in </w:t>
                      </w:r>
                      <w:r>
                        <w:rPr>
                          <w:bCs w:val="0"/>
                          <w:lang w:val="en-GB"/>
                        </w:rPr>
                        <w:br/>
                        <w:t>Mazowieckie Voivodship – PLN </w:t>
                      </w:r>
                      <w:r w:rsidR="007103FC">
                        <w:rPr>
                          <w:bCs w:val="0"/>
                          <w:lang w:val="en-GB"/>
                        </w:rPr>
                        <w:t>3632</w:t>
                      </w:r>
                      <w:r w:rsidRPr="00A13CB9">
                        <w:rPr>
                          <w:bCs w:val="0"/>
                          <w:lang w:val="en-GB"/>
                        </w:rPr>
                        <w:t xml:space="preserve"> and the lowest </w:t>
                      </w:r>
                      <w:r>
                        <w:rPr>
                          <w:bCs w:val="0"/>
                          <w:lang w:val="en-GB"/>
                        </w:rPr>
                        <w:br/>
                        <w:t xml:space="preserve">– households living </w:t>
                      </w:r>
                      <w:r w:rsidRPr="00A13CB9">
                        <w:rPr>
                          <w:bCs w:val="0"/>
                          <w:lang w:val="en-GB"/>
                        </w:rPr>
                        <w:t xml:space="preserve">in </w:t>
                      </w:r>
                      <w:r>
                        <w:rPr>
                          <w:bCs w:val="0"/>
                          <w:lang w:val="en-GB"/>
                        </w:rPr>
                        <w:br/>
                      </w:r>
                      <w:r w:rsidR="006B533F">
                        <w:rPr>
                          <w:bCs w:val="0"/>
                          <w:lang w:val="en-GB"/>
                        </w:rPr>
                        <w:t>Opolskie</w:t>
                      </w:r>
                      <w:r w:rsidRPr="00A13CB9">
                        <w:rPr>
                          <w:bCs w:val="0"/>
                          <w:lang w:val="en-GB"/>
                        </w:rPr>
                        <w:t xml:space="preserve"> Voivod</w:t>
                      </w:r>
                      <w:r>
                        <w:rPr>
                          <w:bCs w:val="0"/>
                          <w:lang w:val="en-GB"/>
                        </w:rPr>
                        <w:t>s</w:t>
                      </w:r>
                      <w:r w:rsidRPr="00A13CB9">
                        <w:rPr>
                          <w:bCs w:val="0"/>
                          <w:lang w:val="en-GB"/>
                        </w:rPr>
                        <w:t xml:space="preserve">hip </w:t>
                      </w:r>
                      <w:r>
                        <w:rPr>
                          <w:bCs w:val="0"/>
                          <w:lang w:val="en-GB"/>
                        </w:rPr>
                        <w:t>–</w:t>
                      </w:r>
                      <w:r w:rsidRPr="00A13CB9">
                        <w:rPr>
                          <w:bCs w:val="0"/>
                          <w:lang w:val="en-GB"/>
                        </w:rPr>
                        <w:t>PLN</w:t>
                      </w:r>
                      <w:r>
                        <w:rPr>
                          <w:bCs w:val="0"/>
                          <w:lang w:val="en-GB"/>
                        </w:rPr>
                        <w:t> </w:t>
                      </w:r>
                      <w:r w:rsidR="006B533F">
                        <w:rPr>
                          <w:bCs w:val="0"/>
                          <w:lang w:val="en-GB"/>
                        </w:rPr>
                        <w:t>2538</w:t>
                      </w:r>
                    </w:p>
                  </w:txbxContent>
                </v:textbox>
                <w10:wrap type="tight"/>
              </v:shape>
            </w:pict>
          </mc:Fallback>
        </mc:AlternateContent>
      </w:r>
      <w:r w:rsidR="00882B10">
        <w:rPr>
          <w:noProof/>
          <w:lang w:eastAsia="pl-PL"/>
        </w:rPr>
        <w:drawing>
          <wp:inline distT="0" distB="0" distL="0" distR="0" wp14:anchorId="0AA2987E" wp14:editId="320980A1">
            <wp:extent cx="5122545" cy="4603737"/>
            <wp:effectExtent l="0" t="0" r="1905" b="698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22545" cy="4603737"/>
                    </a:xfrm>
                    <a:prstGeom prst="rect">
                      <a:avLst/>
                    </a:prstGeom>
                    <a:noFill/>
                    <a:ln>
                      <a:noFill/>
                    </a:ln>
                  </pic:spPr>
                </pic:pic>
              </a:graphicData>
            </a:graphic>
          </wp:inline>
        </w:drawing>
      </w:r>
    </w:p>
    <w:p w14:paraId="52DB63B9" w14:textId="77777777" w:rsidR="00DC28C6" w:rsidRDefault="00DC28C6" w:rsidP="00EE4132">
      <w:pPr>
        <w:rPr>
          <w:rFonts w:cs="Arial"/>
          <w:bCs/>
          <w:szCs w:val="19"/>
          <w:lang w:val="en-GB"/>
        </w:rPr>
      </w:pPr>
      <w:r>
        <w:rPr>
          <w:rFonts w:cs="Arial"/>
          <w:bCs/>
          <w:szCs w:val="19"/>
          <w:lang w:val="en-GB"/>
        </w:rPr>
        <w:br w:type="page"/>
      </w:r>
    </w:p>
    <w:p w14:paraId="7EE94F38" w14:textId="693FE259" w:rsidR="00EE4132" w:rsidRDefault="00EE4132" w:rsidP="00EE4132">
      <w:pPr>
        <w:rPr>
          <w:rFonts w:cs="Arial"/>
          <w:bCs/>
          <w:szCs w:val="19"/>
          <w:lang w:val="en-GB"/>
        </w:rPr>
      </w:pPr>
      <w:r w:rsidRPr="00EE4132">
        <w:rPr>
          <w:rFonts w:cs="Arial"/>
          <w:bCs/>
          <w:szCs w:val="19"/>
          <w:lang w:val="en-GB"/>
        </w:rPr>
        <w:lastRenderedPageBreak/>
        <w:t>In the case of expen</w:t>
      </w:r>
      <w:r w:rsidR="00D1288C">
        <w:rPr>
          <w:rFonts w:cs="Arial"/>
          <w:bCs/>
          <w:szCs w:val="19"/>
          <w:lang w:val="en-GB"/>
        </w:rPr>
        <w:t>diture</w:t>
      </w:r>
      <w:r w:rsidRPr="00EE4132">
        <w:rPr>
          <w:rFonts w:cs="Arial"/>
          <w:bCs/>
          <w:szCs w:val="19"/>
          <w:lang w:val="en-GB"/>
        </w:rPr>
        <w:t>, average monthly values above average for Poland in 202</w:t>
      </w:r>
      <w:r w:rsidR="007103FC">
        <w:rPr>
          <w:rFonts w:cs="Arial"/>
          <w:bCs/>
          <w:szCs w:val="19"/>
          <w:lang w:val="en-GB"/>
        </w:rPr>
        <w:t>4</w:t>
      </w:r>
      <w:r w:rsidRPr="00EE4132">
        <w:rPr>
          <w:rFonts w:cs="Arial"/>
          <w:bCs/>
          <w:szCs w:val="19"/>
          <w:lang w:val="en-GB"/>
        </w:rPr>
        <w:t xml:space="preserve"> were recorded in </w:t>
      </w:r>
      <w:r>
        <w:rPr>
          <w:rFonts w:cs="Arial"/>
          <w:bCs/>
          <w:szCs w:val="19"/>
          <w:lang w:val="en-GB"/>
        </w:rPr>
        <w:t>voivodships</w:t>
      </w:r>
      <w:r w:rsidRPr="00EE4132">
        <w:rPr>
          <w:rFonts w:cs="Arial"/>
          <w:bCs/>
          <w:szCs w:val="19"/>
          <w:lang w:val="en-GB"/>
        </w:rPr>
        <w:t xml:space="preserve">: </w:t>
      </w:r>
      <w:r w:rsidR="001E4BE5" w:rsidRPr="00EE4132">
        <w:rPr>
          <w:rFonts w:cs="Arial"/>
          <w:bCs/>
          <w:szCs w:val="19"/>
          <w:lang w:val="en-GB"/>
        </w:rPr>
        <w:t xml:space="preserve">Mazowieckie, </w:t>
      </w:r>
      <w:r w:rsidR="003B74E4" w:rsidRPr="00EE4132">
        <w:rPr>
          <w:rFonts w:cs="Arial"/>
          <w:bCs/>
          <w:szCs w:val="19"/>
          <w:lang w:val="en-GB"/>
        </w:rPr>
        <w:t>Dolnośląskie</w:t>
      </w:r>
      <w:r w:rsidR="00EF609F">
        <w:rPr>
          <w:rFonts w:cs="Arial"/>
          <w:bCs/>
          <w:szCs w:val="19"/>
          <w:lang w:val="en-GB"/>
        </w:rPr>
        <w:t>,</w:t>
      </w:r>
      <w:r w:rsidR="00EF609F" w:rsidRPr="00EF609F">
        <w:rPr>
          <w:rFonts w:cs="Arial"/>
          <w:bCs/>
          <w:szCs w:val="19"/>
          <w:lang w:val="en-GB"/>
        </w:rPr>
        <w:t xml:space="preserve"> </w:t>
      </w:r>
      <w:r w:rsidR="00EF609F" w:rsidRPr="00EE4132">
        <w:rPr>
          <w:rFonts w:cs="Arial"/>
          <w:bCs/>
          <w:szCs w:val="19"/>
          <w:lang w:val="en-GB"/>
        </w:rPr>
        <w:t>Pomorskie,</w:t>
      </w:r>
      <w:r w:rsidR="003B74E4" w:rsidRPr="00EE4132">
        <w:rPr>
          <w:rFonts w:cs="Arial"/>
          <w:bCs/>
          <w:szCs w:val="19"/>
          <w:lang w:val="en-GB"/>
        </w:rPr>
        <w:t xml:space="preserve"> </w:t>
      </w:r>
      <w:r w:rsidR="007103FC">
        <w:rPr>
          <w:rFonts w:cs="Arial"/>
          <w:bCs/>
          <w:szCs w:val="19"/>
          <w:lang w:val="en-GB"/>
        </w:rPr>
        <w:t xml:space="preserve">Śląskie, Kujawsko-Pomorskie, Zachodniopomorskie, </w:t>
      </w:r>
      <w:r w:rsidR="001E4BE5">
        <w:rPr>
          <w:rFonts w:cs="Arial"/>
          <w:bCs/>
          <w:szCs w:val="19"/>
          <w:lang w:val="en-GB"/>
        </w:rPr>
        <w:t>Łódzkie,</w:t>
      </w:r>
      <w:r w:rsidR="001E4BE5" w:rsidRPr="00EE4132">
        <w:rPr>
          <w:rFonts w:cs="Arial"/>
          <w:bCs/>
          <w:szCs w:val="19"/>
          <w:lang w:val="en-GB"/>
        </w:rPr>
        <w:t xml:space="preserve"> </w:t>
      </w:r>
      <w:r w:rsidR="00EF609F">
        <w:rPr>
          <w:rFonts w:cs="Arial"/>
          <w:bCs/>
          <w:szCs w:val="19"/>
          <w:lang w:val="en-GB"/>
        </w:rPr>
        <w:t>and</w:t>
      </w:r>
      <w:r w:rsidR="00EF609F" w:rsidRPr="00EE4132">
        <w:rPr>
          <w:rFonts w:cs="Arial"/>
          <w:bCs/>
          <w:szCs w:val="19"/>
          <w:lang w:val="en-GB"/>
        </w:rPr>
        <w:t xml:space="preserve"> </w:t>
      </w:r>
      <w:r w:rsidR="00446DA6" w:rsidRPr="00EE4132">
        <w:rPr>
          <w:rFonts w:cs="Arial"/>
          <w:bCs/>
          <w:szCs w:val="19"/>
          <w:lang w:val="en-GB"/>
        </w:rPr>
        <w:t>Opol</w:t>
      </w:r>
      <w:r w:rsidR="00446DA6">
        <w:rPr>
          <w:rFonts w:cs="Arial"/>
          <w:bCs/>
          <w:szCs w:val="19"/>
          <w:lang w:val="en-GB"/>
        </w:rPr>
        <w:t>skie</w:t>
      </w:r>
      <w:r w:rsidRPr="00EE4132">
        <w:rPr>
          <w:rFonts w:cs="Arial"/>
          <w:bCs/>
          <w:szCs w:val="19"/>
          <w:lang w:val="en-GB"/>
        </w:rPr>
        <w:t xml:space="preserve">. </w:t>
      </w:r>
      <w:r w:rsidR="003B74E4">
        <w:rPr>
          <w:rFonts w:cs="Arial"/>
          <w:bCs/>
          <w:szCs w:val="19"/>
          <w:lang w:val="en-GB"/>
        </w:rPr>
        <w:t>T</w:t>
      </w:r>
      <w:r w:rsidRPr="00EE4132">
        <w:rPr>
          <w:rFonts w:cs="Arial"/>
          <w:bCs/>
          <w:szCs w:val="19"/>
          <w:lang w:val="en-GB"/>
        </w:rPr>
        <w:t xml:space="preserve">he highest average monthly </w:t>
      </w:r>
      <w:r>
        <w:rPr>
          <w:rFonts w:cs="Arial"/>
          <w:bCs/>
          <w:szCs w:val="19"/>
          <w:lang w:val="en-GB"/>
        </w:rPr>
        <w:t>expenditure</w:t>
      </w:r>
      <w:r w:rsidRPr="00EE4132">
        <w:rPr>
          <w:rFonts w:cs="Arial"/>
          <w:bCs/>
          <w:szCs w:val="19"/>
          <w:lang w:val="en-GB"/>
        </w:rPr>
        <w:t xml:space="preserve"> per </w:t>
      </w:r>
      <w:r>
        <w:rPr>
          <w:rFonts w:cs="Arial"/>
          <w:bCs/>
          <w:szCs w:val="19"/>
          <w:lang w:val="en-GB"/>
        </w:rPr>
        <w:t>capita</w:t>
      </w:r>
      <w:r w:rsidRPr="00EE4132">
        <w:rPr>
          <w:rFonts w:cs="Arial"/>
          <w:bCs/>
          <w:szCs w:val="19"/>
          <w:lang w:val="en-GB"/>
        </w:rPr>
        <w:t xml:space="preserve"> </w:t>
      </w:r>
      <w:r w:rsidR="008321D9">
        <w:rPr>
          <w:rFonts w:cs="Arial"/>
          <w:bCs/>
          <w:szCs w:val="19"/>
          <w:lang w:val="en-GB"/>
        </w:rPr>
        <w:t>was</w:t>
      </w:r>
      <w:r w:rsidRPr="00EE4132">
        <w:rPr>
          <w:rFonts w:cs="Arial"/>
          <w:bCs/>
          <w:szCs w:val="19"/>
          <w:lang w:val="en-GB"/>
        </w:rPr>
        <w:t xml:space="preserve"> </w:t>
      </w:r>
      <w:r>
        <w:rPr>
          <w:rFonts w:cs="Arial"/>
          <w:bCs/>
          <w:szCs w:val="19"/>
          <w:lang w:val="en-GB"/>
        </w:rPr>
        <w:t>noted</w:t>
      </w:r>
      <w:r w:rsidRPr="00EE4132">
        <w:rPr>
          <w:rFonts w:cs="Arial"/>
          <w:bCs/>
          <w:szCs w:val="19"/>
          <w:lang w:val="en-GB"/>
        </w:rPr>
        <w:t xml:space="preserve"> in </w:t>
      </w:r>
      <w:r w:rsidR="00446DA6">
        <w:rPr>
          <w:rFonts w:cs="Arial"/>
          <w:bCs/>
          <w:szCs w:val="19"/>
          <w:lang w:val="en-GB"/>
        </w:rPr>
        <w:t>Mazowieckie</w:t>
      </w:r>
      <w:r w:rsidR="003B74E4" w:rsidRPr="00EE4132">
        <w:rPr>
          <w:rFonts w:cs="Arial"/>
          <w:bCs/>
          <w:szCs w:val="19"/>
          <w:lang w:val="en-GB"/>
        </w:rPr>
        <w:t xml:space="preserve"> </w:t>
      </w:r>
      <w:r w:rsidR="00300A62">
        <w:rPr>
          <w:rFonts w:cs="Arial"/>
          <w:bCs/>
          <w:szCs w:val="19"/>
          <w:lang w:val="en-GB"/>
        </w:rPr>
        <w:t>V</w:t>
      </w:r>
      <w:r w:rsidRPr="00EE4132">
        <w:rPr>
          <w:rFonts w:cs="Arial"/>
          <w:bCs/>
          <w:szCs w:val="19"/>
          <w:lang w:val="en-GB"/>
        </w:rPr>
        <w:t xml:space="preserve">oivodship </w:t>
      </w:r>
      <w:r w:rsidR="00446DA6">
        <w:rPr>
          <w:rFonts w:cs="Arial"/>
          <w:bCs/>
          <w:szCs w:val="19"/>
          <w:lang w:val="en-GB"/>
        </w:rPr>
        <w:t xml:space="preserve">– </w:t>
      </w:r>
      <w:r w:rsidR="00446DA6" w:rsidRPr="00EE4132">
        <w:rPr>
          <w:rFonts w:cs="Arial"/>
          <w:bCs/>
          <w:szCs w:val="19"/>
          <w:lang w:val="en-GB"/>
        </w:rPr>
        <w:t xml:space="preserve">PLN </w:t>
      </w:r>
      <w:r w:rsidR="007103FC">
        <w:rPr>
          <w:rFonts w:cs="Arial"/>
          <w:bCs/>
          <w:szCs w:val="19"/>
          <w:lang w:val="en-GB"/>
        </w:rPr>
        <w:t>2155</w:t>
      </w:r>
      <w:r w:rsidR="00300A62">
        <w:rPr>
          <w:rFonts w:cs="Arial"/>
          <w:bCs/>
          <w:szCs w:val="19"/>
          <w:lang w:val="en-GB"/>
        </w:rPr>
        <w:t xml:space="preserve"> (in 202</w:t>
      </w:r>
      <w:r w:rsidR="007103FC">
        <w:rPr>
          <w:rFonts w:cs="Arial"/>
          <w:bCs/>
          <w:szCs w:val="19"/>
          <w:lang w:val="en-GB"/>
        </w:rPr>
        <w:t>3</w:t>
      </w:r>
      <w:r w:rsidR="00300A62">
        <w:rPr>
          <w:rFonts w:cs="Arial"/>
          <w:bCs/>
          <w:szCs w:val="19"/>
          <w:lang w:val="en-GB"/>
        </w:rPr>
        <w:t xml:space="preserve"> – </w:t>
      </w:r>
      <w:r w:rsidR="002650D9">
        <w:rPr>
          <w:rFonts w:cs="Arial"/>
          <w:bCs/>
          <w:szCs w:val="19"/>
          <w:lang w:val="en-GB"/>
        </w:rPr>
        <w:t xml:space="preserve">PLN </w:t>
      </w:r>
      <w:r w:rsidR="007103FC">
        <w:rPr>
          <w:rFonts w:cs="Arial"/>
          <w:bCs/>
          <w:szCs w:val="19"/>
          <w:lang w:val="en-GB"/>
        </w:rPr>
        <w:t>1849</w:t>
      </w:r>
      <w:r w:rsidR="00300A62">
        <w:rPr>
          <w:rFonts w:cs="Arial"/>
          <w:bCs/>
          <w:szCs w:val="19"/>
          <w:lang w:val="en-GB"/>
        </w:rPr>
        <w:t xml:space="preserve">), </w:t>
      </w:r>
      <w:r w:rsidRPr="00EE4132">
        <w:rPr>
          <w:rFonts w:cs="Arial"/>
          <w:bCs/>
          <w:szCs w:val="19"/>
          <w:lang w:val="en-GB"/>
        </w:rPr>
        <w:t xml:space="preserve">and they were higher than the </w:t>
      </w:r>
      <w:r>
        <w:rPr>
          <w:rFonts w:cs="Arial"/>
          <w:bCs/>
          <w:szCs w:val="19"/>
          <w:lang w:val="en-GB"/>
        </w:rPr>
        <w:t xml:space="preserve">national </w:t>
      </w:r>
      <w:r w:rsidRPr="00EE4132">
        <w:rPr>
          <w:rFonts w:cs="Arial"/>
          <w:bCs/>
          <w:szCs w:val="19"/>
          <w:lang w:val="en-GB"/>
        </w:rPr>
        <w:t xml:space="preserve">average by </w:t>
      </w:r>
      <w:r w:rsidR="007103FC">
        <w:rPr>
          <w:rFonts w:cs="Arial"/>
          <w:bCs/>
          <w:szCs w:val="19"/>
          <w:lang w:val="en-GB"/>
        </w:rPr>
        <w:t>14.7</w:t>
      </w:r>
      <w:r w:rsidRPr="00EE4132">
        <w:rPr>
          <w:rFonts w:cs="Arial"/>
          <w:bCs/>
          <w:szCs w:val="19"/>
          <w:lang w:val="en-GB"/>
        </w:rPr>
        <w:t>%</w:t>
      </w:r>
      <w:r w:rsidR="00F91B66">
        <w:rPr>
          <w:rFonts w:cs="Arial"/>
          <w:bCs/>
          <w:szCs w:val="19"/>
          <w:lang w:val="en-GB"/>
        </w:rPr>
        <w:t xml:space="preserve"> (higher </w:t>
      </w:r>
      <w:r w:rsidR="004D6C8D">
        <w:rPr>
          <w:rFonts w:cs="Arial"/>
          <w:bCs/>
          <w:szCs w:val="19"/>
          <w:lang w:val="en-GB"/>
        </w:rPr>
        <w:t xml:space="preserve">than the average for Poland </w:t>
      </w:r>
      <w:r w:rsidR="00F91B66" w:rsidRPr="00134A30">
        <w:rPr>
          <w:rFonts w:cs="Arial"/>
          <w:bCs/>
          <w:szCs w:val="19"/>
          <w:lang w:val="en-GB"/>
        </w:rPr>
        <w:t xml:space="preserve">by </w:t>
      </w:r>
      <w:r w:rsidR="007103FC">
        <w:rPr>
          <w:rFonts w:cs="Arial"/>
          <w:bCs/>
          <w:szCs w:val="19"/>
          <w:lang w:val="en-GB"/>
        </w:rPr>
        <w:t>34.7</w:t>
      </w:r>
      <w:r w:rsidR="00F91B66" w:rsidRPr="00134A30">
        <w:rPr>
          <w:rFonts w:cs="Arial"/>
          <w:bCs/>
          <w:szCs w:val="19"/>
          <w:lang w:val="en-GB"/>
        </w:rPr>
        <w:t xml:space="preserve">% in </w:t>
      </w:r>
      <w:r w:rsidR="00F91B66">
        <w:rPr>
          <w:rFonts w:cs="Arial"/>
          <w:bCs/>
          <w:szCs w:val="19"/>
          <w:lang w:val="en-GB"/>
        </w:rPr>
        <w:t xml:space="preserve">Warsaw </w:t>
      </w:r>
      <w:r w:rsidR="00AB1D39">
        <w:rPr>
          <w:rFonts w:cs="Arial"/>
          <w:bCs/>
          <w:szCs w:val="19"/>
          <w:lang w:val="en-GB"/>
        </w:rPr>
        <w:t>Capital</w:t>
      </w:r>
      <w:r w:rsidR="00F91B66" w:rsidRPr="00134A30">
        <w:rPr>
          <w:rFonts w:cs="Arial"/>
          <w:bCs/>
          <w:szCs w:val="19"/>
          <w:lang w:val="en-GB"/>
        </w:rPr>
        <w:t xml:space="preserve"> Region and lower by </w:t>
      </w:r>
      <w:r w:rsidR="007103FC">
        <w:rPr>
          <w:rFonts w:cs="Arial"/>
          <w:bCs/>
          <w:szCs w:val="19"/>
          <w:lang w:val="en-GB"/>
        </w:rPr>
        <w:t>1</w:t>
      </w:r>
      <w:r w:rsidR="0022263B">
        <w:rPr>
          <w:rFonts w:cs="Arial"/>
          <w:bCs/>
          <w:szCs w:val="19"/>
          <w:lang w:val="en-GB"/>
        </w:rPr>
        <w:t>2</w:t>
      </w:r>
      <w:r w:rsidR="007103FC">
        <w:rPr>
          <w:rFonts w:cs="Arial"/>
          <w:bCs/>
          <w:szCs w:val="19"/>
          <w:lang w:val="en-GB"/>
        </w:rPr>
        <w:t>.1</w:t>
      </w:r>
      <w:r w:rsidR="00F91B66" w:rsidRPr="00134A30">
        <w:rPr>
          <w:rFonts w:cs="Arial"/>
          <w:bCs/>
          <w:szCs w:val="19"/>
          <w:lang w:val="en-GB"/>
        </w:rPr>
        <w:t xml:space="preserve">% in the </w:t>
      </w:r>
      <w:r w:rsidR="00F91B66">
        <w:rPr>
          <w:rFonts w:cs="Arial"/>
          <w:bCs/>
          <w:szCs w:val="19"/>
          <w:lang w:val="en-GB"/>
        </w:rPr>
        <w:t>remaining part</w:t>
      </w:r>
      <w:r w:rsidR="00F91B66" w:rsidRPr="00134A30">
        <w:rPr>
          <w:rFonts w:cs="Arial"/>
          <w:bCs/>
          <w:szCs w:val="19"/>
          <w:lang w:val="en-GB"/>
        </w:rPr>
        <w:t xml:space="preserve"> of Mazowieckie Voivodship</w:t>
      </w:r>
      <w:r w:rsidR="00F91B66">
        <w:rPr>
          <w:rFonts w:cs="Arial"/>
          <w:bCs/>
          <w:szCs w:val="19"/>
          <w:lang w:val="en-GB"/>
        </w:rPr>
        <w:t>)</w:t>
      </w:r>
      <w:r w:rsidR="003B74E4">
        <w:rPr>
          <w:rFonts w:cs="Arial"/>
          <w:bCs/>
          <w:szCs w:val="19"/>
          <w:lang w:val="en-GB"/>
        </w:rPr>
        <w:t xml:space="preserve">. </w:t>
      </w:r>
      <w:r w:rsidRPr="00CB2BBC">
        <w:rPr>
          <w:rFonts w:cs="Arial"/>
          <w:bCs/>
          <w:szCs w:val="19"/>
          <w:lang w:val="en-GB"/>
        </w:rPr>
        <w:t xml:space="preserve">The </w:t>
      </w:r>
      <w:r w:rsidRPr="00EE4132">
        <w:rPr>
          <w:rFonts w:cs="Arial"/>
          <w:bCs/>
          <w:szCs w:val="19"/>
          <w:lang w:val="en-GB"/>
        </w:rPr>
        <w:t xml:space="preserve">lowest average </w:t>
      </w:r>
      <w:r w:rsidR="003E2E1C">
        <w:rPr>
          <w:rFonts w:cs="Arial"/>
          <w:bCs/>
          <w:szCs w:val="19"/>
          <w:lang w:val="en-GB"/>
        </w:rPr>
        <w:t xml:space="preserve">monthly </w:t>
      </w:r>
      <w:r w:rsidRPr="00EE4132">
        <w:rPr>
          <w:rFonts w:cs="Arial"/>
          <w:bCs/>
          <w:szCs w:val="19"/>
          <w:lang w:val="en-GB"/>
        </w:rPr>
        <w:t>expe</w:t>
      </w:r>
      <w:r>
        <w:rPr>
          <w:rFonts w:cs="Arial"/>
          <w:bCs/>
          <w:szCs w:val="19"/>
          <w:lang w:val="en-GB"/>
        </w:rPr>
        <w:t>nditure</w:t>
      </w:r>
      <w:r w:rsidRPr="00EE4132">
        <w:rPr>
          <w:rFonts w:cs="Arial"/>
          <w:bCs/>
          <w:szCs w:val="19"/>
          <w:lang w:val="en-GB"/>
        </w:rPr>
        <w:t xml:space="preserve"> </w:t>
      </w:r>
      <w:r>
        <w:rPr>
          <w:rFonts w:cs="Arial"/>
          <w:bCs/>
          <w:szCs w:val="19"/>
          <w:lang w:val="en-GB"/>
        </w:rPr>
        <w:t>per capita</w:t>
      </w:r>
      <w:r w:rsidRPr="00EE4132">
        <w:rPr>
          <w:rFonts w:cs="Arial"/>
          <w:bCs/>
          <w:szCs w:val="19"/>
          <w:lang w:val="en-GB"/>
        </w:rPr>
        <w:t xml:space="preserve"> </w:t>
      </w:r>
      <w:r w:rsidR="001D1AB1">
        <w:rPr>
          <w:rFonts w:cs="Arial"/>
          <w:bCs/>
          <w:szCs w:val="19"/>
          <w:lang w:val="en-GB"/>
        </w:rPr>
        <w:t>occurred</w:t>
      </w:r>
      <w:r w:rsidR="003639E6">
        <w:rPr>
          <w:rFonts w:cs="Arial"/>
          <w:bCs/>
          <w:szCs w:val="19"/>
          <w:lang w:val="en-GB"/>
        </w:rPr>
        <w:t xml:space="preserve"> </w:t>
      </w:r>
      <w:r w:rsidRPr="00EE4132">
        <w:rPr>
          <w:rFonts w:cs="Arial"/>
          <w:bCs/>
          <w:szCs w:val="19"/>
          <w:lang w:val="en-GB"/>
        </w:rPr>
        <w:t xml:space="preserve">in Podkarpackie Voivodship (PLN </w:t>
      </w:r>
      <w:r w:rsidR="007103FC">
        <w:rPr>
          <w:rFonts w:cs="Arial"/>
          <w:bCs/>
          <w:szCs w:val="19"/>
          <w:lang w:val="en-GB"/>
        </w:rPr>
        <w:t>1549</w:t>
      </w:r>
      <w:r w:rsidR="00300A62">
        <w:rPr>
          <w:rFonts w:cs="Arial"/>
          <w:bCs/>
          <w:szCs w:val="19"/>
          <w:lang w:val="en-GB"/>
        </w:rPr>
        <w:t xml:space="preserve"> in comparison with </w:t>
      </w:r>
      <w:r w:rsidR="0094108F">
        <w:rPr>
          <w:rFonts w:cs="Arial"/>
          <w:bCs/>
          <w:szCs w:val="19"/>
          <w:lang w:val="en-GB"/>
        </w:rPr>
        <w:t>PLN </w:t>
      </w:r>
      <w:r w:rsidR="007103FC">
        <w:rPr>
          <w:rFonts w:cs="Arial"/>
          <w:bCs/>
          <w:szCs w:val="19"/>
          <w:lang w:val="en-GB"/>
        </w:rPr>
        <w:t>1320</w:t>
      </w:r>
      <w:r w:rsidR="00300A62">
        <w:rPr>
          <w:rFonts w:cs="Arial"/>
          <w:bCs/>
          <w:szCs w:val="19"/>
          <w:lang w:val="en-GB"/>
        </w:rPr>
        <w:t xml:space="preserve"> in 202</w:t>
      </w:r>
      <w:r w:rsidR="007103FC">
        <w:rPr>
          <w:rFonts w:cs="Arial"/>
          <w:bCs/>
          <w:szCs w:val="19"/>
          <w:lang w:val="en-GB"/>
        </w:rPr>
        <w:t>3</w:t>
      </w:r>
      <w:r w:rsidR="00300A62">
        <w:rPr>
          <w:rFonts w:cs="Arial"/>
          <w:bCs/>
          <w:szCs w:val="19"/>
          <w:lang w:val="en-GB"/>
        </w:rPr>
        <w:t>)</w:t>
      </w:r>
      <w:r w:rsidRPr="00EE4132">
        <w:rPr>
          <w:rFonts w:cs="Arial"/>
          <w:bCs/>
          <w:szCs w:val="19"/>
          <w:lang w:val="en-GB"/>
        </w:rPr>
        <w:t xml:space="preserve"> and </w:t>
      </w:r>
      <w:r w:rsidR="0094108F">
        <w:rPr>
          <w:rFonts w:cs="Arial"/>
          <w:bCs/>
          <w:szCs w:val="19"/>
          <w:lang w:val="en-GB"/>
        </w:rPr>
        <w:t>with respect to</w:t>
      </w:r>
      <w:r w:rsidRPr="00EE4132">
        <w:rPr>
          <w:rFonts w:cs="Arial"/>
          <w:bCs/>
          <w:szCs w:val="19"/>
          <w:lang w:val="en-GB"/>
        </w:rPr>
        <w:t xml:space="preserve"> the average for the whole country </w:t>
      </w:r>
      <w:r w:rsidR="001D1AB1">
        <w:rPr>
          <w:rFonts w:cs="Arial"/>
          <w:bCs/>
          <w:szCs w:val="19"/>
          <w:lang w:val="en-GB"/>
        </w:rPr>
        <w:t>was</w:t>
      </w:r>
      <w:r w:rsidRPr="00EE4132">
        <w:rPr>
          <w:rFonts w:cs="Arial"/>
          <w:bCs/>
          <w:szCs w:val="19"/>
          <w:lang w:val="en-GB"/>
        </w:rPr>
        <w:t xml:space="preserve"> lower by </w:t>
      </w:r>
      <w:r w:rsidR="007103FC">
        <w:rPr>
          <w:rFonts w:cs="Arial"/>
          <w:bCs/>
          <w:szCs w:val="19"/>
          <w:lang w:val="en-GB"/>
        </w:rPr>
        <w:t>17.5</w:t>
      </w:r>
      <w:r w:rsidRPr="00EE4132">
        <w:rPr>
          <w:rFonts w:cs="Arial"/>
          <w:bCs/>
          <w:szCs w:val="19"/>
          <w:lang w:val="en-GB"/>
        </w:rPr>
        <w:t>%</w:t>
      </w:r>
      <w:r w:rsidR="008321D9">
        <w:rPr>
          <w:rFonts w:cs="Arial"/>
          <w:bCs/>
          <w:szCs w:val="19"/>
          <w:lang w:val="en-GB"/>
        </w:rPr>
        <w:t>,</w:t>
      </w:r>
      <w:r w:rsidR="0061727D">
        <w:rPr>
          <w:rFonts w:cs="Arial"/>
          <w:bCs/>
          <w:szCs w:val="19"/>
          <w:lang w:val="en-GB"/>
        </w:rPr>
        <w:t xml:space="preserve"> </w:t>
      </w:r>
      <w:r w:rsidR="00F91B66">
        <w:rPr>
          <w:rFonts w:cs="Arial"/>
          <w:bCs/>
          <w:szCs w:val="19"/>
          <w:lang w:val="en-GB"/>
        </w:rPr>
        <w:t xml:space="preserve">subsequently </w:t>
      </w:r>
      <w:r w:rsidR="0038601E">
        <w:rPr>
          <w:rFonts w:cs="Arial"/>
          <w:bCs/>
          <w:szCs w:val="19"/>
          <w:lang w:val="en-GB"/>
        </w:rPr>
        <w:t xml:space="preserve">in </w:t>
      </w:r>
      <w:r w:rsidR="007103FC">
        <w:rPr>
          <w:rFonts w:cs="Arial"/>
          <w:bCs/>
          <w:szCs w:val="19"/>
          <w:lang w:val="en-GB"/>
        </w:rPr>
        <w:t xml:space="preserve">Warmińsko-Mazurskie </w:t>
      </w:r>
      <w:r w:rsidR="003B2361">
        <w:rPr>
          <w:rFonts w:cs="Arial"/>
          <w:bCs/>
          <w:szCs w:val="19"/>
          <w:lang w:val="en-GB"/>
        </w:rPr>
        <w:t xml:space="preserve">Voivodship </w:t>
      </w:r>
      <w:r w:rsidR="007103FC">
        <w:rPr>
          <w:rFonts w:cs="Arial"/>
          <w:bCs/>
          <w:szCs w:val="19"/>
          <w:lang w:val="en-GB"/>
        </w:rPr>
        <w:t xml:space="preserve">(lower by 17.0%), </w:t>
      </w:r>
      <w:r w:rsidR="0022263B">
        <w:rPr>
          <w:rFonts w:cs="Arial"/>
          <w:bCs/>
          <w:szCs w:val="19"/>
          <w:lang w:val="en-GB"/>
        </w:rPr>
        <w:t>Świętokrzyskie</w:t>
      </w:r>
      <w:r w:rsidR="0094108F">
        <w:rPr>
          <w:rFonts w:cs="Arial"/>
          <w:bCs/>
          <w:szCs w:val="19"/>
          <w:lang w:val="en-GB"/>
        </w:rPr>
        <w:t xml:space="preserve"> Voivodship (lower by </w:t>
      </w:r>
      <w:r w:rsidR="007103FC">
        <w:rPr>
          <w:rFonts w:cs="Arial"/>
          <w:bCs/>
          <w:szCs w:val="19"/>
          <w:lang w:val="en-GB"/>
        </w:rPr>
        <w:t>15.0</w:t>
      </w:r>
      <w:r w:rsidR="0094108F">
        <w:rPr>
          <w:rFonts w:cs="Arial"/>
          <w:bCs/>
          <w:szCs w:val="19"/>
          <w:lang w:val="en-GB"/>
        </w:rPr>
        <w:t>%),</w:t>
      </w:r>
      <w:r w:rsidR="0094108F" w:rsidRPr="0038601E">
        <w:rPr>
          <w:rFonts w:cs="Arial"/>
          <w:bCs/>
          <w:szCs w:val="19"/>
          <w:lang w:val="en-GB"/>
        </w:rPr>
        <w:t xml:space="preserve"> </w:t>
      </w:r>
      <w:r w:rsidR="0022263B">
        <w:rPr>
          <w:rFonts w:cs="Arial"/>
          <w:bCs/>
          <w:szCs w:val="19"/>
          <w:lang w:val="en-GB"/>
        </w:rPr>
        <w:t>Podlaskie Voivodship (lower by 12</w:t>
      </w:r>
      <w:r w:rsidR="0022263B" w:rsidRPr="0022263B">
        <w:rPr>
          <w:rFonts w:cs="Arial"/>
          <w:bCs/>
          <w:szCs w:val="19"/>
          <w:lang w:val="en-GB"/>
        </w:rPr>
        <w:t>.0%)</w:t>
      </w:r>
      <w:r w:rsidR="0022263B">
        <w:rPr>
          <w:rFonts w:cs="Arial"/>
          <w:bCs/>
          <w:szCs w:val="19"/>
          <w:lang w:val="en-GB"/>
        </w:rPr>
        <w:t xml:space="preserve"> </w:t>
      </w:r>
      <w:r w:rsidR="007103FC">
        <w:rPr>
          <w:rFonts w:cs="Arial"/>
          <w:bCs/>
          <w:szCs w:val="19"/>
          <w:lang w:val="en-GB"/>
        </w:rPr>
        <w:t xml:space="preserve">as well as </w:t>
      </w:r>
      <w:r w:rsidR="0038601E">
        <w:rPr>
          <w:rFonts w:cs="Arial"/>
          <w:bCs/>
          <w:szCs w:val="19"/>
          <w:lang w:val="en-GB"/>
        </w:rPr>
        <w:t xml:space="preserve">Małopolskie Voivodship (lower by </w:t>
      </w:r>
      <w:r w:rsidR="007103FC">
        <w:rPr>
          <w:rFonts w:cs="Arial"/>
          <w:bCs/>
          <w:szCs w:val="19"/>
          <w:lang w:val="en-GB"/>
        </w:rPr>
        <w:t>11.7</w:t>
      </w:r>
      <w:r w:rsidR="0038601E">
        <w:rPr>
          <w:rFonts w:cs="Arial"/>
          <w:bCs/>
          <w:szCs w:val="19"/>
          <w:lang w:val="en-GB"/>
        </w:rPr>
        <w:t>%)</w:t>
      </w:r>
      <w:r w:rsidR="007103FC">
        <w:rPr>
          <w:rFonts w:cs="Arial"/>
          <w:bCs/>
          <w:szCs w:val="19"/>
          <w:lang w:val="en-GB"/>
        </w:rPr>
        <w:t>.</w:t>
      </w:r>
    </w:p>
    <w:p w14:paraId="7EE94F3A" w14:textId="000F2E0B" w:rsidR="009A352C" w:rsidRDefault="000D71AB" w:rsidP="009A352C">
      <w:pPr>
        <w:rPr>
          <w:rFonts w:cs="Arial"/>
          <w:szCs w:val="19"/>
          <w:lang w:val="en-GB"/>
        </w:rPr>
      </w:pPr>
      <w:r w:rsidRPr="00994420">
        <w:rPr>
          <w:rFonts w:cs="Arial"/>
          <w:szCs w:val="19"/>
          <w:lang w:val="en-GB"/>
        </w:rPr>
        <w:t>The difference between the highest and the lowest average</w:t>
      </w:r>
      <w:r w:rsidR="003E2E1C">
        <w:rPr>
          <w:rFonts w:cs="Arial"/>
          <w:szCs w:val="19"/>
          <w:lang w:val="en-GB"/>
        </w:rPr>
        <w:t xml:space="preserve"> monthly</w:t>
      </w:r>
      <w:r w:rsidRPr="00994420">
        <w:rPr>
          <w:rFonts w:cs="Arial"/>
          <w:szCs w:val="19"/>
          <w:lang w:val="en-GB"/>
        </w:rPr>
        <w:t xml:space="preserve"> expenditure per capita in voivodships </w:t>
      </w:r>
      <w:r w:rsidR="008321D9">
        <w:rPr>
          <w:rFonts w:cs="Arial"/>
          <w:szCs w:val="19"/>
          <w:lang w:val="en-GB"/>
        </w:rPr>
        <w:t>de</w:t>
      </w:r>
      <w:r w:rsidRPr="00994420">
        <w:rPr>
          <w:rFonts w:cs="Arial"/>
          <w:szCs w:val="19"/>
          <w:lang w:val="en-GB"/>
        </w:rPr>
        <w:t xml:space="preserve">creased </w:t>
      </w:r>
      <w:r w:rsidRPr="00504306">
        <w:rPr>
          <w:rFonts w:cs="Arial"/>
          <w:szCs w:val="19"/>
          <w:lang w:val="en-GB"/>
        </w:rPr>
        <w:t xml:space="preserve">by </w:t>
      </w:r>
      <w:r w:rsidR="007103FC">
        <w:rPr>
          <w:rFonts w:cs="Arial"/>
          <w:szCs w:val="19"/>
          <w:lang w:val="en-GB"/>
        </w:rPr>
        <w:t>0.1</w:t>
      </w:r>
      <w:r w:rsidRPr="00504306">
        <w:rPr>
          <w:rFonts w:cs="Arial"/>
          <w:szCs w:val="19"/>
          <w:lang w:val="en-GB"/>
        </w:rPr>
        <w:t xml:space="preserve"> percentage </w:t>
      </w:r>
      <w:r w:rsidRPr="00994420">
        <w:rPr>
          <w:rFonts w:cs="Arial"/>
          <w:szCs w:val="19"/>
          <w:lang w:val="en-GB"/>
        </w:rPr>
        <w:t xml:space="preserve">points in comparison </w:t>
      </w:r>
      <w:r w:rsidR="00EE4132">
        <w:rPr>
          <w:rFonts w:cs="Arial"/>
          <w:szCs w:val="19"/>
          <w:lang w:val="en-GB"/>
        </w:rPr>
        <w:t>with</w:t>
      </w:r>
      <w:r w:rsidRPr="00994420">
        <w:rPr>
          <w:rFonts w:cs="Arial"/>
          <w:szCs w:val="19"/>
          <w:lang w:val="en-GB"/>
        </w:rPr>
        <w:t xml:space="preserve"> 20</w:t>
      </w:r>
      <w:r w:rsidR="008321D9">
        <w:rPr>
          <w:rFonts w:cs="Arial"/>
          <w:szCs w:val="19"/>
          <w:lang w:val="en-GB"/>
        </w:rPr>
        <w:t>2</w:t>
      </w:r>
      <w:r w:rsidR="007103FC">
        <w:rPr>
          <w:rFonts w:cs="Arial"/>
          <w:szCs w:val="19"/>
          <w:lang w:val="en-GB"/>
        </w:rPr>
        <w:t>3</w:t>
      </w:r>
      <w:r w:rsidRPr="00994420">
        <w:rPr>
          <w:rFonts w:cs="Arial"/>
          <w:szCs w:val="19"/>
          <w:lang w:val="en-GB"/>
        </w:rPr>
        <w:t xml:space="preserve"> year and amounted to </w:t>
      </w:r>
      <w:r w:rsidR="0094108F">
        <w:rPr>
          <w:rFonts w:cs="Arial"/>
          <w:szCs w:val="19"/>
          <w:lang w:val="en-GB"/>
        </w:rPr>
        <w:t>32.</w:t>
      </w:r>
      <w:r w:rsidR="007103FC">
        <w:rPr>
          <w:rFonts w:cs="Arial"/>
          <w:szCs w:val="19"/>
          <w:lang w:val="en-GB"/>
        </w:rPr>
        <w:t>2</w:t>
      </w:r>
      <w:r w:rsidR="001D1AB1">
        <w:rPr>
          <w:rFonts w:cs="Arial"/>
          <w:szCs w:val="19"/>
          <w:lang w:val="en-GB"/>
        </w:rPr>
        <w:t> </w:t>
      </w:r>
      <w:r w:rsidRPr="00994420">
        <w:rPr>
          <w:rFonts w:cs="Arial"/>
          <w:szCs w:val="19"/>
          <w:lang w:val="en-GB"/>
        </w:rPr>
        <w:t>percentage points.</w:t>
      </w:r>
    </w:p>
    <w:p w14:paraId="7EE94F3B" w14:textId="64277587" w:rsidR="00764D9C" w:rsidRDefault="0080273B" w:rsidP="00DC28C6">
      <w:pPr>
        <w:spacing w:before="360" w:after="360" w:line="240" w:lineRule="auto"/>
        <w:rPr>
          <w:i/>
          <w:spacing w:val="-2"/>
          <w:szCs w:val="19"/>
          <w:shd w:val="clear" w:color="auto" w:fill="FFFFFF"/>
        </w:rPr>
      </w:pPr>
      <w:r>
        <w:rPr>
          <w:i/>
          <w:noProof/>
          <w:lang w:eastAsia="pl-PL"/>
        </w:rPr>
        <mc:AlternateContent>
          <mc:Choice Requires="wps">
            <w:drawing>
              <wp:anchor distT="45720" distB="45720" distL="114300" distR="114300" simplePos="0" relativeHeight="251815936" behindDoc="1" locked="0" layoutInCell="1" allowOverlap="1" wp14:anchorId="7EE94FBC" wp14:editId="47DABF33">
                <wp:simplePos x="0" y="0"/>
                <wp:positionH relativeFrom="column">
                  <wp:posOffset>5212080</wp:posOffset>
                </wp:positionH>
                <wp:positionV relativeFrom="paragraph">
                  <wp:posOffset>1287780</wp:posOffset>
                </wp:positionV>
                <wp:extent cx="1725295" cy="1802130"/>
                <wp:effectExtent l="0" t="0" r="0" b="0"/>
                <wp:wrapTight wrapText="bothSides">
                  <wp:wrapPolygon edited="0">
                    <wp:start x="715" y="0"/>
                    <wp:lineTo x="715" y="21235"/>
                    <wp:lineTo x="20749" y="21235"/>
                    <wp:lineTo x="20749" y="0"/>
                    <wp:lineTo x="715" y="0"/>
                  </wp:wrapPolygon>
                </wp:wrapTight>
                <wp:docPr id="212" name="Pole tekstowe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02130"/>
                        </a:xfrm>
                        <a:prstGeom prst="rect">
                          <a:avLst/>
                        </a:prstGeom>
                        <a:noFill/>
                        <a:ln w="9525">
                          <a:noFill/>
                          <a:miter lim="800000"/>
                          <a:headEnd/>
                          <a:tailEnd/>
                        </a:ln>
                      </wps:spPr>
                      <wps:txbx>
                        <w:txbxContent>
                          <w:p w14:paraId="7EE9501C" w14:textId="5041E1A7" w:rsidR="00882B10" w:rsidRPr="00A13CB9" w:rsidRDefault="00882B10" w:rsidP="00650698">
                            <w:pPr>
                              <w:pStyle w:val="tekstzboku"/>
                              <w:rPr>
                                <w:bCs w:val="0"/>
                                <w:i/>
                                <w:lang w:val="en-GB"/>
                              </w:rPr>
                            </w:pPr>
                            <w:r w:rsidRPr="00A13CB9">
                              <w:rPr>
                                <w:spacing w:val="-2"/>
                                <w:lang w:val="en-GB"/>
                              </w:rPr>
                              <w:t>The highest average monthly expenditure per capita in ho</w:t>
                            </w:r>
                            <w:r>
                              <w:rPr>
                                <w:spacing w:val="-2"/>
                                <w:lang w:val="en-GB"/>
                              </w:rPr>
                              <w:t>u</w:t>
                            </w:r>
                            <w:r w:rsidRPr="00A13CB9">
                              <w:rPr>
                                <w:spacing w:val="-2"/>
                                <w:lang w:val="en-GB"/>
                              </w:rPr>
                              <w:t xml:space="preserve">seholds occurred in </w:t>
                            </w:r>
                            <w:r>
                              <w:rPr>
                                <w:spacing w:val="-2"/>
                                <w:lang w:val="en-GB"/>
                              </w:rPr>
                              <w:t>Mazowieckie</w:t>
                            </w:r>
                            <w:r w:rsidRPr="00A13CB9">
                              <w:rPr>
                                <w:spacing w:val="-2"/>
                                <w:lang w:val="en-GB"/>
                              </w:rPr>
                              <w:t xml:space="preserve"> </w:t>
                            </w:r>
                            <w:r w:rsidR="007103FC">
                              <w:rPr>
                                <w:spacing w:val="-2"/>
                                <w:lang w:val="en-GB"/>
                              </w:rPr>
                              <w:t>V</w:t>
                            </w:r>
                            <w:r w:rsidR="007103FC" w:rsidRPr="00A13CB9">
                              <w:rPr>
                                <w:spacing w:val="-2"/>
                                <w:lang w:val="en-GB"/>
                              </w:rPr>
                              <w:t>oivodship</w:t>
                            </w:r>
                            <w:r w:rsidR="007103FC">
                              <w:rPr>
                                <w:spacing w:val="-2"/>
                                <w:lang w:val="en-GB"/>
                              </w:rPr>
                              <w:t xml:space="preserve"> </w:t>
                            </w:r>
                            <w:r>
                              <w:rPr>
                                <w:spacing w:val="-2"/>
                                <w:lang w:val="en-GB"/>
                              </w:rPr>
                              <w:t xml:space="preserve">– </w:t>
                            </w:r>
                            <w:r w:rsidRPr="00A13CB9">
                              <w:rPr>
                                <w:spacing w:val="-2"/>
                                <w:lang w:val="en-GB"/>
                              </w:rPr>
                              <w:t>PL</w:t>
                            </w:r>
                            <w:r>
                              <w:rPr>
                                <w:spacing w:val="-2"/>
                                <w:lang w:val="en-GB"/>
                              </w:rPr>
                              <w:t>N </w:t>
                            </w:r>
                            <w:r w:rsidR="007103FC">
                              <w:rPr>
                                <w:spacing w:val="-2"/>
                                <w:lang w:val="en-GB"/>
                              </w:rPr>
                              <w:t>2155</w:t>
                            </w:r>
                            <w:r>
                              <w:rPr>
                                <w:spacing w:val="-2"/>
                                <w:lang w:val="en-GB"/>
                              </w:rPr>
                              <w:t xml:space="preserve"> and the lowest – in Podkarpackie</w:t>
                            </w:r>
                            <w:r w:rsidRPr="00A13CB9">
                              <w:rPr>
                                <w:spacing w:val="-2"/>
                                <w:lang w:val="en-GB"/>
                              </w:rPr>
                              <w:t xml:space="preserve"> Voivodship </w:t>
                            </w:r>
                            <w:r>
                              <w:rPr>
                                <w:spacing w:val="-2"/>
                                <w:lang w:val="en-GB"/>
                              </w:rPr>
                              <w:t xml:space="preserve">– </w:t>
                            </w:r>
                            <w:r w:rsidRPr="00A13CB9">
                              <w:rPr>
                                <w:spacing w:val="-2"/>
                                <w:lang w:val="en-GB"/>
                              </w:rPr>
                              <w:t xml:space="preserve">PLN </w:t>
                            </w:r>
                            <w:r w:rsidR="007103FC">
                              <w:rPr>
                                <w:spacing w:val="-2"/>
                                <w:lang w:val="en-GB"/>
                              </w:rPr>
                              <w:t>1549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BC" id="Pole tekstowe 212" o:spid="_x0000_s1036" type="#_x0000_t202" style="position:absolute;margin-left:410.4pt;margin-top:101.4pt;width:135.85pt;height:141.9pt;z-index:-25150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" filled="f" stroked="f">
                <v:textbox>
                  <w:txbxContent>
                    <w:p w14:paraId="7EE9501C" w14:textId="5041E1A7" w:rsidR="00882B10" w:rsidRPr="00A13CB9" w:rsidRDefault="00882B10" w:rsidP="00650698">
                      <w:pPr>
                        <w:pStyle w:val="tekstzboku"/>
                        <w:rPr>
                          <w:bCs w:val="0"/>
                          <w:i/>
                          <w:lang w:val="en-GB"/>
                        </w:rPr>
                      </w:pPr>
                      <w:r w:rsidRPr="00A13CB9">
                        <w:rPr>
                          <w:spacing w:val="-2"/>
                          <w:lang w:val="en-GB"/>
                        </w:rPr>
                        <w:t>The highest average monthly expenditure per capita in ho</w:t>
                      </w:r>
                      <w:r>
                        <w:rPr>
                          <w:spacing w:val="-2"/>
                          <w:lang w:val="en-GB"/>
                        </w:rPr>
                        <w:t>u</w:t>
                      </w:r>
                      <w:r w:rsidRPr="00A13CB9">
                        <w:rPr>
                          <w:spacing w:val="-2"/>
                          <w:lang w:val="en-GB"/>
                        </w:rPr>
                        <w:t xml:space="preserve">seholds occurred in </w:t>
                      </w:r>
                      <w:r>
                        <w:rPr>
                          <w:spacing w:val="-2"/>
                          <w:lang w:val="en-GB"/>
                        </w:rPr>
                        <w:t>Mazowieckie</w:t>
                      </w:r>
                      <w:r w:rsidRPr="00A13CB9">
                        <w:rPr>
                          <w:spacing w:val="-2"/>
                          <w:lang w:val="en-GB"/>
                        </w:rPr>
                        <w:t xml:space="preserve"> </w:t>
                      </w:r>
                      <w:r w:rsidR="007103FC">
                        <w:rPr>
                          <w:spacing w:val="-2"/>
                          <w:lang w:val="en-GB"/>
                        </w:rPr>
                        <w:t>V</w:t>
                      </w:r>
                      <w:r w:rsidR="007103FC" w:rsidRPr="00A13CB9">
                        <w:rPr>
                          <w:spacing w:val="-2"/>
                          <w:lang w:val="en-GB"/>
                        </w:rPr>
                        <w:t>oivodship</w:t>
                      </w:r>
                      <w:r w:rsidR="007103FC">
                        <w:rPr>
                          <w:spacing w:val="-2"/>
                          <w:lang w:val="en-GB"/>
                        </w:rPr>
                        <w:t xml:space="preserve"> </w:t>
                      </w:r>
                      <w:r>
                        <w:rPr>
                          <w:spacing w:val="-2"/>
                          <w:lang w:val="en-GB"/>
                        </w:rPr>
                        <w:t xml:space="preserve">– </w:t>
                      </w:r>
                      <w:r w:rsidRPr="00A13CB9">
                        <w:rPr>
                          <w:spacing w:val="-2"/>
                          <w:lang w:val="en-GB"/>
                        </w:rPr>
                        <w:t>PL</w:t>
                      </w:r>
                      <w:r>
                        <w:rPr>
                          <w:spacing w:val="-2"/>
                          <w:lang w:val="en-GB"/>
                        </w:rPr>
                        <w:t>N </w:t>
                      </w:r>
                      <w:r w:rsidR="007103FC">
                        <w:rPr>
                          <w:spacing w:val="-2"/>
                          <w:lang w:val="en-GB"/>
                        </w:rPr>
                        <w:t>2155</w:t>
                      </w:r>
                      <w:r>
                        <w:rPr>
                          <w:spacing w:val="-2"/>
                          <w:lang w:val="en-GB"/>
                        </w:rPr>
                        <w:t xml:space="preserve"> and the lowest – in Podkarpackie</w:t>
                      </w:r>
                      <w:r w:rsidRPr="00A13CB9">
                        <w:rPr>
                          <w:spacing w:val="-2"/>
                          <w:lang w:val="en-GB"/>
                        </w:rPr>
                        <w:t xml:space="preserve"> Voivodship </w:t>
                      </w:r>
                      <w:r>
                        <w:rPr>
                          <w:spacing w:val="-2"/>
                          <w:lang w:val="en-GB"/>
                        </w:rPr>
                        <w:t xml:space="preserve">– </w:t>
                      </w:r>
                      <w:r w:rsidRPr="00A13CB9">
                        <w:rPr>
                          <w:spacing w:val="-2"/>
                          <w:lang w:val="en-GB"/>
                        </w:rPr>
                        <w:t xml:space="preserve">PLN </w:t>
                      </w:r>
                      <w:r w:rsidR="007103FC">
                        <w:rPr>
                          <w:spacing w:val="-2"/>
                          <w:lang w:val="en-GB"/>
                        </w:rPr>
                        <w:t>1549</w:t>
                      </w:r>
                    </w:p>
                  </w:txbxContent>
                </v:textbox>
                <w10:wrap type="tight"/>
              </v:shape>
            </w:pict>
          </mc:Fallback>
        </mc:AlternateContent>
      </w:r>
      <w:r w:rsidR="007103FC">
        <w:rPr>
          <w:noProof/>
          <w:lang w:eastAsia="pl-PL"/>
        </w:rPr>
        <w:drawing>
          <wp:inline distT="0" distB="0" distL="0" distR="0" wp14:anchorId="4A540C2A" wp14:editId="1FB34E2E">
            <wp:extent cx="5122545" cy="4587354"/>
            <wp:effectExtent l="0" t="0" r="1905" b="381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2545" cy="4587354"/>
                    </a:xfrm>
                    <a:prstGeom prst="rect">
                      <a:avLst/>
                    </a:prstGeom>
                    <a:noFill/>
                    <a:ln>
                      <a:noFill/>
                    </a:ln>
                  </pic:spPr>
                </pic:pic>
              </a:graphicData>
            </a:graphic>
          </wp:inline>
        </w:drawing>
      </w:r>
    </w:p>
    <w:p w14:paraId="3EA91121" w14:textId="77777777" w:rsidR="00DC28C6" w:rsidRDefault="00DC28C6" w:rsidP="00EE4132">
      <w:pPr>
        <w:spacing w:before="240" w:line="240" w:lineRule="auto"/>
        <w:rPr>
          <w:rFonts w:ascii="Fira Sans SemiBold" w:hAnsi="Fira Sans SemiBold"/>
          <w:color w:val="001D77"/>
          <w:szCs w:val="19"/>
          <w:shd w:val="clear" w:color="auto" w:fill="FFFFFF"/>
          <w:lang w:val="en-GB"/>
        </w:rPr>
      </w:pPr>
      <w:r>
        <w:rPr>
          <w:rFonts w:ascii="Fira Sans SemiBold" w:hAnsi="Fira Sans SemiBold"/>
          <w:color w:val="001D77"/>
          <w:szCs w:val="19"/>
          <w:shd w:val="clear" w:color="auto" w:fill="FFFFFF"/>
          <w:lang w:val="en-GB"/>
        </w:rPr>
        <w:br w:type="page"/>
      </w:r>
    </w:p>
    <w:p w14:paraId="7EE94F3D" w14:textId="255EBDEE" w:rsidR="00BB40E7" w:rsidRPr="004E23CC" w:rsidRDefault="00FD0CA4" w:rsidP="00DC28C6">
      <w:pPr>
        <w:spacing w:before="360" w:line="240" w:lineRule="auto"/>
        <w:rPr>
          <w:rFonts w:ascii="Fira Sans SemiBold" w:hAnsi="Fira Sans SemiBold"/>
          <w:color w:val="001D77"/>
          <w:szCs w:val="19"/>
          <w:shd w:val="clear" w:color="auto" w:fill="FFFFFF"/>
          <w:lang w:val="en-GB"/>
        </w:rPr>
      </w:pPr>
      <w:r w:rsidRPr="004E23CC">
        <w:rPr>
          <w:noProof/>
          <w:lang w:eastAsia="pl-PL"/>
        </w:rPr>
        <w:lastRenderedPageBreak/>
        <mc:AlternateContent>
          <mc:Choice Requires="wps">
            <w:drawing>
              <wp:anchor distT="45720" distB="45720" distL="114300" distR="114300" simplePos="0" relativeHeight="251829248" behindDoc="1" locked="0" layoutInCell="1" allowOverlap="1" wp14:anchorId="7EE94FC0" wp14:editId="7EE94FC1">
                <wp:simplePos x="0" y="0"/>
                <wp:positionH relativeFrom="column">
                  <wp:posOffset>5200650</wp:posOffset>
                </wp:positionH>
                <wp:positionV relativeFrom="paragraph">
                  <wp:posOffset>95250</wp:posOffset>
                </wp:positionV>
                <wp:extent cx="1715770" cy="1571625"/>
                <wp:effectExtent l="0" t="0" r="0" b="0"/>
                <wp:wrapTight wrapText="bothSides">
                  <wp:wrapPolygon edited="0">
                    <wp:start x="719" y="0"/>
                    <wp:lineTo x="719" y="21207"/>
                    <wp:lineTo x="20865" y="21207"/>
                    <wp:lineTo x="20865" y="0"/>
                    <wp:lineTo x="719" y="0"/>
                  </wp:wrapPolygon>
                </wp:wrapTight>
                <wp:docPr id="55"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571625"/>
                        </a:xfrm>
                        <a:prstGeom prst="rect">
                          <a:avLst/>
                        </a:prstGeom>
                        <a:noFill/>
                        <a:ln w="9525">
                          <a:noFill/>
                          <a:miter lim="800000"/>
                          <a:headEnd/>
                          <a:tailEnd/>
                        </a:ln>
                      </wps:spPr>
                      <wps:txbx>
                        <w:txbxContent>
                          <w:p w14:paraId="7EE9501D" w14:textId="51273166" w:rsidR="00882B10" w:rsidRPr="00BB40E7" w:rsidRDefault="00882B10" w:rsidP="00BB40E7">
                            <w:pPr>
                              <w:pStyle w:val="tekstzboku"/>
                              <w:rPr>
                                <w:bCs w:val="0"/>
                                <w:lang w:val="en-GB"/>
                              </w:rPr>
                            </w:pPr>
                            <w:r w:rsidRPr="00BB40E7">
                              <w:rPr>
                                <w:lang w:val="en-GB"/>
                              </w:rPr>
                              <w:t>In 20</w:t>
                            </w:r>
                            <w:r>
                              <w:rPr>
                                <w:lang w:val="en-GB"/>
                              </w:rPr>
                              <w:t>2</w:t>
                            </w:r>
                            <w:r w:rsidR="005D230C">
                              <w:rPr>
                                <w:lang w:val="en-GB"/>
                              </w:rPr>
                              <w:t>4</w:t>
                            </w:r>
                            <w:r>
                              <w:rPr>
                                <w:lang w:val="en-GB"/>
                              </w:rPr>
                              <w:t>,</w:t>
                            </w:r>
                            <w:r w:rsidRPr="00BB40E7">
                              <w:rPr>
                                <w:lang w:val="en-GB"/>
                              </w:rPr>
                              <w:t xml:space="preserve"> the</w:t>
                            </w:r>
                            <w:r>
                              <w:rPr>
                                <w:lang w:val="en-GB"/>
                              </w:rPr>
                              <w:t>re was a</w:t>
                            </w:r>
                            <w:r w:rsidR="005D230C">
                              <w:rPr>
                                <w:lang w:val="en-GB"/>
                              </w:rPr>
                              <w:t>n</w:t>
                            </w:r>
                            <w:r>
                              <w:rPr>
                                <w:lang w:val="en-GB"/>
                              </w:rPr>
                              <w:t xml:space="preserve"> </w:t>
                            </w:r>
                            <w:r w:rsidR="005D230C">
                              <w:rPr>
                                <w:lang w:val="en-GB"/>
                              </w:rPr>
                              <w:t>in</w:t>
                            </w:r>
                            <w:r w:rsidRPr="00BB40E7">
                              <w:rPr>
                                <w:lang w:val="en-GB"/>
                              </w:rPr>
                              <w:t>creas</w:t>
                            </w:r>
                            <w:r>
                              <w:rPr>
                                <w:lang w:val="en-GB"/>
                              </w:rPr>
                              <w:t>e</w:t>
                            </w:r>
                            <w:r w:rsidRPr="00BB40E7">
                              <w:rPr>
                                <w:lang w:val="en-GB"/>
                              </w:rPr>
                              <w:t xml:space="preserve"> in consumption of the most basic foodstuffs, </w:t>
                            </w:r>
                            <w:r>
                              <w:rPr>
                                <w:lang w:val="en-GB"/>
                              </w:rPr>
                              <w:t xml:space="preserve">and particularly </w:t>
                            </w:r>
                            <w:r w:rsidRPr="00363016">
                              <w:rPr>
                                <w:lang w:val="en-GB"/>
                              </w:rPr>
                              <w:t>sugar</w:t>
                            </w:r>
                            <w:r>
                              <w:rPr>
                                <w:lang w:val="en-GB"/>
                              </w:rPr>
                              <w:t xml:space="preserve">, </w:t>
                            </w:r>
                            <w:r w:rsidR="005D230C">
                              <w:rPr>
                                <w:lang w:val="en-GB"/>
                              </w:rPr>
                              <w:t xml:space="preserve">eggs, fruit, animal </w:t>
                            </w:r>
                            <w:r w:rsidRPr="00363016">
                              <w:rPr>
                                <w:lang w:val="en-GB"/>
                              </w:rPr>
                              <w:t>fats</w:t>
                            </w:r>
                            <w:r w:rsidR="005D230C">
                              <w:rPr>
                                <w:lang w:val="en-GB"/>
                              </w:rPr>
                              <w:t>,</w:t>
                            </w:r>
                            <w:r>
                              <w:rPr>
                                <w:lang w:val="en-GB"/>
                              </w:rPr>
                              <w:t xml:space="preserve"> </w:t>
                            </w:r>
                            <w:r w:rsidR="005D230C">
                              <w:rPr>
                                <w:lang w:val="en-GB"/>
                              </w:rPr>
                              <w:t xml:space="preserve">pasta and pasta products </w:t>
                            </w:r>
                            <w:r>
                              <w:rPr>
                                <w:lang w:val="en-GB"/>
                              </w:rPr>
                              <w:t xml:space="preserve">as well as </w:t>
                            </w:r>
                            <w:r w:rsidR="005D230C">
                              <w:rPr>
                                <w:lang w:val="en-GB"/>
                              </w:rPr>
                              <w:t>cheese and curd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EE94FC0" id="Pole tekstowe 31" o:spid="_x0000_s1037" type="#_x0000_t202" style="position:absolute;margin-left:409.5pt;margin-top:7.5pt;width:135.1pt;height:123.75pt;z-index:-25148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" filled="f" stroked="f">
                <v:textbox>
                  <w:txbxContent>
                    <w:p w14:paraId="7EE9501D" w14:textId="51273166" w:rsidR="00882B10" w:rsidRPr="00BB40E7" w:rsidRDefault="00882B10" w:rsidP="00BB40E7">
                      <w:pPr>
                        <w:pStyle w:val="tekstzboku"/>
                        <w:rPr>
                          <w:bCs w:val="0"/>
                          <w:lang w:val="en-GB"/>
                        </w:rPr>
                      </w:pPr>
                      <w:r w:rsidRPr="00BB40E7">
                        <w:rPr>
                          <w:lang w:val="en-GB"/>
                        </w:rPr>
                        <w:t>In 20</w:t>
                      </w:r>
                      <w:r>
                        <w:rPr>
                          <w:lang w:val="en-GB"/>
                        </w:rPr>
                        <w:t>2</w:t>
                      </w:r>
                      <w:r w:rsidR="005D230C">
                        <w:rPr>
                          <w:lang w:val="en-GB"/>
                        </w:rPr>
                        <w:t>4</w:t>
                      </w:r>
                      <w:r>
                        <w:rPr>
                          <w:lang w:val="en-GB"/>
                        </w:rPr>
                        <w:t>,</w:t>
                      </w:r>
                      <w:r w:rsidRPr="00BB40E7">
                        <w:rPr>
                          <w:lang w:val="en-GB"/>
                        </w:rPr>
                        <w:t xml:space="preserve"> the</w:t>
                      </w:r>
                      <w:r>
                        <w:rPr>
                          <w:lang w:val="en-GB"/>
                        </w:rPr>
                        <w:t>re was a</w:t>
                      </w:r>
                      <w:r w:rsidR="005D230C">
                        <w:rPr>
                          <w:lang w:val="en-GB"/>
                        </w:rPr>
                        <w:t>n</w:t>
                      </w:r>
                      <w:r>
                        <w:rPr>
                          <w:lang w:val="en-GB"/>
                        </w:rPr>
                        <w:t xml:space="preserve"> </w:t>
                      </w:r>
                      <w:r w:rsidR="005D230C">
                        <w:rPr>
                          <w:lang w:val="en-GB"/>
                        </w:rPr>
                        <w:t>in</w:t>
                      </w:r>
                      <w:r w:rsidRPr="00BB40E7">
                        <w:rPr>
                          <w:lang w:val="en-GB"/>
                        </w:rPr>
                        <w:t>creas</w:t>
                      </w:r>
                      <w:r>
                        <w:rPr>
                          <w:lang w:val="en-GB"/>
                        </w:rPr>
                        <w:t>e</w:t>
                      </w:r>
                      <w:r w:rsidRPr="00BB40E7">
                        <w:rPr>
                          <w:lang w:val="en-GB"/>
                        </w:rPr>
                        <w:t xml:space="preserve"> in consumption of the most basic foodstuffs, </w:t>
                      </w:r>
                      <w:r>
                        <w:rPr>
                          <w:lang w:val="en-GB"/>
                        </w:rPr>
                        <w:t xml:space="preserve">and particularly </w:t>
                      </w:r>
                      <w:r w:rsidRPr="00363016">
                        <w:rPr>
                          <w:lang w:val="en-GB"/>
                        </w:rPr>
                        <w:t>sugar</w:t>
                      </w:r>
                      <w:r>
                        <w:rPr>
                          <w:lang w:val="en-GB"/>
                        </w:rPr>
                        <w:t xml:space="preserve">, </w:t>
                      </w:r>
                      <w:r w:rsidR="005D230C">
                        <w:rPr>
                          <w:lang w:val="en-GB"/>
                        </w:rPr>
                        <w:t xml:space="preserve">eggs, fruit, animal </w:t>
                      </w:r>
                      <w:r w:rsidRPr="00363016">
                        <w:rPr>
                          <w:lang w:val="en-GB"/>
                        </w:rPr>
                        <w:t>fats</w:t>
                      </w:r>
                      <w:r w:rsidR="005D230C">
                        <w:rPr>
                          <w:lang w:val="en-GB"/>
                        </w:rPr>
                        <w:t>,</w:t>
                      </w:r>
                      <w:r>
                        <w:rPr>
                          <w:lang w:val="en-GB"/>
                        </w:rPr>
                        <w:t xml:space="preserve"> </w:t>
                      </w:r>
                      <w:r w:rsidR="005D230C">
                        <w:rPr>
                          <w:lang w:val="en-GB"/>
                        </w:rPr>
                        <w:t xml:space="preserve">pasta and pasta products </w:t>
                      </w:r>
                      <w:r>
                        <w:rPr>
                          <w:lang w:val="en-GB"/>
                        </w:rPr>
                        <w:t xml:space="preserve">as well as </w:t>
                      </w:r>
                      <w:r w:rsidR="005D230C">
                        <w:rPr>
                          <w:lang w:val="en-GB"/>
                        </w:rPr>
                        <w:t>cheese and curd</w:t>
                      </w:r>
                    </w:p>
                  </w:txbxContent>
                </v:textbox>
                <w10:wrap type="tight"/>
              </v:shape>
            </w:pict>
          </mc:Fallback>
        </mc:AlternateContent>
      </w:r>
      <w:r w:rsidR="00BB40E7" w:rsidRPr="004E23CC">
        <w:rPr>
          <w:rFonts w:ascii="Fira Sans SemiBold" w:hAnsi="Fira Sans SemiBold"/>
          <w:color w:val="001D77"/>
          <w:szCs w:val="19"/>
          <w:shd w:val="clear" w:color="auto" w:fill="FFFFFF"/>
          <w:lang w:val="en-GB"/>
        </w:rPr>
        <w:t>Quantitative food consumption</w:t>
      </w:r>
    </w:p>
    <w:p w14:paraId="0731DBA3" w14:textId="11767930" w:rsidR="005D230C" w:rsidRDefault="006C5D1A" w:rsidP="00E22461">
      <w:pPr>
        <w:rPr>
          <w:rFonts w:cs="Arial"/>
          <w:bCs/>
          <w:szCs w:val="19"/>
          <w:lang w:val="en-GB"/>
        </w:rPr>
      </w:pPr>
      <w:r w:rsidRPr="0002534B">
        <w:rPr>
          <w:rFonts w:cs="Arial"/>
          <w:bCs/>
          <w:szCs w:val="19"/>
          <w:lang w:val="en-GB"/>
        </w:rPr>
        <w:t>In 20</w:t>
      </w:r>
      <w:r w:rsidR="00AD6802" w:rsidRPr="0002534B">
        <w:rPr>
          <w:rFonts w:cs="Arial"/>
          <w:bCs/>
          <w:szCs w:val="19"/>
          <w:lang w:val="en-GB"/>
        </w:rPr>
        <w:t>2</w:t>
      </w:r>
      <w:r w:rsidR="00472D1F">
        <w:rPr>
          <w:rFonts w:cs="Arial"/>
          <w:bCs/>
          <w:szCs w:val="19"/>
          <w:lang w:val="en-GB"/>
        </w:rPr>
        <w:t>4</w:t>
      </w:r>
      <w:r w:rsidR="00D1288C" w:rsidRPr="0002534B">
        <w:rPr>
          <w:rFonts w:cs="Arial"/>
          <w:bCs/>
          <w:szCs w:val="19"/>
          <w:lang w:val="en-GB"/>
        </w:rPr>
        <w:t>,</w:t>
      </w:r>
      <w:r w:rsidRPr="0002534B">
        <w:rPr>
          <w:rFonts w:cs="Arial"/>
          <w:bCs/>
          <w:szCs w:val="19"/>
          <w:lang w:val="en-GB"/>
        </w:rPr>
        <w:t xml:space="preserve"> </w:t>
      </w:r>
      <w:r w:rsidR="00BB40E7" w:rsidRPr="0002534B">
        <w:rPr>
          <w:rFonts w:cs="Arial"/>
          <w:bCs/>
          <w:szCs w:val="19"/>
          <w:lang w:val="en-GB"/>
        </w:rPr>
        <w:t>the</w:t>
      </w:r>
      <w:r w:rsidR="00AD6802" w:rsidRPr="0002534B">
        <w:rPr>
          <w:rFonts w:cs="Arial"/>
          <w:bCs/>
          <w:szCs w:val="19"/>
          <w:lang w:val="en-GB"/>
        </w:rPr>
        <w:t>re was a</w:t>
      </w:r>
      <w:r w:rsidR="00CB7456">
        <w:rPr>
          <w:rFonts w:cs="Arial"/>
          <w:bCs/>
          <w:szCs w:val="19"/>
          <w:lang w:val="en-GB"/>
        </w:rPr>
        <w:t>n</w:t>
      </w:r>
      <w:r w:rsidR="00AD6802" w:rsidRPr="0002534B">
        <w:rPr>
          <w:rFonts w:cs="Arial"/>
          <w:bCs/>
          <w:szCs w:val="19"/>
          <w:lang w:val="en-GB"/>
        </w:rPr>
        <w:t xml:space="preserve"> </w:t>
      </w:r>
      <w:r w:rsidR="00CB7456">
        <w:rPr>
          <w:rFonts w:cs="Arial"/>
          <w:bCs/>
          <w:szCs w:val="19"/>
          <w:lang w:val="en-GB"/>
        </w:rPr>
        <w:t>in</w:t>
      </w:r>
      <w:r w:rsidR="00BB40E7" w:rsidRPr="0002534B">
        <w:rPr>
          <w:rFonts w:cs="Arial"/>
          <w:bCs/>
          <w:szCs w:val="19"/>
          <w:lang w:val="en-GB"/>
        </w:rPr>
        <w:t>creas</w:t>
      </w:r>
      <w:r w:rsidR="00AD6802" w:rsidRPr="0002534B">
        <w:rPr>
          <w:rFonts w:cs="Arial"/>
          <w:bCs/>
          <w:szCs w:val="19"/>
          <w:lang w:val="en-GB"/>
        </w:rPr>
        <w:t>e</w:t>
      </w:r>
      <w:r w:rsidR="00BB40E7" w:rsidRPr="0002534B">
        <w:rPr>
          <w:rFonts w:cs="Arial"/>
          <w:bCs/>
          <w:szCs w:val="19"/>
          <w:lang w:val="en-GB"/>
        </w:rPr>
        <w:t xml:space="preserve"> in consumption of the </w:t>
      </w:r>
      <w:r w:rsidR="00AD6802" w:rsidRPr="0002534B">
        <w:rPr>
          <w:rFonts w:cs="Arial"/>
          <w:bCs/>
          <w:szCs w:val="19"/>
          <w:lang w:val="en-GB"/>
        </w:rPr>
        <w:t xml:space="preserve">majority of </w:t>
      </w:r>
      <w:r w:rsidR="00BB40E7" w:rsidRPr="0002534B">
        <w:rPr>
          <w:rFonts w:cs="Arial"/>
          <w:bCs/>
          <w:szCs w:val="19"/>
          <w:lang w:val="en-GB"/>
        </w:rPr>
        <w:t>basic foodstuffs.</w:t>
      </w:r>
      <w:r w:rsidR="007F25A3" w:rsidRPr="0002534B">
        <w:rPr>
          <w:rFonts w:cs="Arial"/>
          <w:bCs/>
          <w:szCs w:val="19"/>
          <w:lang w:val="en-GB"/>
        </w:rPr>
        <w:t xml:space="preserve"> Th</w:t>
      </w:r>
      <w:r w:rsidR="00AD6802" w:rsidRPr="0002534B">
        <w:rPr>
          <w:rFonts w:cs="Arial"/>
          <w:bCs/>
          <w:szCs w:val="19"/>
          <w:lang w:val="en-GB"/>
        </w:rPr>
        <w:t xml:space="preserve">e </w:t>
      </w:r>
      <w:r w:rsidR="00781653" w:rsidRPr="0002534B">
        <w:rPr>
          <w:rFonts w:cs="Arial"/>
          <w:bCs/>
          <w:szCs w:val="19"/>
          <w:lang w:val="en-GB"/>
        </w:rPr>
        <w:t xml:space="preserve">highest </w:t>
      </w:r>
      <w:r w:rsidR="00CB7456">
        <w:rPr>
          <w:rFonts w:cs="Arial"/>
          <w:bCs/>
          <w:szCs w:val="19"/>
          <w:lang w:val="en-GB"/>
        </w:rPr>
        <w:t>growth</w:t>
      </w:r>
      <w:r w:rsidR="00AD6802" w:rsidRPr="0002534B">
        <w:rPr>
          <w:rFonts w:cs="Arial"/>
          <w:bCs/>
          <w:szCs w:val="19"/>
          <w:lang w:val="en-GB"/>
        </w:rPr>
        <w:t xml:space="preserve"> </w:t>
      </w:r>
      <w:r w:rsidR="00933A75" w:rsidRPr="0002534B">
        <w:rPr>
          <w:rFonts w:cs="Arial"/>
          <w:bCs/>
          <w:szCs w:val="19"/>
          <w:lang w:val="en-GB"/>
        </w:rPr>
        <w:t xml:space="preserve">was recorded in: </w:t>
      </w:r>
      <w:r w:rsidR="00B56D6C">
        <w:rPr>
          <w:rFonts w:cs="Arial"/>
          <w:bCs/>
          <w:szCs w:val="19"/>
          <w:lang w:val="en-GB"/>
        </w:rPr>
        <w:t>sugar</w:t>
      </w:r>
      <w:r w:rsidR="0038601E" w:rsidRPr="0002534B">
        <w:rPr>
          <w:rFonts w:cs="Arial"/>
          <w:bCs/>
          <w:szCs w:val="19"/>
          <w:lang w:val="en-GB"/>
        </w:rPr>
        <w:t xml:space="preserve"> (by </w:t>
      </w:r>
      <w:r w:rsidR="00CB7456">
        <w:rPr>
          <w:rFonts w:cs="Arial"/>
          <w:bCs/>
          <w:szCs w:val="19"/>
          <w:lang w:val="en-GB"/>
        </w:rPr>
        <w:t>8.6</w:t>
      </w:r>
      <w:r w:rsidR="0038601E" w:rsidRPr="0002534B">
        <w:rPr>
          <w:rFonts w:cs="Arial"/>
          <w:bCs/>
          <w:szCs w:val="19"/>
          <w:lang w:val="en-GB"/>
        </w:rPr>
        <w:t xml:space="preserve">%), </w:t>
      </w:r>
      <w:r w:rsidR="00FE7187">
        <w:rPr>
          <w:rFonts w:cs="Arial"/>
          <w:bCs/>
          <w:szCs w:val="19"/>
          <w:lang w:val="en-GB"/>
        </w:rPr>
        <w:t>eggs (</w:t>
      </w:r>
      <w:r w:rsidR="005D230C">
        <w:rPr>
          <w:rFonts w:cs="Arial"/>
          <w:bCs/>
          <w:szCs w:val="19"/>
          <w:lang w:val="en-GB"/>
        </w:rPr>
        <w:t>by 7.5%), fruit (by 5.9%), animal fats (by</w:t>
      </w:r>
      <w:r w:rsidR="00381554">
        <w:rPr>
          <w:rFonts w:cs="Arial"/>
          <w:bCs/>
          <w:szCs w:val="19"/>
          <w:lang w:val="en-GB"/>
        </w:rPr>
        <w:t> </w:t>
      </w:r>
      <w:r w:rsidR="005D230C">
        <w:rPr>
          <w:rFonts w:cs="Arial"/>
          <w:bCs/>
          <w:szCs w:val="19"/>
          <w:lang w:val="en-GB"/>
        </w:rPr>
        <w:t xml:space="preserve">5.3%), </w:t>
      </w:r>
      <w:r w:rsidR="005D230C" w:rsidRPr="0002534B">
        <w:rPr>
          <w:rFonts w:cs="Arial"/>
          <w:bCs/>
          <w:szCs w:val="19"/>
          <w:lang w:val="en-GB"/>
        </w:rPr>
        <w:t xml:space="preserve">pasta and pasta products </w:t>
      </w:r>
      <w:r w:rsidR="005D230C">
        <w:rPr>
          <w:rFonts w:cs="Arial"/>
          <w:bCs/>
          <w:szCs w:val="19"/>
          <w:lang w:val="en-GB"/>
        </w:rPr>
        <w:t>(by 5.1%) as well as cheese and curd</w:t>
      </w:r>
      <w:r w:rsidR="005D230C" w:rsidRPr="0002534B">
        <w:rPr>
          <w:rFonts w:cs="Arial"/>
          <w:bCs/>
          <w:szCs w:val="19"/>
          <w:lang w:val="en-GB"/>
        </w:rPr>
        <w:t xml:space="preserve"> (by </w:t>
      </w:r>
      <w:r w:rsidR="005D230C">
        <w:rPr>
          <w:rFonts w:cs="Arial"/>
          <w:bCs/>
          <w:szCs w:val="19"/>
          <w:lang w:val="en-GB"/>
        </w:rPr>
        <w:t>5.0</w:t>
      </w:r>
      <w:r w:rsidR="005D230C" w:rsidRPr="0002534B">
        <w:rPr>
          <w:rFonts w:cs="Arial"/>
          <w:bCs/>
          <w:szCs w:val="19"/>
          <w:lang w:val="en-GB"/>
        </w:rPr>
        <w:t>%)</w:t>
      </w:r>
      <w:r w:rsidR="0038601E">
        <w:rPr>
          <w:rFonts w:cs="Arial"/>
          <w:bCs/>
          <w:szCs w:val="19"/>
          <w:lang w:val="en-GB"/>
        </w:rPr>
        <w:t xml:space="preserve">. The highest </w:t>
      </w:r>
      <w:r w:rsidR="005D230C">
        <w:rPr>
          <w:rFonts w:cs="Arial"/>
          <w:bCs/>
          <w:szCs w:val="19"/>
          <w:lang w:val="en-GB"/>
        </w:rPr>
        <w:t>de</w:t>
      </w:r>
      <w:r w:rsidR="003B4D10">
        <w:rPr>
          <w:rFonts w:cs="Arial"/>
          <w:bCs/>
          <w:szCs w:val="19"/>
          <w:lang w:val="en-GB"/>
        </w:rPr>
        <w:t>crease</w:t>
      </w:r>
      <w:r w:rsidR="0038601E">
        <w:rPr>
          <w:rFonts w:cs="Arial"/>
          <w:bCs/>
          <w:szCs w:val="19"/>
          <w:lang w:val="en-GB"/>
        </w:rPr>
        <w:t xml:space="preserve"> was noted in the case of</w:t>
      </w:r>
      <w:r w:rsidR="005D230C">
        <w:rPr>
          <w:rFonts w:cs="Arial"/>
          <w:bCs/>
          <w:szCs w:val="19"/>
          <w:lang w:val="en-GB"/>
        </w:rPr>
        <w:t xml:space="preserve"> margarine and vegetable fats</w:t>
      </w:r>
      <w:r w:rsidR="005D230C" w:rsidRPr="0002534B">
        <w:rPr>
          <w:rFonts w:cs="Arial"/>
          <w:bCs/>
          <w:szCs w:val="19"/>
          <w:lang w:val="en-GB"/>
        </w:rPr>
        <w:t xml:space="preserve"> (by </w:t>
      </w:r>
      <w:r w:rsidR="005D230C">
        <w:rPr>
          <w:rFonts w:cs="Arial"/>
          <w:bCs/>
          <w:szCs w:val="19"/>
          <w:lang w:val="en-GB"/>
        </w:rPr>
        <w:t>4.5</w:t>
      </w:r>
      <w:r w:rsidR="005D230C" w:rsidRPr="0002534B">
        <w:rPr>
          <w:rFonts w:cs="Arial"/>
          <w:bCs/>
          <w:szCs w:val="19"/>
          <w:lang w:val="en-GB"/>
        </w:rPr>
        <w:t>%)</w:t>
      </w:r>
      <w:r w:rsidR="005D230C">
        <w:rPr>
          <w:rFonts w:cs="Arial"/>
          <w:bCs/>
          <w:szCs w:val="19"/>
          <w:lang w:val="en-GB"/>
        </w:rPr>
        <w:t>, fresh milk (by</w:t>
      </w:r>
      <w:r w:rsidR="00381554">
        <w:rPr>
          <w:rFonts w:cs="Arial"/>
          <w:bCs/>
          <w:szCs w:val="19"/>
          <w:lang w:val="en-GB"/>
        </w:rPr>
        <w:t> </w:t>
      </w:r>
      <w:r w:rsidR="005D230C">
        <w:rPr>
          <w:rFonts w:cs="Arial"/>
          <w:bCs/>
          <w:szCs w:val="19"/>
          <w:lang w:val="en-GB"/>
        </w:rPr>
        <w:t xml:space="preserve">2.5%) and bread (by 1.5%). </w:t>
      </w:r>
    </w:p>
    <w:p w14:paraId="7EE94F3F" w14:textId="606A9B29" w:rsidR="00BB40E7" w:rsidRPr="006C77BB" w:rsidRDefault="00BB40E7" w:rsidP="00BB40E7">
      <w:pPr>
        <w:rPr>
          <w:szCs w:val="19"/>
          <w:shd w:val="clear" w:color="auto" w:fill="FFFFFF"/>
          <w:lang w:val="en-GB"/>
        </w:rPr>
      </w:pPr>
      <w:r w:rsidRPr="006C77BB">
        <w:rPr>
          <w:rFonts w:cs="Arial"/>
          <w:szCs w:val="19"/>
          <w:lang w:val="en-GB"/>
        </w:rPr>
        <w:t xml:space="preserve">The level of consumption of foodstuffs greatly depends on household income. As the wealth of households increases, so does the level of consumption of certain foodstuffs, </w:t>
      </w:r>
      <w:r w:rsidR="003B4D10" w:rsidRPr="006C77BB">
        <w:rPr>
          <w:rFonts w:cs="Arial"/>
          <w:szCs w:val="19"/>
          <w:lang w:val="en-GB"/>
        </w:rPr>
        <w:t xml:space="preserve">such </w:t>
      </w:r>
      <w:r w:rsidRPr="006C77BB">
        <w:rPr>
          <w:rFonts w:cs="Arial"/>
          <w:szCs w:val="19"/>
          <w:lang w:val="en-GB"/>
        </w:rPr>
        <w:t xml:space="preserve">as </w:t>
      </w:r>
      <w:r w:rsidRPr="006C77BB">
        <w:rPr>
          <w:rFonts w:cs="Arial"/>
          <w:bCs/>
          <w:szCs w:val="19"/>
          <w:lang w:val="en-GB"/>
        </w:rPr>
        <w:t>bread and cereals</w:t>
      </w:r>
      <w:r w:rsidRPr="006C77BB">
        <w:rPr>
          <w:szCs w:val="19"/>
          <w:shd w:val="clear" w:color="auto" w:fill="FFFFFF"/>
          <w:lang w:val="en-GB"/>
        </w:rPr>
        <w:t xml:space="preserve">, </w:t>
      </w:r>
      <w:r w:rsidRPr="006C77BB">
        <w:rPr>
          <w:rFonts w:cs="Arial"/>
          <w:bCs/>
          <w:szCs w:val="19"/>
          <w:lang w:val="en-GB"/>
        </w:rPr>
        <w:t>meat</w:t>
      </w:r>
      <w:r w:rsidRPr="006C77BB">
        <w:rPr>
          <w:szCs w:val="19"/>
          <w:shd w:val="clear" w:color="auto" w:fill="FFFFFF"/>
          <w:lang w:val="en-GB"/>
        </w:rPr>
        <w:t xml:space="preserve">, </w:t>
      </w:r>
      <w:r w:rsidRPr="006C77BB">
        <w:rPr>
          <w:rFonts w:cs="Arial"/>
          <w:bCs/>
          <w:szCs w:val="19"/>
          <w:lang w:val="en-GB"/>
        </w:rPr>
        <w:t>vegetables</w:t>
      </w:r>
      <w:r w:rsidRPr="006C77BB">
        <w:rPr>
          <w:szCs w:val="19"/>
          <w:shd w:val="clear" w:color="auto" w:fill="FFFFFF"/>
          <w:lang w:val="en-GB"/>
        </w:rPr>
        <w:t xml:space="preserve">, </w:t>
      </w:r>
      <w:r w:rsidRPr="006C77BB">
        <w:rPr>
          <w:rFonts w:cs="Arial"/>
          <w:bCs/>
          <w:szCs w:val="19"/>
          <w:lang w:val="en-GB"/>
        </w:rPr>
        <w:t>fruit</w:t>
      </w:r>
      <w:r w:rsidRPr="006C77BB">
        <w:rPr>
          <w:szCs w:val="19"/>
          <w:shd w:val="clear" w:color="auto" w:fill="FFFFFF"/>
          <w:lang w:val="en-GB"/>
        </w:rPr>
        <w:t xml:space="preserve">, </w:t>
      </w:r>
      <w:r w:rsidRPr="006C77BB">
        <w:rPr>
          <w:rFonts w:cs="Arial"/>
          <w:bCs/>
          <w:szCs w:val="19"/>
          <w:lang w:val="en-GB"/>
        </w:rPr>
        <w:t>cheese and curd</w:t>
      </w:r>
      <w:r w:rsidR="003B4D10" w:rsidRPr="006C77BB">
        <w:rPr>
          <w:rFonts w:cs="Arial"/>
          <w:bCs/>
          <w:szCs w:val="19"/>
          <w:lang w:val="en-GB"/>
        </w:rPr>
        <w:t>, sugar</w:t>
      </w:r>
      <w:r w:rsidRPr="006C77BB">
        <w:rPr>
          <w:rFonts w:cs="Arial"/>
          <w:bCs/>
          <w:szCs w:val="19"/>
          <w:lang w:val="en-GB"/>
        </w:rPr>
        <w:t xml:space="preserve"> </w:t>
      </w:r>
      <w:r w:rsidR="003876E9" w:rsidRPr="006C77BB">
        <w:rPr>
          <w:szCs w:val="19"/>
          <w:shd w:val="clear" w:color="auto" w:fill="FFFFFF"/>
          <w:lang w:val="en-GB"/>
        </w:rPr>
        <w:t>as well as</w:t>
      </w:r>
      <w:r w:rsidRPr="006C77BB">
        <w:rPr>
          <w:szCs w:val="19"/>
          <w:shd w:val="clear" w:color="auto" w:fill="FFFFFF"/>
          <w:lang w:val="en-GB"/>
        </w:rPr>
        <w:t xml:space="preserve"> </w:t>
      </w:r>
      <w:r w:rsidRPr="006C77BB">
        <w:rPr>
          <w:rFonts w:cs="Arial"/>
          <w:szCs w:val="19"/>
          <w:lang w:val="en-GB"/>
        </w:rPr>
        <w:t>mineral and spring water</w:t>
      </w:r>
      <w:r w:rsidR="00363016" w:rsidRPr="006C77BB">
        <w:rPr>
          <w:rFonts w:cs="Arial"/>
          <w:szCs w:val="19"/>
          <w:lang w:val="en-GB"/>
        </w:rPr>
        <w:t>s</w:t>
      </w:r>
      <w:r w:rsidRPr="006C77BB">
        <w:rPr>
          <w:szCs w:val="19"/>
          <w:shd w:val="clear" w:color="auto" w:fill="FFFFFF"/>
          <w:lang w:val="en-GB"/>
        </w:rPr>
        <w:t>.</w:t>
      </w:r>
    </w:p>
    <w:p w14:paraId="7EE94F41" w14:textId="3AE0CF13" w:rsidR="00BB40E7" w:rsidRPr="00CE3E9B" w:rsidRDefault="00736E08" w:rsidP="00DC28C6">
      <w:pPr>
        <w:spacing w:before="360" w:after="360" w:line="240" w:lineRule="auto"/>
        <w:rPr>
          <w:spacing w:val="-2"/>
          <w:szCs w:val="19"/>
          <w:shd w:val="clear" w:color="auto" w:fill="FFFFFF"/>
          <w:lang w:val="en-GB"/>
        </w:rPr>
      </w:pPr>
      <w:r>
        <w:rPr>
          <w:noProof/>
          <w:lang w:eastAsia="pl-PL"/>
        </w:rPr>
        <w:drawing>
          <wp:inline distT="0" distB="0" distL="0" distR="0" wp14:anchorId="5D74DF12" wp14:editId="11AD4B0C">
            <wp:extent cx="5122545" cy="2734945"/>
            <wp:effectExtent l="0" t="0" r="1905" b="8255"/>
            <wp:docPr id="13" name="Wykres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A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E94F43" w14:textId="7A61030B" w:rsidR="00BB40E7" w:rsidRDefault="00BB40E7" w:rsidP="00BB40E7">
      <w:pPr>
        <w:rPr>
          <w:rFonts w:cs="Arial"/>
          <w:spacing w:val="2"/>
          <w:szCs w:val="19"/>
          <w:lang w:val="en-GB"/>
        </w:rPr>
      </w:pPr>
      <w:r w:rsidRPr="006E1C16">
        <w:rPr>
          <w:rFonts w:cs="Arial"/>
          <w:bCs/>
          <w:spacing w:val="2"/>
          <w:szCs w:val="19"/>
          <w:lang w:val="en-GB"/>
        </w:rPr>
        <w:t xml:space="preserve">The level of </w:t>
      </w:r>
      <w:r w:rsidR="003876E9">
        <w:rPr>
          <w:rFonts w:cs="Arial"/>
          <w:bCs/>
          <w:spacing w:val="2"/>
          <w:szCs w:val="19"/>
          <w:lang w:val="en-GB"/>
        </w:rPr>
        <w:t xml:space="preserve">food </w:t>
      </w:r>
      <w:r w:rsidRPr="006E1C16">
        <w:rPr>
          <w:rFonts w:cs="Arial"/>
          <w:bCs/>
          <w:spacing w:val="2"/>
          <w:szCs w:val="19"/>
          <w:lang w:val="en-GB"/>
        </w:rPr>
        <w:t xml:space="preserve">consumption is also affected by </w:t>
      </w:r>
      <w:r w:rsidR="003876E9">
        <w:rPr>
          <w:rFonts w:cs="Arial"/>
          <w:bCs/>
          <w:spacing w:val="2"/>
          <w:szCs w:val="19"/>
          <w:lang w:val="en-GB"/>
        </w:rPr>
        <w:t>dietary</w:t>
      </w:r>
      <w:r w:rsidRPr="006E1C16">
        <w:rPr>
          <w:rFonts w:cs="Arial"/>
          <w:bCs/>
          <w:spacing w:val="2"/>
          <w:szCs w:val="19"/>
          <w:lang w:val="en-GB"/>
        </w:rPr>
        <w:t xml:space="preserve"> habits, prices of foodstuff</w:t>
      </w:r>
      <w:r w:rsidR="003876E9">
        <w:rPr>
          <w:rFonts w:cs="Arial"/>
          <w:bCs/>
          <w:spacing w:val="2"/>
          <w:szCs w:val="19"/>
          <w:lang w:val="en-GB"/>
        </w:rPr>
        <w:t>s</w:t>
      </w:r>
      <w:r w:rsidRPr="006E1C16">
        <w:rPr>
          <w:rFonts w:cs="Arial"/>
          <w:bCs/>
          <w:spacing w:val="2"/>
          <w:szCs w:val="19"/>
          <w:lang w:val="en-GB"/>
        </w:rPr>
        <w:t xml:space="preserve"> </w:t>
      </w:r>
      <w:r w:rsidR="003876E9">
        <w:rPr>
          <w:rFonts w:cs="Arial"/>
          <w:bCs/>
          <w:spacing w:val="2"/>
          <w:szCs w:val="19"/>
          <w:lang w:val="en-GB"/>
        </w:rPr>
        <w:t>and</w:t>
      </w:r>
      <w:r w:rsidRPr="006E1C16">
        <w:rPr>
          <w:rFonts w:cs="Arial"/>
          <w:bCs/>
          <w:spacing w:val="2"/>
          <w:szCs w:val="19"/>
          <w:lang w:val="en-GB"/>
        </w:rPr>
        <w:t xml:space="preserve"> a</w:t>
      </w:r>
      <w:r w:rsidR="001D1AB1">
        <w:rPr>
          <w:rFonts w:cs="Arial"/>
          <w:bCs/>
          <w:spacing w:val="2"/>
          <w:szCs w:val="19"/>
          <w:lang w:val="en-GB"/>
        </w:rPr>
        <w:t> </w:t>
      </w:r>
      <w:r w:rsidRPr="006E1C16">
        <w:rPr>
          <w:rFonts w:cs="Arial"/>
          <w:bCs/>
          <w:spacing w:val="2"/>
          <w:szCs w:val="19"/>
          <w:lang w:val="en-GB"/>
        </w:rPr>
        <w:t>place of residence.</w:t>
      </w:r>
      <w:r w:rsidRPr="006E1C16">
        <w:rPr>
          <w:rFonts w:cs="Arial"/>
          <w:spacing w:val="2"/>
          <w:szCs w:val="19"/>
          <w:lang w:val="en-GB"/>
        </w:rPr>
        <w:t xml:space="preserve"> Households in rural areas compared with households in urban areas are characterised by a slightly different model of nutrition.</w:t>
      </w:r>
      <w:r w:rsidR="007600E0">
        <w:rPr>
          <w:rFonts w:cs="Arial"/>
          <w:spacing w:val="2"/>
          <w:szCs w:val="19"/>
          <w:lang w:val="en-GB"/>
        </w:rPr>
        <w:t xml:space="preserve"> </w:t>
      </w:r>
      <w:r w:rsidR="007600E0" w:rsidRPr="007600E0">
        <w:rPr>
          <w:rFonts w:cs="Arial"/>
          <w:spacing w:val="2"/>
          <w:szCs w:val="19"/>
          <w:lang w:val="en-GB"/>
        </w:rPr>
        <w:t xml:space="preserve">In the </w:t>
      </w:r>
      <w:r w:rsidR="007600E0">
        <w:rPr>
          <w:rFonts w:cs="Arial"/>
          <w:spacing w:val="2"/>
          <w:szCs w:val="19"/>
          <w:lang w:val="en-GB"/>
        </w:rPr>
        <w:t>rural areas</w:t>
      </w:r>
      <w:r w:rsidR="007600E0" w:rsidRPr="007600E0">
        <w:rPr>
          <w:rFonts w:cs="Arial"/>
          <w:spacing w:val="2"/>
          <w:szCs w:val="19"/>
          <w:lang w:val="en-GB"/>
        </w:rPr>
        <w:t xml:space="preserve"> there was</w:t>
      </w:r>
      <w:r w:rsidR="00BB5D82">
        <w:rPr>
          <w:rFonts w:cs="Arial"/>
          <w:spacing w:val="2"/>
          <w:szCs w:val="19"/>
          <w:lang w:val="en-GB"/>
        </w:rPr>
        <w:t>, among others,</w:t>
      </w:r>
      <w:r w:rsidR="007600E0" w:rsidRPr="007600E0">
        <w:rPr>
          <w:rFonts w:cs="Arial"/>
          <w:spacing w:val="2"/>
          <w:szCs w:val="19"/>
          <w:lang w:val="en-GB"/>
        </w:rPr>
        <w:t xml:space="preserve"> a higher consumption of bread and cereal</w:t>
      </w:r>
      <w:r w:rsidR="007600E0">
        <w:rPr>
          <w:rFonts w:cs="Arial"/>
          <w:spacing w:val="2"/>
          <w:szCs w:val="19"/>
          <w:lang w:val="en-GB"/>
        </w:rPr>
        <w:t>s</w:t>
      </w:r>
      <w:r w:rsidR="007600E0" w:rsidRPr="007600E0">
        <w:rPr>
          <w:rFonts w:cs="Arial"/>
          <w:spacing w:val="2"/>
          <w:szCs w:val="19"/>
          <w:lang w:val="en-GB"/>
        </w:rPr>
        <w:t>, meat</w:t>
      </w:r>
      <w:r w:rsidR="00E23987">
        <w:rPr>
          <w:rFonts w:cs="Arial"/>
          <w:spacing w:val="2"/>
          <w:szCs w:val="19"/>
          <w:lang w:val="en-GB"/>
        </w:rPr>
        <w:t>, potatoes</w:t>
      </w:r>
      <w:r w:rsidR="00D37C49">
        <w:rPr>
          <w:rFonts w:cs="Arial"/>
          <w:spacing w:val="2"/>
          <w:szCs w:val="19"/>
          <w:lang w:val="en-GB"/>
        </w:rPr>
        <w:t>, s</w:t>
      </w:r>
      <w:r w:rsidR="007600E0" w:rsidRPr="007600E0">
        <w:rPr>
          <w:rFonts w:cs="Arial"/>
          <w:spacing w:val="2"/>
          <w:szCs w:val="19"/>
          <w:lang w:val="en-GB"/>
        </w:rPr>
        <w:t>ugar</w:t>
      </w:r>
      <w:r w:rsidR="00D37C49">
        <w:rPr>
          <w:rFonts w:cs="Arial"/>
          <w:spacing w:val="2"/>
          <w:szCs w:val="19"/>
          <w:lang w:val="en-GB"/>
        </w:rPr>
        <w:t xml:space="preserve"> as well as </w:t>
      </w:r>
      <w:r w:rsidR="00D37C49" w:rsidRPr="007600E0">
        <w:rPr>
          <w:rFonts w:cs="Arial"/>
          <w:spacing w:val="2"/>
          <w:szCs w:val="19"/>
          <w:lang w:val="en-GB"/>
        </w:rPr>
        <w:t>mineral and spring waters</w:t>
      </w:r>
      <w:r w:rsidR="007600E0" w:rsidRPr="007600E0">
        <w:rPr>
          <w:rFonts w:cs="Arial"/>
          <w:spacing w:val="2"/>
          <w:szCs w:val="19"/>
          <w:lang w:val="en-GB"/>
        </w:rPr>
        <w:t xml:space="preserve">, </w:t>
      </w:r>
      <w:r w:rsidR="00E23987">
        <w:rPr>
          <w:rFonts w:cs="Arial"/>
          <w:spacing w:val="2"/>
          <w:szCs w:val="19"/>
          <w:lang w:val="en-GB"/>
        </w:rPr>
        <w:t>while</w:t>
      </w:r>
      <w:r w:rsidR="007600E0" w:rsidRPr="007600E0">
        <w:rPr>
          <w:rFonts w:cs="Arial"/>
          <w:spacing w:val="2"/>
          <w:szCs w:val="19"/>
          <w:lang w:val="en-GB"/>
        </w:rPr>
        <w:t xml:space="preserve"> in </w:t>
      </w:r>
      <w:r w:rsidR="007600E0">
        <w:rPr>
          <w:rFonts w:cs="Arial"/>
          <w:spacing w:val="2"/>
          <w:szCs w:val="19"/>
          <w:lang w:val="en-GB"/>
        </w:rPr>
        <w:t>urban areas</w:t>
      </w:r>
      <w:r w:rsidR="007600E0" w:rsidRPr="007600E0">
        <w:rPr>
          <w:rFonts w:cs="Arial"/>
          <w:spacing w:val="2"/>
          <w:szCs w:val="19"/>
          <w:lang w:val="en-GB"/>
        </w:rPr>
        <w:t xml:space="preserve"> </w:t>
      </w:r>
      <w:r w:rsidR="007600E0">
        <w:rPr>
          <w:rFonts w:cs="Arial"/>
          <w:spacing w:val="2"/>
          <w:szCs w:val="19"/>
          <w:lang w:val="en-GB"/>
        </w:rPr>
        <w:t>–</w:t>
      </w:r>
      <w:r w:rsidR="007600E0" w:rsidRPr="007600E0">
        <w:rPr>
          <w:rFonts w:cs="Arial"/>
          <w:spacing w:val="2"/>
          <w:szCs w:val="19"/>
          <w:lang w:val="en-GB"/>
        </w:rPr>
        <w:t xml:space="preserve"> </w:t>
      </w:r>
      <w:r w:rsidR="00E23987">
        <w:rPr>
          <w:rFonts w:cs="Arial"/>
          <w:spacing w:val="2"/>
          <w:szCs w:val="19"/>
          <w:lang w:val="en-GB"/>
        </w:rPr>
        <w:t xml:space="preserve">vegetables (except potatoes), </w:t>
      </w:r>
      <w:r w:rsidR="00BB5D82" w:rsidRPr="007600E0">
        <w:rPr>
          <w:rFonts w:cs="Arial"/>
          <w:spacing w:val="2"/>
          <w:szCs w:val="19"/>
          <w:lang w:val="en-GB"/>
        </w:rPr>
        <w:t>fruit</w:t>
      </w:r>
      <w:r w:rsidR="00BB5D82">
        <w:rPr>
          <w:rFonts w:cs="Arial"/>
          <w:spacing w:val="2"/>
          <w:szCs w:val="19"/>
          <w:lang w:val="en-GB"/>
        </w:rPr>
        <w:t>,</w:t>
      </w:r>
      <w:r w:rsidR="00BB5D82" w:rsidRPr="007600E0">
        <w:rPr>
          <w:rFonts w:cs="Arial"/>
          <w:spacing w:val="2"/>
          <w:szCs w:val="19"/>
          <w:lang w:val="en-GB"/>
        </w:rPr>
        <w:t xml:space="preserve"> </w:t>
      </w:r>
      <w:r w:rsidR="00D37C49">
        <w:rPr>
          <w:rFonts w:cs="Arial"/>
          <w:spacing w:val="2"/>
          <w:szCs w:val="19"/>
          <w:lang w:val="en-GB"/>
        </w:rPr>
        <w:t xml:space="preserve">and </w:t>
      </w:r>
      <w:r w:rsidR="00E23987">
        <w:rPr>
          <w:rFonts w:cs="Arial"/>
          <w:spacing w:val="2"/>
          <w:szCs w:val="19"/>
          <w:lang w:val="en-GB"/>
        </w:rPr>
        <w:t>cheese and curd</w:t>
      </w:r>
      <w:r w:rsidR="007600E0" w:rsidRPr="007600E0">
        <w:rPr>
          <w:rFonts w:cs="Arial"/>
          <w:spacing w:val="2"/>
          <w:szCs w:val="19"/>
          <w:lang w:val="en-GB"/>
        </w:rPr>
        <w:t>.</w:t>
      </w:r>
    </w:p>
    <w:p w14:paraId="7EE94F44" w14:textId="3FE34E81" w:rsidR="003B1A4C" w:rsidRDefault="00D37C49" w:rsidP="00BB40E7">
      <w:pPr>
        <w:rPr>
          <w:rFonts w:cs="Arial"/>
          <w:spacing w:val="2"/>
          <w:szCs w:val="19"/>
          <w:lang w:val="en-GB"/>
        </w:rPr>
      </w:pPr>
      <w:r>
        <w:rPr>
          <w:rFonts w:cs="Arial"/>
          <w:spacing w:val="2"/>
          <w:szCs w:val="19"/>
          <w:lang w:val="en-GB"/>
        </w:rPr>
        <w:t>Positive</w:t>
      </w:r>
      <w:r w:rsidR="006E70FA" w:rsidRPr="003B1A4C">
        <w:rPr>
          <w:rFonts w:cs="Arial"/>
          <w:spacing w:val="2"/>
          <w:szCs w:val="19"/>
          <w:lang w:val="en-GB"/>
        </w:rPr>
        <w:t xml:space="preserve"> phenomenon</w:t>
      </w:r>
      <w:r w:rsidR="00826EF3">
        <w:rPr>
          <w:rFonts w:cs="Arial"/>
          <w:spacing w:val="2"/>
          <w:szCs w:val="19"/>
          <w:lang w:val="en-GB"/>
        </w:rPr>
        <w:t>,</w:t>
      </w:r>
      <w:r w:rsidR="006E70FA">
        <w:rPr>
          <w:rFonts w:cs="Arial"/>
          <w:spacing w:val="2"/>
          <w:szCs w:val="19"/>
          <w:lang w:val="en-GB"/>
        </w:rPr>
        <w:t xml:space="preserve"> </w:t>
      </w:r>
      <w:r w:rsidR="007B7481" w:rsidRPr="00E042BC">
        <w:rPr>
          <w:rFonts w:cs="Arial"/>
          <w:spacing w:val="2"/>
          <w:szCs w:val="19"/>
          <w:lang w:val="en-GB"/>
        </w:rPr>
        <w:t>both in urban and rural areas</w:t>
      </w:r>
      <w:r w:rsidR="00826EF3">
        <w:rPr>
          <w:rFonts w:cs="Arial"/>
          <w:spacing w:val="2"/>
          <w:szCs w:val="19"/>
          <w:lang w:val="en-GB"/>
        </w:rPr>
        <w:t>,</w:t>
      </w:r>
      <w:r w:rsidR="007B7481">
        <w:rPr>
          <w:rFonts w:cs="Arial"/>
          <w:spacing w:val="2"/>
          <w:szCs w:val="19"/>
          <w:lang w:val="en-GB"/>
        </w:rPr>
        <w:t xml:space="preserve"> </w:t>
      </w:r>
      <w:r w:rsidR="006E70FA">
        <w:rPr>
          <w:rFonts w:cs="Arial"/>
          <w:spacing w:val="2"/>
          <w:szCs w:val="19"/>
          <w:lang w:val="en-GB"/>
        </w:rPr>
        <w:t>is a</w:t>
      </w:r>
      <w:r w:rsidR="00FC6ED0">
        <w:rPr>
          <w:rFonts w:cs="Arial"/>
          <w:spacing w:val="2"/>
          <w:szCs w:val="19"/>
          <w:lang w:val="en-GB"/>
        </w:rPr>
        <w:t>n</w:t>
      </w:r>
      <w:r w:rsidR="003B1A4C" w:rsidRPr="003B1A4C">
        <w:rPr>
          <w:rFonts w:cs="Arial"/>
          <w:spacing w:val="2"/>
          <w:szCs w:val="19"/>
          <w:lang w:val="en-GB"/>
        </w:rPr>
        <w:t xml:space="preserve"> </w:t>
      </w:r>
      <w:r>
        <w:rPr>
          <w:rFonts w:cs="Arial"/>
          <w:spacing w:val="2"/>
          <w:szCs w:val="19"/>
          <w:lang w:val="en-GB"/>
        </w:rPr>
        <w:t>in</w:t>
      </w:r>
      <w:r w:rsidR="003B1A4C" w:rsidRPr="003B1A4C">
        <w:rPr>
          <w:rFonts w:cs="Arial"/>
          <w:spacing w:val="2"/>
          <w:szCs w:val="19"/>
          <w:lang w:val="en-GB"/>
        </w:rPr>
        <w:t xml:space="preserve">crease in the </w:t>
      </w:r>
      <w:r w:rsidR="00F12BCA" w:rsidRPr="00F12BCA">
        <w:rPr>
          <w:rFonts w:cs="Arial"/>
          <w:spacing w:val="2"/>
          <w:szCs w:val="19"/>
          <w:lang w:val="en-GB"/>
        </w:rPr>
        <w:t xml:space="preserve">value of monthly </w:t>
      </w:r>
      <w:r w:rsidR="003B1A4C" w:rsidRPr="003B1A4C">
        <w:rPr>
          <w:rFonts w:cs="Arial"/>
          <w:spacing w:val="2"/>
          <w:szCs w:val="19"/>
          <w:lang w:val="en-GB"/>
        </w:rPr>
        <w:t xml:space="preserve">consumption </w:t>
      </w:r>
      <w:r w:rsidR="00757E3A" w:rsidRPr="003B1A4C">
        <w:rPr>
          <w:rFonts w:cs="Arial"/>
          <w:spacing w:val="2"/>
          <w:szCs w:val="19"/>
          <w:lang w:val="en-GB"/>
        </w:rPr>
        <w:t xml:space="preserve">per </w:t>
      </w:r>
      <w:r w:rsidR="00757E3A">
        <w:rPr>
          <w:rFonts w:cs="Arial"/>
          <w:spacing w:val="2"/>
          <w:szCs w:val="19"/>
          <w:lang w:val="en-GB"/>
        </w:rPr>
        <w:t>capita</w:t>
      </w:r>
      <w:r w:rsidR="00757E3A" w:rsidRPr="003B1A4C">
        <w:rPr>
          <w:rFonts w:cs="Arial"/>
          <w:spacing w:val="2"/>
          <w:szCs w:val="19"/>
          <w:lang w:val="en-GB"/>
        </w:rPr>
        <w:t xml:space="preserve"> </w:t>
      </w:r>
      <w:r w:rsidR="003B1A4C" w:rsidRPr="003B1A4C">
        <w:rPr>
          <w:rFonts w:cs="Arial"/>
          <w:spacing w:val="2"/>
          <w:szCs w:val="19"/>
          <w:lang w:val="en-GB"/>
        </w:rPr>
        <w:t xml:space="preserve">of </w:t>
      </w:r>
      <w:r>
        <w:rPr>
          <w:rFonts w:cs="Arial"/>
          <w:spacing w:val="2"/>
          <w:szCs w:val="19"/>
          <w:lang w:val="en-GB"/>
        </w:rPr>
        <w:t>fruit</w:t>
      </w:r>
      <w:r w:rsidR="007B7481">
        <w:rPr>
          <w:rFonts w:cs="Arial"/>
          <w:spacing w:val="2"/>
          <w:szCs w:val="19"/>
          <w:lang w:val="en-GB"/>
        </w:rPr>
        <w:t xml:space="preserve"> (by 0.</w:t>
      </w:r>
      <w:r w:rsidR="00B72F4F">
        <w:rPr>
          <w:rFonts w:cs="Arial"/>
          <w:spacing w:val="2"/>
          <w:szCs w:val="19"/>
          <w:lang w:val="en-GB"/>
        </w:rPr>
        <w:t>2</w:t>
      </w:r>
      <w:r w:rsidR="003B2361">
        <w:rPr>
          <w:rFonts w:cs="Arial"/>
          <w:spacing w:val="2"/>
          <w:szCs w:val="19"/>
          <w:lang w:val="en-GB"/>
        </w:rPr>
        <w:t xml:space="preserve"> </w:t>
      </w:r>
      <w:r w:rsidR="00BB5D82">
        <w:rPr>
          <w:rFonts w:cs="Arial"/>
          <w:spacing w:val="2"/>
          <w:szCs w:val="19"/>
          <w:lang w:val="en-GB"/>
        </w:rPr>
        <w:t>kg</w:t>
      </w:r>
      <w:r w:rsidR="00B72F4F">
        <w:rPr>
          <w:rFonts w:cs="Arial"/>
          <w:spacing w:val="2"/>
          <w:szCs w:val="19"/>
          <w:lang w:val="en-GB"/>
        </w:rPr>
        <w:t xml:space="preserve"> each</w:t>
      </w:r>
      <w:r w:rsidR="007B7481">
        <w:rPr>
          <w:rFonts w:cs="Arial"/>
          <w:spacing w:val="2"/>
          <w:szCs w:val="19"/>
          <w:lang w:val="en-GB"/>
        </w:rPr>
        <w:t>)</w:t>
      </w:r>
      <w:r w:rsidR="003B1A4C" w:rsidRPr="003B1A4C">
        <w:rPr>
          <w:rFonts w:cs="Arial"/>
          <w:spacing w:val="2"/>
          <w:szCs w:val="19"/>
          <w:lang w:val="en-GB"/>
        </w:rPr>
        <w:t>.</w:t>
      </w:r>
    </w:p>
    <w:p w14:paraId="7EE94F46" w14:textId="78FE7AA4" w:rsidR="00BB40E7" w:rsidRPr="00D37C49" w:rsidRDefault="00736E08" w:rsidP="00DC28C6">
      <w:pPr>
        <w:spacing w:before="360" w:after="360" w:line="240" w:lineRule="auto"/>
        <w:rPr>
          <w:spacing w:val="-2"/>
          <w:szCs w:val="19"/>
          <w:shd w:val="clear" w:color="auto" w:fill="FFFFFF"/>
          <w:lang w:val="en-GB"/>
        </w:rPr>
      </w:pPr>
      <w:r>
        <w:rPr>
          <w:noProof/>
          <w:lang w:eastAsia="pl-PL"/>
        </w:rPr>
        <w:drawing>
          <wp:inline distT="0" distB="0" distL="0" distR="0" wp14:anchorId="55B3D3F2" wp14:editId="4BAD17EF">
            <wp:extent cx="5122545" cy="2700000"/>
            <wp:effectExtent l="0" t="0" r="1905" b="5715"/>
            <wp:docPr id="40" name="Wykres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E94F47" w14:textId="59F7FAA5" w:rsidR="00BB40E7" w:rsidRPr="00C0187E" w:rsidRDefault="0080273B" w:rsidP="00DC28C6">
      <w:pPr>
        <w:spacing w:before="360" w:line="240" w:lineRule="auto"/>
        <w:rPr>
          <w:rFonts w:ascii="Fira Sans SemiBold" w:hAnsi="Fira Sans SemiBold"/>
          <w:color w:val="001D77"/>
          <w:szCs w:val="19"/>
          <w:shd w:val="clear" w:color="auto" w:fill="FFFFFF"/>
          <w:lang w:val="en-GB"/>
        </w:rPr>
      </w:pPr>
      <w:r w:rsidRPr="00C0187E">
        <w:rPr>
          <w:noProof/>
          <w:lang w:eastAsia="pl-PL"/>
        </w:rPr>
        <w:lastRenderedPageBreak/>
        <mc:AlternateContent>
          <mc:Choice Requires="wps">
            <w:drawing>
              <wp:anchor distT="45720" distB="45720" distL="114300" distR="114300" simplePos="0" relativeHeight="251830272" behindDoc="1" locked="0" layoutInCell="1" allowOverlap="1" wp14:anchorId="7EE94FC6" wp14:editId="4CE7B4EB">
                <wp:simplePos x="0" y="0"/>
                <wp:positionH relativeFrom="column">
                  <wp:posOffset>5213350</wp:posOffset>
                </wp:positionH>
                <wp:positionV relativeFrom="paragraph">
                  <wp:posOffset>82550</wp:posOffset>
                </wp:positionV>
                <wp:extent cx="1725295" cy="2438400"/>
                <wp:effectExtent l="0" t="0" r="0" b="5715"/>
                <wp:wrapTight wrapText="bothSides">
                  <wp:wrapPolygon edited="0">
                    <wp:start x="715" y="0"/>
                    <wp:lineTo x="715" y="21383"/>
                    <wp:lineTo x="20749" y="21383"/>
                    <wp:lineTo x="20749" y="0"/>
                    <wp:lineTo x="715" y="0"/>
                  </wp:wrapPolygon>
                </wp:wrapTight>
                <wp:docPr id="54" name="Pole tekstow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438400"/>
                        </a:xfrm>
                        <a:prstGeom prst="rect">
                          <a:avLst/>
                        </a:prstGeom>
                        <a:noFill/>
                        <a:ln w="9525">
                          <a:noFill/>
                          <a:miter lim="800000"/>
                          <a:headEnd/>
                          <a:tailEnd/>
                        </a:ln>
                      </wps:spPr>
                      <wps:txbx>
                        <w:txbxContent>
                          <w:p w14:paraId="7EE9501E" w14:textId="2D880F1A" w:rsidR="00882B10" w:rsidRPr="00986550" w:rsidRDefault="00882B10" w:rsidP="00BB40E7">
                            <w:pPr>
                              <w:spacing w:after="0"/>
                              <w:rPr>
                                <w:rFonts w:eastAsia="Times New Roman" w:cs="Arial"/>
                                <w:color w:val="001D77"/>
                                <w:sz w:val="18"/>
                                <w:szCs w:val="19"/>
                                <w:lang w:val="en-GB" w:eastAsia="pl-PL"/>
                              </w:rPr>
                            </w:pPr>
                            <w:r w:rsidRPr="00FE5689">
                              <w:rPr>
                                <w:rFonts w:eastAsia="Times New Roman" w:cs="Arial"/>
                                <w:color w:val="001D77"/>
                                <w:sz w:val="18"/>
                                <w:szCs w:val="19"/>
                                <w:lang w:val="en-GB" w:eastAsia="pl-PL"/>
                              </w:rPr>
                              <w:t>In 202</w:t>
                            </w:r>
                            <w:r w:rsidR="00986550">
                              <w:rPr>
                                <w:rFonts w:eastAsia="Times New Roman" w:cs="Arial"/>
                                <w:color w:val="001D77"/>
                                <w:sz w:val="18"/>
                                <w:szCs w:val="19"/>
                                <w:lang w:val="en-GB" w:eastAsia="pl-PL"/>
                              </w:rPr>
                              <w:t>4</w:t>
                            </w:r>
                            <w:r w:rsidRPr="00FE5689">
                              <w:rPr>
                                <w:rFonts w:eastAsia="Times New Roman" w:cs="Arial"/>
                                <w:color w:val="001D77"/>
                                <w:sz w:val="18"/>
                                <w:szCs w:val="19"/>
                                <w:lang w:val="en-GB" w:eastAsia="pl-PL"/>
                              </w:rPr>
                              <w:t xml:space="preserve">, there was an increase in the </w:t>
                            </w:r>
                            <w:r>
                              <w:rPr>
                                <w:rFonts w:eastAsia="Times New Roman" w:cs="Arial"/>
                                <w:color w:val="001D77"/>
                                <w:sz w:val="18"/>
                                <w:szCs w:val="19"/>
                                <w:lang w:val="en-GB" w:eastAsia="pl-PL"/>
                              </w:rPr>
                              <w:t>number</w:t>
                            </w:r>
                            <w:r w:rsidRPr="00FE5689">
                              <w:rPr>
                                <w:rFonts w:eastAsia="Times New Roman" w:cs="Arial"/>
                                <w:color w:val="001D77"/>
                                <w:sz w:val="18"/>
                                <w:szCs w:val="19"/>
                                <w:lang w:val="en-GB" w:eastAsia="pl-PL"/>
                              </w:rPr>
                              <w:t xml:space="preserve"> of household</w:t>
                            </w:r>
                            <w:r>
                              <w:rPr>
                                <w:rFonts w:eastAsia="Times New Roman" w:cs="Arial"/>
                                <w:color w:val="001D77"/>
                                <w:sz w:val="18"/>
                                <w:szCs w:val="19"/>
                                <w:lang w:val="en-GB" w:eastAsia="pl-PL"/>
                              </w:rPr>
                              <w:t>s</w:t>
                            </w:r>
                            <w:r w:rsidRPr="00FE5689">
                              <w:rPr>
                                <w:rFonts w:eastAsia="Times New Roman" w:cs="Arial"/>
                                <w:color w:val="001D77"/>
                                <w:sz w:val="18"/>
                                <w:szCs w:val="19"/>
                                <w:lang w:val="en-GB" w:eastAsia="pl-PL"/>
                              </w:rPr>
                              <w:t xml:space="preserve"> equip</w:t>
                            </w:r>
                            <w:r>
                              <w:rPr>
                                <w:rFonts w:eastAsia="Times New Roman" w:cs="Arial"/>
                                <w:color w:val="001D77"/>
                                <w:sz w:val="18"/>
                                <w:szCs w:val="19"/>
                                <w:lang w:val="en-GB" w:eastAsia="pl-PL"/>
                              </w:rPr>
                              <w:t xml:space="preserve">ped </w:t>
                            </w:r>
                            <w:r w:rsidRPr="00E826E4">
                              <w:rPr>
                                <w:rFonts w:eastAsia="Times New Roman" w:cs="Arial"/>
                                <w:color w:val="001D77"/>
                                <w:sz w:val="18"/>
                                <w:szCs w:val="19"/>
                                <w:lang w:val="en-GB" w:eastAsia="pl-PL"/>
                              </w:rPr>
                              <w:t>with durable goods</w:t>
                            </w:r>
                            <w:r>
                              <w:rPr>
                                <w:rFonts w:eastAsia="Times New Roman" w:cs="Arial"/>
                                <w:color w:val="001D77"/>
                                <w:sz w:val="18"/>
                                <w:szCs w:val="19"/>
                                <w:lang w:val="en-GB" w:eastAsia="pl-PL"/>
                              </w:rPr>
                              <w:t xml:space="preserve">, and the highest in the case of </w:t>
                            </w:r>
                            <w:r w:rsidR="00986550" w:rsidRPr="00986550">
                              <w:rPr>
                                <w:rFonts w:eastAsia="Times New Roman" w:cs="Arial"/>
                                <w:color w:val="001D77"/>
                                <w:sz w:val="18"/>
                                <w:szCs w:val="19"/>
                                <w:lang w:val="en-GB" w:eastAsia="pl-PL"/>
                              </w:rPr>
                              <w:t>motorcycle, scooter, motorbike</w:t>
                            </w:r>
                            <w:r w:rsidR="00986550">
                              <w:rPr>
                                <w:rFonts w:eastAsia="Times New Roman" w:cs="Arial"/>
                                <w:color w:val="001D77"/>
                                <w:sz w:val="18"/>
                                <w:szCs w:val="19"/>
                                <w:lang w:val="en-GB" w:eastAsia="pl-PL"/>
                              </w:rPr>
                              <w:t xml:space="preserve">, </w:t>
                            </w:r>
                            <w:r>
                              <w:rPr>
                                <w:rFonts w:eastAsia="Times New Roman" w:cs="Arial"/>
                                <w:color w:val="001D77"/>
                                <w:sz w:val="18"/>
                                <w:szCs w:val="19"/>
                                <w:lang w:val="en-GB" w:eastAsia="pl-PL"/>
                              </w:rPr>
                              <w:t xml:space="preserve">game console, </w:t>
                            </w:r>
                            <w:r w:rsidR="00986550" w:rsidRPr="00986550">
                              <w:rPr>
                                <w:rFonts w:eastAsia="Times New Roman" w:cs="Arial"/>
                                <w:color w:val="001D77"/>
                                <w:sz w:val="18"/>
                                <w:szCs w:val="19"/>
                                <w:lang w:val="en-GB" w:eastAsia="pl-PL"/>
                              </w:rPr>
                              <w:t>printer, multifunction printer</w:t>
                            </w:r>
                            <w:r w:rsidR="00986550">
                              <w:rPr>
                                <w:rFonts w:eastAsia="Times New Roman" w:cs="Arial"/>
                                <w:color w:val="001D77"/>
                                <w:sz w:val="18"/>
                                <w:szCs w:val="19"/>
                                <w:lang w:val="en-GB" w:eastAsia="pl-PL"/>
                              </w:rPr>
                              <w:t xml:space="preserve"> </w:t>
                            </w:r>
                            <w:r>
                              <w:rPr>
                                <w:rFonts w:eastAsia="Times New Roman" w:cs="Arial"/>
                                <w:color w:val="001D77"/>
                                <w:sz w:val="18"/>
                                <w:szCs w:val="19"/>
                                <w:lang w:val="en-GB" w:eastAsia="pl-PL"/>
                              </w:rPr>
                              <w:t xml:space="preserve">as well as </w:t>
                            </w:r>
                            <w:r w:rsidR="00986550">
                              <w:rPr>
                                <w:rFonts w:eastAsia="Times New Roman" w:cs="Arial"/>
                                <w:color w:val="001D77"/>
                                <w:sz w:val="18"/>
                                <w:szCs w:val="19"/>
                                <w:lang w:val="en-GB" w:eastAsia="pl-PL"/>
                              </w:rPr>
                              <w:t>dishwasher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EE94FC6" id="Pole tekstowe 30" o:spid="_x0000_s1038" type="#_x0000_t202" style="position:absolute;margin-left:410.5pt;margin-top:6.5pt;width:135.85pt;height:192pt;z-index:-25148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" filled="f" stroked="f">
                <v:textbox>
                  <w:txbxContent>
                    <w:p w14:paraId="7EE9501E" w14:textId="2D880F1A" w:rsidR="00882B10" w:rsidRPr="00986550" w:rsidRDefault="00882B10" w:rsidP="00BB40E7">
                      <w:pPr>
                        <w:spacing w:after="0"/>
                        <w:rPr>
                          <w:rFonts w:eastAsia="Times New Roman" w:cs="Arial"/>
                          <w:color w:val="001D77"/>
                          <w:sz w:val="18"/>
                          <w:szCs w:val="19"/>
                          <w:lang w:val="en-GB" w:eastAsia="pl-PL"/>
                        </w:rPr>
                      </w:pPr>
                      <w:r w:rsidRPr="00FE5689">
                        <w:rPr>
                          <w:rFonts w:eastAsia="Times New Roman" w:cs="Arial"/>
                          <w:color w:val="001D77"/>
                          <w:sz w:val="18"/>
                          <w:szCs w:val="19"/>
                          <w:lang w:val="en-GB" w:eastAsia="pl-PL"/>
                        </w:rPr>
                        <w:t>In 202</w:t>
                      </w:r>
                      <w:r w:rsidR="00986550">
                        <w:rPr>
                          <w:rFonts w:eastAsia="Times New Roman" w:cs="Arial"/>
                          <w:color w:val="001D77"/>
                          <w:sz w:val="18"/>
                          <w:szCs w:val="19"/>
                          <w:lang w:val="en-GB" w:eastAsia="pl-PL"/>
                        </w:rPr>
                        <w:t>4</w:t>
                      </w:r>
                      <w:r w:rsidRPr="00FE5689">
                        <w:rPr>
                          <w:rFonts w:eastAsia="Times New Roman" w:cs="Arial"/>
                          <w:color w:val="001D77"/>
                          <w:sz w:val="18"/>
                          <w:szCs w:val="19"/>
                          <w:lang w:val="en-GB" w:eastAsia="pl-PL"/>
                        </w:rPr>
                        <w:t xml:space="preserve">, there was an increase in the </w:t>
                      </w:r>
                      <w:r>
                        <w:rPr>
                          <w:rFonts w:eastAsia="Times New Roman" w:cs="Arial"/>
                          <w:color w:val="001D77"/>
                          <w:sz w:val="18"/>
                          <w:szCs w:val="19"/>
                          <w:lang w:val="en-GB" w:eastAsia="pl-PL"/>
                        </w:rPr>
                        <w:t>number</w:t>
                      </w:r>
                      <w:r w:rsidRPr="00FE5689">
                        <w:rPr>
                          <w:rFonts w:eastAsia="Times New Roman" w:cs="Arial"/>
                          <w:color w:val="001D77"/>
                          <w:sz w:val="18"/>
                          <w:szCs w:val="19"/>
                          <w:lang w:val="en-GB" w:eastAsia="pl-PL"/>
                        </w:rPr>
                        <w:t xml:space="preserve"> of household</w:t>
                      </w:r>
                      <w:r>
                        <w:rPr>
                          <w:rFonts w:eastAsia="Times New Roman" w:cs="Arial"/>
                          <w:color w:val="001D77"/>
                          <w:sz w:val="18"/>
                          <w:szCs w:val="19"/>
                          <w:lang w:val="en-GB" w:eastAsia="pl-PL"/>
                        </w:rPr>
                        <w:t>s</w:t>
                      </w:r>
                      <w:r w:rsidRPr="00FE5689">
                        <w:rPr>
                          <w:rFonts w:eastAsia="Times New Roman" w:cs="Arial"/>
                          <w:color w:val="001D77"/>
                          <w:sz w:val="18"/>
                          <w:szCs w:val="19"/>
                          <w:lang w:val="en-GB" w:eastAsia="pl-PL"/>
                        </w:rPr>
                        <w:t xml:space="preserve"> equip</w:t>
                      </w:r>
                      <w:r>
                        <w:rPr>
                          <w:rFonts w:eastAsia="Times New Roman" w:cs="Arial"/>
                          <w:color w:val="001D77"/>
                          <w:sz w:val="18"/>
                          <w:szCs w:val="19"/>
                          <w:lang w:val="en-GB" w:eastAsia="pl-PL"/>
                        </w:rPr>
                        <w:t xml:space="preserve">ped </w:t>
                      </w:r>
                      <w:r w:rsidRPr="00E826E4">
                        <w:rPr>
                          <w:rFonts w:eastAsia="Times New Roman" w:cs="Arial"/>
                          <w:color w:val="001D77"/>
                          <w:sz w:val="18"/>
                          <w:szCs w:val="19"/>
                          <w:lang w:val="en-GB" w:eastAsia="pl-PL"/>
                        </w:rPr>
                        <w:t>with durable goods</w:t>
                      </w:r>
                      <w:r>
                        <w:rPr>
                          <w:rFonts w:eastAsia="Times New Roman" w:cs="Arial"/>
                          <w:color w:val="001D77"/>
                          <w:sz w:val="18"/>
                          <w:szCs w:val="19"/>
                          <w:lang w:val="en-GB" w:eastAsia="pl-PL"/>
                        </w:rPr>
                        <w:t xml:space="preserve">, and the highest in the case of </w:t>
                      </w:r>
                      <w:r w:rsidR="00986550" w:rsidRPr="00986550">
                        <w:rPr>
                          <w:rFonts w:eastAsia="Times New Roman" w:cs="Arial"/>
                          <w:color w:val="001D77"/>
                          <w:sz w:val="18"/>
                          <w:szCs w:val="19"/>
                          <w:lang w:val="en-GB" w:eastAsia="pl-PL"/>
                        </w:rPr>
                        <w:t>motorcycle, scooter, motorbike</w:t>
                      </w:r>
                      <w:r w:rsidR="00986550">
                        <w:rPr>
                          <w:rFonts w:eastAsia="Times New Roman" w:cs="Arial"/>
                          <w:color w:val="001D77"/>
                          <w:sz w:val="18"/>
                          <w:szCs w:val="19"/>
                          <w:lang w:val="en-GB" w:eastAsia="pl-PL"/>
                        </w:rPr>
                        <w:t xml:space="preserve">, </w:t>
                      </w:r>
                      <w:r>
                        <w:rPr>
                          <w:rFonts w:eastAsia="Times New Roman" w:cs="Arial"/>
                          <w:color w:val="001D77"/>
                          <w:sz w:val="18"/>
                          <w:szCs w:val="19"/>
                          <w:lang w:val="en-GB" w:eastAsia="pl-PL"/>
                        </w:rPr>
                        <w:t xml:space="preserve">game console, </w:t>
                      </w:r>
                      <w:r w:rsidR="00986550" w:rsidRPr="00986550">
                        <w:rPr>
                          <w:rFonts w:eastAsia="Times New Roman" w:cs="Arial"/>
                          <w:color w:val="001D77"/>
                          <w:sz w:val="18"/>
                          <w:szCs w:val="19"/>
                          <w:lang w:val="en-GB" w:eastAsia="pl-PL"/>
                        </w:rPr>
                        <w:t>printer, multifunction printer</w:t>
                      </w:r>
                      <w:r w:rsidR="00986550">
                        <w:rPr>
                          <w:rFonts w:eastAsia="Times New Roman" w:cs="Arial"/>
                          <w:color w:val="001D77"/>
                          <w:sz w:val="18"/>
                          <w:szCs w:val="19"/>
                          <w:lang w:val="en-GB" w:eastAsia="pl-PL"/>
                        </w:rPr>
                        <w:t xml:space="preserve"> </w:t>
                      </w:r>
                      <w:r>
                        <w:rPr>
                          <w:rFonts w:eastAsia="Times New Roman" w:cs="Arial"/>
                          <w:color w:val="001D77"/>
                          <w:sz w:val="18"/>
                          <w:szCs w:val="19"/>
                          <w:lang w:val="en-GB" w:eastAsia="pl-PL"/>
                        </w:rPr>
                        <w:t xml:space="preserve">as well as </w:t>
                      </w:r>
                      <w:r w:rsidR="00986550">
                        <w:rPr>
                          <w:rFonts w:eastAsia="Times New Roman" w:cs="Arial"/>
                          <w:color w:val="001D77"/>
                          <w:sz w:val="18"/>
                          <w:szCs w:val="19"/>
                          <w:lang w:val="en-GB" w:eastAsia="pl-PL"/>
                        </w:rPr>
                        <w:t>dishwasher</w:t>
                      </w:r>
                    </w:p>
                  </w:txbxContent>
                </v:textbox>
                <w10:wrap type="tight"/>
              </v:shape>
            </w:pict>
          </mc:Fallback>
        </mc:AlternateContent>
      </w:r>
      <w:r w:rsidR="00BB40E7" w:rsidRPr="00C0187E">
        <w:rPr>
          <w:rFonts w:ascii="Fira Sans SemiBold" w:hAnsi="Fira Sans SemiBold"/>
          <w:color w:val="001D77"/>
          <w:szCs w:val="19"/>
          <w:shd w:val="clear" w:color="auto" w:fill="FFFFFF"/>
          <w:lang w:val="en-GB"/>
        </w:rPr>
        <w:t>The equipment of household</w:t>
      </w:r>
      <w:r w:rsidR="007F25A3" w:rsidRPr="00C0187E">
        <w:rPr>
          <w:rFonts w:ascii="Fira Sans SemiBold" w:hAnsi="Fira Sans SemiBold"/>
          <w:color w:val="001D77"/>
          <w:szCs w:val="19"/>
          <w:shd w:val="clear" w:color="auto" w:fill="FFFFFF"/>
          <w:lang w:val="en-GB"/>
        </w:rPr>
        <w:t>s</w:t>
      </w:r>
      <w:r w:rsidR="00BB40E7" w:rsidRPr="00C0187E">
        <w:rPr>
          <w:rFonts w:ascii="Fira Sans SemiBold" w:hAnsi="Fira Sans SemiBold"/>
          <w:color w:val="001D77"/>
          <w:szCs w:val="19"/>
          <w:shd w:val="clear" w:color="auto" w:fill="FFFFFF"/>
          <w:lang w:val="en-GB"/>
        </w:rPr>
        <w:t xml:space="preserve"> with durable goods</w:t>
      </w:r>
      <w:r w:rsidR="009C099F">
        <w:rPr>
          <w:rFonts w:ascii="Fira Sans SemiBold" w:hAnsi="Fira Sans SemiBold"/>
          <w:color w:val="001D77"/>
          <w:szCs w:val="19"/>
          <w:shd w:val="clear" w:color="auto" w:fill="FFFFFF"/>
          <w:lang w:val="en-GB"/>
        </w:rPr>
        <w:t xml:space="preserve"> </w:t>
      </w:r>
    </w:p>
    <w:p w14:paraId="35D4FD42" w14:textId="45548BC5" w:rsidR="009E51A3" w:rsidRDefault="000D3623" w:rsidP="00BB40E7">
      <w:pPr>
        <w:rPr>
          <w:rFonts w:cs="Arial"/>
          <w:bCs/>
          <w:szCs w:val="19"/>
          <w:lang w:val="en-GB"/>
        </w:rPr>
      </w:pPr>
      <w:r w:rsidRPr="000D3623">
        <w:rPr>
          <w:rFonts w:cs="Arial"/>
          <w:bCs/>
          <w:szCs w:val="19"/>
          <w:lang w:val="en-GB"/>
        </w:rPr>
        <w:t>In 202</w:t>
      </w:r>
      <w:r w:rsidR="00D37C49">
        <w:rPr>
          <w:rFonts w:cs="Arial"/>
          <w:bCs/>
          <w:szCs w:val="19"/>
          <w:lang w:val="en-GB"/>
        </w:rPr>
        <w:t>4</w:t>
      </w:r>
      <w:r w:rsidRPr="000D3623">
        <w:rPr>
          <w:rFonts w:cs="Arial"/>
          <w:bCs/>
          <w:szCs w:val="19"/>
          <w:lang w:val="en-GB"/>
        </w:rPr>
        <w:t xml:space="preserve">, </w:t>
      </w:r>
      <w:r w:rsidR="0016712C">
        <w:rPr>
          <w:rFonts w:cs="Arial"/>
          <w:bCs/>
          <w:szCs w:val="19"/>
          <w:lang w:val="en-GB"/>
        </w:rPr>
        <w:t xml:space="preserve">an </w:t>
      </w:r>
      <w:r w:rsidRPr="000D3623">
        <w:rPr>
          <w:rFonts w:cs="Arial"/>
          <w:bCs/>
          <w:szCs w:val="19"/>
          <w:lang w:val="en-GB"/>
        </w:rPr>
        <w:t xml:space="preserve">increase in the </w:t>
      </w:r>
      <w:r w:rsidR="007600E0">
        <w:rPr>
          <w:rFonts w:cs="Arial"/>
          <w:bCs/>
          <w:szCs w:val="19"/>
          <w:lang w:val="en-GB"/>
        </w:rPr>
        <w:t>number</w:t>
      </w:r>
      <w:r w:rsidRPr="000D3623">
        <w:rPr>
          <w:rFonts w:cs="Arial"/>
          <w:bCs/>
          <w:szCs w:val="19"/>
          <w:lang w:val="en-GB"/>
        </w:rPr>
        <w:t xml:space="preserve"> of household</w:t>
      </w:r>
      <w:r w:rsidR="007600E0">
        <w:rPr>
          <w:rFonts w:cs="Arial"/>
          <w:bCs/>
          <w:szCs w:val="19"/>
          <w:lang w:val="en-GB"/>
        </w:rPr>
        <w:t>s</w:t>
      </w:r>
      <w:r w:rsidRPr="000D3623">
        <w:rPr>
          <w:rFonts w:cs="Arial"/>
          <w:bCs/>
          <w:szCs w:val="19"/>
          <w:lang w:val="en-GB"/>
        </w:rPr>
        <w:t xml:space="preserve"> </w:t>
      </w:r>
      <w:r w:rsidR="003C7300" w:rsidRPr="000D3623">
        <w:rPr>
          <w:rFonts w:cs="Arial"/>
          <w:bCs/>
          <w:szCs w:val="19"/>
          <w:lang w:val="en-GB"/>
        </w:rPr>
        <w:t>equip</w:t>
      </w:r>
      <w:r w:rsidR="007600E0">
        <w:rPr>
          <w:rFonts w:cs="Arial"/>
          <w:bCs/>
          <w:szCs w:val="19"/>
          <w:lang w:val="en-GB"/>
        </w:rPr>
        <w:t>ped</w:t>
      </w:r>
      <w:r w:rsidR="003C7300" w:rsidRPr="000D3623">
        <w:rPr>
          <w:rFonts w:cs="Arial"/>
          <w:bCs/>
          <w:szCs w:val="19"/>
          <w:lang w:val="en-GB"/>
        </w:rPr>
        <w:t xml:space="preserve"> </w:t>
      </w:r>
      <w:r w:rsidRPr="000D3623">
        <w:rPr>
          <w:rFonts w:cs="Arial"/>
          <w:bCs/>
          <w:szCs w:val="19"/>
          <w:lang w:val="en-GB"/>
        </w:rPr>
        <w:t xml:space="preserve">with </w:t>
      </w:r>
      <w:r w:rsidR="009E51A3">
        <w:rPr>
          <w:rFonts w:cs="Arial"/>
          <w:bCs/>
          <w:szCs w:val="19"/>
          <w:lang w:val="en-GB"/>
        </w:rPr>
        <w:t>durable goods</w:t>
      </w:r>
      <w:r w:rsidR="0016712C">
        <w:rPr>
          <w:rFonts w:cs="Arial"/>
          <w:bCs/>
          <w:szCs w:val="19"/>
          <w:lang w:val="en-GB"/>
        </w:rPr>
        <w:t xml:space="preserve"> was noted.</w:t>
      </w:r>
      <w:r w:rsidR="009E51A3">
        <w:rPr>
          <w:rFonts w:cs="Arial"/>
          <w:bCs/>
          <w:szCs w:val="19"/>
          <w:lang w:val="en-GB"/>
        </w:rPr>
        <w:t xml:space="preserve"> </w:t>
      </w:r>
      <w:r w:rsidR="0016712C">
        <w:rPr>
          <w:rFonts w:cs="Arial"/>
          <w:bCs/>
          <w:szCs w:val="19"/>
          <w:lang w:val="en-GB"/>
        </w:rPr>
        <w:t>T</w:t>
      </w:r>
      <w:r w:rsidR="0016712C" w:rsidRPr="000D3623">
        <w:rPr>
          <w:rFonts w:cs="Arial"/>
          <w:bCs/>
          <w:szCs w:val="19"/>
          <w:lang w:val="en-GB"/>
        </w:rPr>
        <w:t>he</w:t>
      </w:r>
      <w:r w:rsidR="0016712C">
        <w:rPr>
          <w:rFonts w:cs="Arial"/>
          <w:bCs/>
          <w:szCs w:val="19"/>
          <w:lang w:val="en-GB"/>
        </w:rPr>
        <w:t xml:space="preserve"> highest</w:t>
      </w:r>
      <w:r w:rsidR="0016712C" w:rsidRPr="000D3623">
        <w:rPr>
          <w:rFonts w:cs="Arial"/>
          <w:bCs/>
          <w:szCs w:val="19"/>
          <w:lang w:val="en-GB"/>
        </w:rPr>
        <w:t xml:space="preserve"> </w:t>
      </w:r>
      <w:r w:rsidR="0016712C">
        <w:rPr>
          <w:rFonts w:cs="Arial"/>
          <w:bCs/>
          <w:szCs w:val="19"/>
          <w:lang w:val="en-GB"/>
        </w:rPr>
        <w:t xml:space="preserve">growth </w:t>
      </w:r>
      <w:r w:rsidR="009E51A3">
        <w:rPr>
          <w:rFonts w:cs="Arial"/>
          <w:bCs/>
          <w:szCs w:val="19"/>
          <w:lang w:val="en-GB"/>
        </w:rPr>
        <w:t xml:space="preserve">occurred in the case of </w:t>
      </w:r>
      <w:r w:rsidR="00D37C49">
        <w:rPr>
          <w:rFonts w:cs="Arial"/>
          <w:bCs/>
          <w:szCs w:val="19"/>
          <w:lang w:val="en-GB"/>
        </w:rPr>
        <w:t>motorcycle,</w:t>
      </w:r>
      <w:r w:rsidR="00D37C49" w:rsidRPr="000D3623">
        <w:rPr>
          <w:rFonts w:cs="Arial"/>
          <w:bCs/>
          <w:szCs w:val="19"/>
          <w:lang w:val="en-GB"/>
        </w:rPr>
        <w:t xml:space="preserve"> scooter, motorbike (by </w:t>
      </w:r>
      <w:r w:rsidR="00D37C49">
        <w:rPr>
          <w:rFonts w:cs="Arial"/>
          <w:bCs/>
          <w:szCs w:val="19"/>
          <w:lang w:val="en-GB"/>
        </w:rPr>
        <w:t>15.7</w:t>
      </w:r>
      <w:r w:rsidR="00D37C49" w:rsidRPr="000D3623">
        <w:rPr>
          <w:rFonts w:cs="Arial"/>
          <w:bCs/>
          <w:szCs w:val="19"/>
          <w:lang w:val="en-GB"/>
        </w:rPr>
        <w:t>%)</w:t>
      </w:r>
      <w:r w:rsidR="00D37C49">
        <w:rPr>
          <w:rFonts w:cs="Arial"/>
          <w:bCs/>
          <w:szCs w:val="19"/>
          <w:lang w:val="en-GB"/>
        </w:rPr>
        <w:t xml:space="preserve">, </w:t>
      </w:r>
      <w:r w:rsidR="0016712C">
        <w:rPr>
          <w:rFonts w:cs="Arial"/>
          <w:bCs/>
          <w:szCs w:val="19"/>
          <w:lang w:val="en-GB"/>
        </w:rPr>
        <w:t xml:space="preserve">a game console (by </w:t>
      </w:r>
      <w:r w:rsidR="00D37C49">
        <w:rPr>
          <w:rFonts w:cs="Arial"/>
          <w:bCs/>
          <w:szCs w:val="19"/>
          <w:lang w:val="en-GB"/>
        </w:rPr>
        <w:t>14.9</w:t>
      </w:r>
      <w:r w:rsidR="0016712C">
        <w:rPr>
          <w:rFonts w:cs="Arial"/>
          <w:bCs/>
          <w:szCs w:val="19"/>
          <w:lang w:val="en-GB"/>
        </w:rPr>
        <w:t>%),</w:t>
      </w:r>
      <w:r w:rsidR="0016712C" w:rsidRPr="0016712C">
        <w:rPr>
          <w:rFonts w:cs="Arial"/>
          <w:bCs/>
          <w:szCs w:val="19"/>
          <w:lang w:val="en-GB"/>
        </w:rPr>
        <w:t xml:space="preserve"> </w:t>
      </w:r>
      <w:r w:rsidR="00D37C49">
        <w:rPr>
          <w:rFonts w:cs="Arial"/>
          <w:bCs/>
          <w:szCs w:val="19"/>
          <w:lang w:val="en-GB"/>
        </w:rPr>
        <w:t>p</w:t>
      </w:r>
      <w:r w:rsidR="00D37C49" w:rsidRPr="00D37C49">
        <w:rPr>
          <w:rFonts w:cs="Arial"/>
          <w:bCs/>
          <w:szCs w:val="19"/>
          <w:lang w:val="en-GB"/>
        </w:rPr>
        <w:t>rinter, multifunction printer</w:t>
      </w:r>
      <w:r w:rsidR="00D37C49">
        <w:rPr>
          <w:rFonts w:cs="Arial"/>
          <w:bCs/>
          <w:szCs w:val="19"/>
          <w:lang w:val="en-GB"/>
        </w:rPr>
        <w:t xml:space="preserve"> (by 6.8%) as well as dishwasher (by 6.0%)</w:t>
      </w:r>
      <w:r w:rsidR="003B2361">
        <w:rPr>
          <w:rFonts w:cs="Arial"/>
          <w:bCs/>
          <w:szCs w:val="19"/>
          <w:lang w:val="en-GB"/>
        </w:rPr>
        <w:t xml:space="preserve"> </w:t>
      </w:r>
      <w:r w:rsidR="00D37C49">
        <w:rPr>
          <w:rFonts w:cs="Arial"/>
          <w:bCs/>
          <w:szCs w:val="19"/>
          <w:lang w:val="en-GB"/>
        </w:rPr>
        <w:t>whereas</w:t>
      </w:r>
      <w:r w:rsidR="00D37C49" w:rsidRPr="00D37C49">
        <w:rPr>
          <w:rFonts w:cs="Arial"/>
          <w:bCs/>
          <w:szCs w:val="19"/>
          <w:lang w:val="en-GB"/>
        </w:rPr>
        <w:t xml:space="preserve"> </w:t>
      </w:r>
      <w:r w:rsidR="00D37C49">
        <w:rPr>
          <w:rFonts w:cs="Arial"/>
          <w:bCs/>
          <w:szCs w:val="19"/>
          <w:lang w:val="en-GB"/>
        </w:rPr>
        <w:t>the decrease occurred in the case of c</w:t>
      </w:r>
      <w:r w:rsidR="00D37C49" w:rsidRPr="00D37C49">
        <w:rPr>
          <w:rFonts w:cs="Arial"/>
          <w:bCs/>
          <w:szCs w:val="19"/>
          <w:lang w:val="en-GB"/>
        </w:rPr>
        <w:t>able or satellite television</w:t>
      </w:r>
      <w:r w:rsidR="00D37C49">
        <w:rPr>
          <w:rFonts w:cs="Arial"/>
          <w:bCs/>
          <w:szCs w:val="19"/>
          <w:lang w:val="en-GB"/>
        </w:rPr>
        <w:t xml:space="preserve"> (by 0.9%) and a</w:t>
      </w:r>
      <w:r w:rsidR="00D37C49" w:rsidRPr="00D37C49">
        <w:rPr>
          <w:rFonts w:cs="Arial"/>
          <w:bCs/>
          <w:szCs w:val="19"/>
          <w:lang w:val="en-GB"/>
        </w:rPr>
        <w:t xml:space="preserve">utomatic washing machine </w:t>
      </w:r>
      <w:r w:rsidR="00D37C49">
        <w:rPr>
          <w:rFonts w:cs="Arial"/>
          <w:bCs/>
          <w:szCs w:val="19"/>
          <w:lang w:val="en-GB"/>
        </w:rPr>
        <w:t xml:space="preserve">(by 0.5%). In the case of such goods as: </w:t>
      </w:r>
      <w:r w:rsidR="0016712C">
        <w:rPr>
          <w:rFonts w:cs="Arial"/>
          <w:bCs/>
          <w:szCs w:val="19"/>
          <w:lang w:val="en-GB"/>
        </w:rPr>
        <w:t>e</w:t>
      </w:r>
      <w:r w:rsidR="0016712C" w:rsidRPr="00625B77">
        <w:rPr>
          <w:rFonts w:cs="Arial"/>
          <w:bCs/>
          <w:szCs w:val="19"/>
          <w:lang w:val="en-GB"/>
        </w:rPr>
        <w:t>quipment for reception, recording and reproduction of sound</w:t>
      </w:r>
      <w:r w:rsidR="00D37C49">
        <w:rPr>
          <w:rFonts w:cs="Arial"/>
          <w:bCs/>
          <w:szCs w:val="19"/>
          <w:lang w:val="en-GB"/>
        </w:rPr>
        <w:t>,</w:t>
      </w:r>
      <w:r w:rsidR="0016712C" w:rsidRPr="00625B77">
        <w:rPr>
          <w:rFonts w:cs="Arial"/>
          <w:bCs/>
          <w:szCs w:val="19"/>
          <w:lang w:val="en-GB"/>
        </w:rPr>
        <w:t xml:space="preserve"> </w:t>
      </w:r>
      <w:r w:rsidR="00D37C49">
        <w:rPr>
          <w:rFonts w:cs="Arial"/>
          <w:bCs/>
          <w:szCs w:val="19"/>
          <w:lang w:val="en-GB"/>
        </w:rPr>
        <w:t xml:space="preserve">mobile phone (of which smartphone), </w:t>
      </w:r>
      <w:r w:rsidR="00986550">
        <w:rPr>
          <w:rFonts w:cs="Arial"/>
          <w:bCs/>
          <w:szCs w:val="19"/>
          <w:lang w:val="en-GB"/>
        </w:rPr>
        <w:t>TV</w:t>
      </w:r>
      <w:r w:rsidR="00D37C49" w:rsidRPr="00D37C49">
        <w:rPr>
          <w:rFonts w:cs="Arial"/>
          <w:bCs/>
          <w:szCs w:val="19"/>
          <w:lang w:val="en-GB"/>
        </w:rPr>
        <w:t xml:space="preserve"> set</w:t>
      </w:r>
      <w:r w:rsidR="00D37C49">
        <w:rPr>
          <w:rFonts w:cs="Arial"/>
          <w:bCs/>
          <w:szCs w:val="19"/>
          <w:lang w:val="en-GB"/>
        </w:rPr>
        <w:t xml:space="preserve">, </w:t>
      </w:r>
      <w:r w:rsidR="00986550">
        <w:rPr>
          <w:rFonts w:cs="Arial"/>
          <w:bCs/>
          <w:szCs w:val="19"/>
          <w:lang w:val="en-GB"/>
        </w:rPr>
        <w:t>p</w:t>
      </w:r>
      <w:r w:rsidR="00986550" w:rsidRPr="00986550">
        <w:rPr>
          <w:rFonts w:cs="Arial"/>
          <w:bCs/>
          <w:szCs w:val="19"/>
          <w:lang w:val="en-GB"/>
        </w:rPr>
        <w:t>ersonal computer, laptop, tablet</w:t>
      </w:r>
      <w:r w:rsidR="00986550">
        <w:rPr>
          <w:rFonts w:cs="Arial"/>
          <w:bCs/>
          <w:szCs w:val="19"/>
          <w:lang w:val="en-GB"/>
        </w:rPr>
        <w:t>, access to the Internet, m</w:t>
      </w:r>
      <w:r w:rsidR="00986550" w:rsidRPr="00986550">
        <w:rPr>
          <w:rFonts w:cs="Arial"/>
          <w:bCs/>
          <w:szCs w:val="19"/>
          <w:lang w:val="en-GB"/>
        </w:rPr>
        <w:t>icrowave oven</w:t>
      </w:r>
      <w:r w:rsidR="00986550">
        <w:rPr>
          <w:rFonts w:cs="Arial"/>
          <w:bCs/>
          <w:szCs w:val="19"/>
          <w:lang w:val="en-GB"/>
        </w:rPr>
        <w:t>, bicycle (excluding children’s),</w:t>
      </w:r>
      <w:r w:rsidR="00986550" w:rsidRPr="00986550">
        <w:rPr>
          <w:rFonts w:cs="Arial"/>
          <w:bCs/>
          <w:szCs w:val="19"/>
          <w:lang w:val="en-GB"/>
        </w:rPr>
        <w:t xml:space="preserve"> </w:t>
      </w:r>
      <w:r w:rsidR="00986550">
        <w:rPr>
          <w:rFonts w:cs="Arial"/>
          <w:bCs/>
          <w:szCs w:val="19"/>
          <w:lang w:val="en-GB"/>
        </w:rPr>
        <w:t>passenger car</w:t>
      </w:r>
      <w:r w:rsidR="00B72F4F">
        <w:rPr>
          <w:rFonts w:cs="Arial"/>
          <w:bCs/>
          <w:szCs w:val="19"/>
          <w:lang w:val="en-GB"/>
        </w:rPr>
        <w:t>,</w:t>
      </w:r>
      <w:r w:rsidR="00986550">
        <w:rPr>
          <w:rFonts w:cs="Arial"/>
          <w:bCs/>
          <w:szCs w:val="19"/>
          <w:lang w:val="en-GB"/>
        </w:rPr>
        <w:t xml:space="preserve"> </w:t>
      </w:r>
      <w:r w:rsidR="000D07D5">
        <w:rPr>
          <w:rFonts w:cs="Arial"/>
          <w:bCs/>
          <w:szCs w:val="19"/>
          <w:lang w:val="en-GB"/>
        </w:rPr>
        <w:t xml:space="preserve">the </w:t>
      </w:r>
      <w:r w:rsidR="0053510F">
        <w:rPr>
          <w:rFonts w:cs="Arial"/>
          <w:bCs/>
          <w:szCs w:val="19"/>
          <w:lang w:val="en-GB"/>
        </w:rPr>
        <w:t>differences</w:t>
      </w:r>
      <w:r w:rsidR="00B72F4F">
        <w:rPr>
          <w:rFonts w:cs="Arial"/>
          <w:bCs/>
          <w:szCs w:val="19"/>
          <w:lang w:val="en-GB"/>
        </w:rPr>
        <w:t xml:space="preserve"> </w:t>
      </w:r>
      <w:r w:rsidR="003B2361">
        <w:rPr>
          <w:rFonts w:cs="Arial"/>
          <w:bCs/>
          <w:szCs w:val="19"/>
          <w:lang w:val="en-GB"/>
        </w:rPr>
        <w:t xml:space="preserve">in the </w:t>
      </w:r>
      <w:r w:rsidR="000D07D5">
        <w:rPr>
          <w:rFonts w:cs="Arial"/>
          <w:bCs/>
          <w:szCs w:val="19"/>
          <w:lang w:val="en-GB"/>
        </w:rPr>
        <w:t>degree of the households equipment between 202</w:t>
      </w:r>
      <w:r w:rsidR="00986550">
        <w:rPr>
          <w:rFonts w:cs="Arial"/>
          <w:bCs/>
          <w:szCs w:val="19"/>
          <w:lang w:val="en-GB"/>
        </w:rPr>
        <w:t>3</w:t>
      </w:r>
      <w:r w:rsidR="000D07D5">
        <w:rPr>
          <w:rFonts w:cs="Arial"/>
          <w:bCs/>
          <w:szCs w:val="19"/>
          <w:lang w:val="en-GB"/>
        </w:rPr>
        <w:t xml:space="preserve"> and 202</w:t>
      </w:r>
      <w:r w:rsidR="00986550">
        <w:rPr>
          <w:rFonts w:cs="Arial"/>
          <w:bCs/>
          <w:szCs w:val="19"/>
          <w:lang w:val="en-GB"/>
        </w:rPr>
        <w:t>4</w:t>
      </w:r>
      <w:r w:rsidR="000D07D5">
        <w:rPr>
          <w:rFonts w:cs="Arial"/>
          <w:bCs/>
          <w:szCs w:val="19"/>
          <w:lang w:val="en-GB"/>
        </w:rPr>
        <w:t xml:space="preserve"> </w:t>
      </w:r>
      <w:r w:rsidR="0053510F">
        <w:rPr>
          <w:rFonts w:cs="Arial"/>
          <w:bCs/>
          <w:szCs w:val="19"/>
          <w:lang w:val="en-GB"/>
        </w:rPr>
        <w:t>were</w:t>
      </w:r>
      <w:r w:rsidR="000D07D5">
        <w:rPr>
          <w:rFonts w:cs="Arial"/>
          <w:bCs/>
          <w:szCs w:val="19"/>
          <w:lang w:val="en-GB"/>
        </w:rPr>
        <w:t xml:space="preserve"> less significant and ranged from 0.</w:t>
      </w:r>
      <w:r w:rsidR="00986550">
        <w:rPr>
          <w:rFonts w:cs="Arial"/>
          <w:bCs/>
          <w:szCs w:val="19"/>
          <w:lang w:val="en-GB"/>
        </w:rPr>
        <w:t>0</w:t>
      </w:r>
      <w:r w:rsidR="000D07D5">
        <w:rPr>
          <w:rFonts w:cs="Arial"/>
          <w:bCs/>
          <w:szCs w:val="19"/>
          <w:lang w:val="en-GB"/>
        </w:rPr>
        <w:t xml:space="preserve"> percentage points to +</w:t>
      </w:r>
      <w:r w:rsidR="00986550">
        <w:rPr>
          <w:rFonts w:cs="Arial"/>
          <w:bCs/>
          <w:szCs w:val="19"/>
          <w:lang w:val="en-GB"/>
        </w:rPr>
        <w:t>2.9</w:t>
      </w:r>
      <w:r w:rsidR="000D07D5">
        <w:rPr>
          <w:rFonts w:cs="Arial"/>
          <w:bCs/>
          <w:szCs w:val="19"/>
          <w:lang w:val="en-GB"/>
        </w:rPr>
        <w:t xml:space="preserve"> percentage points.</w:t>
      </w:r>
    </w:p>
    <w:p w14:paraId="7EE94F49" w14:textId="77777777" w:rsidR="00BB40E7" w:rsidRDefault="00BA3B45" w:rsidP="00BB40E7">
      <w:pPr>
        <w:rPr>
          <w:rFonts w:cs="Arial"/>
          <w:szCs w:val="19"/>
          <w:lang w:val="en-GB"/>
        </w:rPr>
      </w:pPr>
      <w:r w:rsidRPr="006E1C16">
        <w:rPr>
          <w:rFonts w:cs="Arial"/>
          <w:bCs/>
          <w:szCs w:val="19"/>
          <w:lang w:val="en-GB"/>
        </w:rPr>
        <w:t>The</w:t>
      </w:r>
      <w:r w:rsidR="00B730D5">
        <w:rPr>
          <w:rFonts w:cs="Arial"/>
          <w:bCs/>
          <w:szCs w:val="19"/>
          <w:lang w:val="en-GB"/>
        </w:rPr>
        <w:t xml:space="preserve"> level of</w:t>
      </w:r>
      <w:r w:rsidRPr="006E1C16">
        <w:rPr>
          <w:rFonts w:cs="Arial"/>
          <w:bCs/>
          <w:szCs w:val="19"/>
          <w:lang w:val="en-GB"/>
        </w:rPr>
        <w:t xml:space="preserve"> </w:t>
      </w:r>
      <w:r w:rsidR="00B730D5" w:rsidRPr="006E1C16">
        <w:rPr>
          <w:rFonts w:cs="Arial"/>
          <w:bCs/>
          <w:szCs w:val="19"/>
          <w:lang w:val="en-GB"/>
        </w:rPr>
        <w:t xml:space="preserve">household </w:t>
      </w:r>
      <w:r w:rsidRPr="006E1C16">
        <w:rPr>
          <w:rFonts w:cs="Arial"/>
          <w:bCs/>
          <w:szCs w:val="19"/>
          <w:lang w:val="en-GB"/>
        </w:rPr>
        <w:t>equipment</w:t>
      </w:r>
      <w:r w:rsidR="00BB40E7" w:rsidRPr="006E1C16">
        <w:rPr>
          <w:rFonts w:cs="Arial"/>
          <w:bCs/>
          <w:szCs w:val="19"/>
          <w:lang w:val="en-GB"/>
        </w:rPr>
        <w:t xml:space="preserve"> with durable goods largely depends on </w:t>
      </w:r>
      <w:r w:rsidR="00B730D5">
        <w:rPr>
          <w:rFonts w:cs="Arial"/>
          <w:bCs/>
          <w:szCs w:val="19"/>
          <w:lang w:val="en-GB"/>
        </w:rPr>
        <w:t>their</w:t>
      </w:r>
      <w:r w:rsidR="00BB40E7" w:rsidRPr="006E1C16">
        <w:rPr>
          <w:rFonts w:cs="Arial"/>
          <w:bCs/>
          <w:szCs w:val="19"/>
          <w:lang w:val="en-GB"/>
        </w:rPr>
        <w:t xml:space="preserve"> financial situation.</w:t>
      </w:r>
    </w:p>
    <w:p w14:paraId="6E0A3593" w14:textId="7FA6DE1F" w:rsidR="00986550" w:rsidRDefault="005B630A" w:rsidP="00BB40E7">
      <w:pPr>
        <w:rPr>
          <w:rFonts w:cs="Arial"/>
          <w:bCs/>
          <w:szCs w:val="19"/>
          <w:lang w:val="en-GB"/>
        </w:rPr>
      </w:pPr>
      <w:r w:rsidRPr="005C7565">
        <w:rPr>
          <w:rFonts w:cs="Arial"/>
          <w:bCs/>
          <w:szCs w:val="19"/>
          <w:lang w:val="en-GB"/>
        </w:rPr>
        <w:t>The richest households (5th quintile group) were better equipped</w:t>
      </w:r>
      <w:r w:rsidR="000D07D5">
        <w:rPr>
          <w:rFonts w:cs="Arial"/>
          <w:bCs/>
          <w:szCs w:val="19"/>
          <w:lang w:val="en-GB"/>
        </w:rPr>
        <w:t xml:space="preserve"> with durable goods</w:t>
      </w:r>
      <w:r w:rsidRPr="005C7565">
        <w:rPr>
          <w:rFonts w:cs="Arial"/>
          <w:bCs/>
          <w:szCs w:val="19"/>
          <w:lang w:val="en-GB"/>
        </w:rPr>
        <w:t xml:space="preserve"> than the poorest households (1st quintile group)</w:t>
      </w:r>
      <w:r w:rsidR="00986550">
        <w:rPr>
          <w:rFonts w:cs="Arial"/>
          <w:bCs/>
          <w:szCs w:val="19"/>
          <w:lang w:val="en-GB"/>
        </w:rPr>
        <w:t xml:space="preserve">, and </w:t>
      </w:r>
      <w:r w:rsidRPr="005C7565">
        <w:rPr>
          <w:rFonts w:cs="Arial"/>
          <w:bCs/>
          <w:szCs w:val="19"/>
          <w:lang w:val="en-GB"/>
        </w:rPr>
        <w:t>the differences in the degree of equipment between 5th and 1st quintile group</w:t>
      </w:r>
      <w:r w:rsidR="00B730D5">
        <w:rPr>
          <w:rFonts w:cs="Arial"/>
          <w:bCs/>
          <w:szCs w:val="19"/>
          <w:lang w:val="en-GB"/>
        </w:rPr>
        <w:t>s</w:t>
      </w:r>
      <w:r w:rsidRPr="005C7565">
        <w:rPr>
          <w:rFonts w:cs="Arial"/>
          <w:bCs/>
          <w:szCs w:val="19"/>
          <w:lang w:val="en-GB"/>
        </w:rPr>
        <w:t xml:space="preserve"> </w:t>
      </w:r>
      <w:r w:rsidR="00986550">
        <w:rPr>
          <w:rFonts w:cs="Arial"/>
          <w:bCs/>
          <w:szCs w:val="19"/>
          <w:lang w:val="en-GB"/>
        </w:rPr>
        <w:t>in</w:t>
      </w:r>
      <w:r w:rsidRPr="005C7565">
        <w:rPr>
          <w:rFonts w:cs="Arial"/>
          <w:bCs/>
          <w:szCs w:val="19"/>
          <w:lang w:val="en-GB"/>
        </w:rPr>
        <w:t xml:space="preserve">creased in comparison </w:t>
      </w:r>
      <w:r w:rsidR="00B730D5">
        <w:rPr>
          <w:rFonts w:cs="Arial"/>
          <w:bCs/>
          <w:szCs w:val="19"/>
          <w:lang w:val="en-GB"/>
        </w:rPr>
        <w:t>with</w:t>
      </w:r>
      <w:r w:rsidRPr="005C7565">
        <w:rPr>
          <w:rFonts w:cs="Arial"/>
          <w:bCs/>
          <w:szCs w:val="19"/>
          <w:lang w:val="en-GB"/>
        </w:rPr>
        <w:t xml:space="preserve"> 20</w:t>
      </w:r>
      <w:r w:rsidR="00625B77">
        <w:rPr>
          <w:rFonts w:cs="Arial"/>
          <w:bCs/>
          <w:szCs w:val="19"/>
          <w:lang w:val="en-GB"/>
        </w:rPr>
        <w:t>2</w:t>
      </w:r>
      <w:r w:rsidR="00986550">
        <w:rPr>
          <w:rFonts w:cs="Arial"/>
          <w:bCs/>
          <w:szCs w:val="19"/>
          <w:lang w:val="en-GB"/>
        </w:rPr>
        <w:t>3</w:t>
      </w:r>
      <w:r w:rsidRPr="005C7565">
        <w:rPr>
          <w:rFonts w:cs="Arial"/>
          <w:bCs/>
          <w:szCs w:val="19"/>
          <w:lang w:val="en-GB"/>
        </w:rPr>
        <w:t xml:space="preserve">, the most </w:t>
      </w:r>
      <w:r w:rsidR="005C02D8">
        <w:rPr>
          <w:rFonts w:cs="Arial"/>
          <w:bCs/>
          <w:szCs w:val="19"/>
          <w:lang w:val="en-GB"/>
        </w:rPr>
        <w:t xml:space="preserve">in the case of </w:t>
      </w:r>
      <w:r w:rsidR="00986550">
        <w:rPr>
          <w:rFonts w:cs="Arial"/>
          <w:bCs/>
          <w:szCs w:val="19"/>
          <w:lang w:val="en-GB"/>
        </w:rPr>
        <w:t xml:space="preserve">access to the Internet – by 2.0 percentage points and </w:t>
      </w:r>
      <w:r w:rsidR="006D670B">
        <w:rPr>
          <w:rFonts w:cs="Arial"/>
          <w:bCs/>
          <w:szCs w:val="19"/>
          <w:lang w:val="en-GB"/>
        </w:rPr>
        <w:t xml:space="preserve">having a </w:t>
      </w:r>
      <w:r w:rsidR="00986550">
        <w:rPr>
          <w:rFonts w:cs="Arial"/>
          <w:bCs/>
          <w:szCs w:val="19"/>
          <w:lang w:val="en-GB"/>
        </w:rPr>
        <w:t xml:space="preserve">smartphone – by 1.9 percentage points. In the case of TV set the poorest households (1st quintile group) were better </w:t>
      </w:r>
      <w:r w:rsidR="00FC6ED0">
        <w:rPr>
          <w:rFonts w:cs="Arial"/>
          <w:bCs/>
          <w:szCs w:val="19"/>
          <w:lang w:val="en-GB"/>
        </w:rPr>
        <w:t>e</w:t>
      </w:r>
      <w:r w:rsidR="00986550">
        <w:rPr>
          <w:rFonts w:cs="Arial"/>
          <w:bCs/>
          <w:szCs w:val="19"/>
          <w:lang w:val="en-GB"/>
        </w:rPr>
        <w:t xml:space="preserve">quipped than the richest households, and the difference in equipment increased </w:t>
      </w:r>
      <w:r w:rsidR="00951D9D">
        <w:rPr>
          <w:rFonts w:cs="Arial"/>
          <w:bCs/>
          <w:szCs w:val="19"/>
          <w:lang w:val="en-GB"/>
        </w:rPr>
        <w:t>in comparison with 2023 – by 2.1 percentage points.</w:t>
      </w:r>
    </w:p>
    <w:p w14:paraId="7EE94F4C" w14:textId="41907EEC" w:rsidR="00BB40E7" w:rsidRPr="005C7565" w:rsidRDefault="00BD0818" w:rsidP="00DC28C6">
      <w:pPr>
        <w:spacing w:before="360" w:after="360" w:line="240" w:lineRule="auto"/>
        <w:rPr>
          <w:szCs w:val="19"/>
          <w:shd w:val="clear" w:color="auto" w:fill="FFFFFF"/>
        </w:rPr>
      </w:pPr>
      <w:r>
        <w:rPr>
          <w:noProof/>
          <w:lang w:eastAsia="pl-PL"/>
        </w:rPr>
        <w:drawing>
          <wp:inline distT="0" distB="0" distL="0" distR="0" wp14:anchorId="5F61F208" wp14:editId="6B781DF6">
            <wp:extent cx="5122545" cy="2771775"/>
            <wp:effectExtent l="0" t="0" r="1905" b="0"/>
            <wp:docPr id="41" name="Wykres 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00000000-0008-0000-0C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AA2A6D" w14:textId="17C26993" w:rsidR="00D641BC" w:rsidRPr="00990DAA" w:rsidRDefault="00BA5071" w:rsidP="00BB40E7">
      <w:pPr>
        <w:rPr>
          <w:rFonts w:cs="Arial"/>
          <w:bCs/>
          <w:spacing w:val="-1"/>
          <w:szCs w:val="19"/>
          <w:lang w:val="en-GB"/>
        </w:rPr>
      </w:pPr>
      <w:r w:rsidRPr="00990DAA">
        <w:rPr>
          <w:rFonts w:cs="Arial"/>
          <w:bCs/>
          <w:spacing w:val="-1"/>
          <w:szCs w:val="19"/>
          <w:lang w:val="en-GB"/>
        </w:rPr>
        <w:t xml:space="preserve">In terms of equipping with </w:t>
      </w:r>
      <w:r w:rsidR="00892D89" w:rsidRPr="00990DAA">
        <w:rPr>
          <w:rFonts w:cs="Arial"/>
          <w:bCs/>
          <w:spacing w:val="-1"/>
          <w:szCs w:val="19"/>
          <w:lang w:val="en-GB"/>
        </w:rPr>
        <w:t>new generation</w:t>
      </w:r>
      <w:r w:rsidR="00BB40E7" w:rsidRPr="00990DAA">
        <w:rPr>
          <w:rFonts w:cs="Arial"/>
          <w:bCs/>
          <w:spacing w:val="-1"/>
          <w:szCs w:val="19"/>
          <w:lang w:val="en-GB"/>
        </w:rPr>
        <w:t xml:space="preserve"> </w:t>
      </w:r>
      <w:r w:rsidR="00BB0F8E" w:rsidRPr="00990DAA">
        <w:rPr>
          <w:rFonts w:cs="Arial"/>
          <w:bCs/>
          <w:spacing w:val="-1"/>
          <w:szCs w:val="19"/>
          <w:lang w:val="en-GB"/>
        </w:rPr>
        <w:t>goods</w:t>
      </w:r>
      <w:r w:rsidR="00BB0F8E" w:rsidRPr="00990DAA">
        <w:rPr>
          <w:rStyle w:val="Odwoanieprzypisudolnego"/>
          <w:rFonts w:cs="Arial"/>
          <w:spacing w:val="-1"/>
          <w:szCs w:val="19"/>
          <w:lang w:val="en-GB"/>
        </w:rPr>
        <w:footnoteReference w:id="6"/>
      </w:r>
      <w:r w:rsidRPr="00990DAA">
        <w:rPr>
          <w:rFonts w:cs="Arial"/>
          <w:bCs/>
          <w:spacing w:val="-1"/>
          <w:szCs w:val="19"/>
          <w:lang w:val="en-GB"/>
        </w:rPr>
        <w:t>,</w:t>
      </w:r>
      <w:r w:rsidR="00BB40E7" w:rsidRPr="00990DAA">
        <w:rPr>
          <w:rFonts w:cs="Arial"/>
          <w:bCs/>
          <w:spacing w:val="-1"/>
          <w:szCs w:val="19"/>
          <w:lang w:val="en-GB"/>
        </w:rPr>
        <w:t xml:space="preserve"> such as access to the Internet</w:t>
      </w:r>
      <w:r w:rsidR="00BB40E7" w:rsidRPr="00990DAA">
        <w:rPr>
          <w:rStyle w:val="Odwoanieprzypisudolnego"/>
          <w:rFonts w:cs="Arial"/>
          <w:spacing w:val="-1"/>
          <w:szCs w:val="19"/>
          <w:lang w:val="en-GB"/>
        </w:rPr>
        <w:footnoteReference w:id="7"/>
      </w:r>
      <w:r w:rsidR="004E59AA" w:rsidRPr="00990DAA">
        <w:rPr>
          <w:rFonts w:cs="Arial"/>
          <w:bCs/>
          <w:spacing w:val="-1"/>
          <w:szCs w:val="19"/>
          <w:lang w:val="en-GB"/>
        </w:rPr>
        <w:t xml:space="preserve"> and</w:t>
      </w:r>
      <w:r w:rsidR="00BB40E7" w:rsidRPr="00990DAA">
        <w:rPr>
          <w:rFonts w:cs="Arial"/>
          <w:bCs/>
          <w:spacing w:val="-1"/>
          <w:szCs w:val="19"/>
          <w:lang w:val="en-GB"/>
        </w:rPr>
        <w:t xml:space="preserve"> smartphone</w:t>
      </w:r>
      <w:r w:rsidRPr="00990DAA">
        <w:rPr>
          <w:rFonts w:cs="Arial"/>
          <w:bCs/>
          <w:spacing w:val="-1"/>
          <w:szCs w:val="19"/>
          <w:lang w:val="en-GB"/>
        </w:rPr>
        <w:t xml:space="preserve">, </w:t>
      </w:r>
      <w:r w:rsidR="00FA13FD" w:rsidRPr="00990DAA">
        <w:rPr>
          <w:rFonts w:cs="Arial"/>
          <w:bCs/>
          <w:spacing w:val="-1"/>
          <w:szCs w:val="19"/>
          <w:lang w:val="en-GB"/>
        </w:rPr>
        <w:t xml:space="preserve">there </w:t>
      </w:r>
      <w:r w:rsidR="004E59AA" w:rsidRPr="00990DAA">
        <w:rPr>
          <w:rFonts w:cs="Arial"/>
          <w:bCs/>
          <w:spacing w:val="-1"/>
          <w:szCs w:val="19"/>
          <w:lang w:val="en-GB"/>
        </w:rPr>
        <w:t>was a</w:t>
      </w:r>
      <w:r w:rsidR="00FA13FD" w:rsidRPr="00990DAA">
        <w:rPr>
          <w:rFonts w:cs="Arial"/>
          <w:bCs/>
          <w:spacing w:val="-1"/>
          <w:szCs w:val="19"/>
          <w:lang w:val="en-GB"/>
        </w:rPr>
        <w:t xml:space="preserve"> slight differenc</w:t>
      </w:r>
      <w:r w:rsidR="004E59AA" w:rsidRPr="00990DAA">
        <w:rPr>
          <w:rFonts w:cs="Arial"/>
          <w:bCs/>
          <w:spacing w:val="-1"/>
          <w:szCs w:val="19"/>
          <w:lang w:val="en-GB"/>
        </w:rPr>
        <w:t>e</w:t>
      </w:r>
      <w:r w:rsidR="00FA13FD" w:rsidRPr="00990DAA">
        <w:rPr>
          <w:rFonts w:cs="Arial"/>
          <w:bCs/>
          <w:spacing w:val="-1"/>
          <w:szCs w:val="19"/>
          <w:lang w:val="en-GB"/>
        </w:rPr>
        <w:t xml:space="preserve"> between </w:t>
      </w:r>
      <w:r w:rsidRPr="00990DAA">
        <w:rPr>
          <w:rFonts w:cs="Arial"/>
          <w:bCs/>
          <w:spacing w:val="-1"/>
          <w:szCs w:val="19"/>
          <w:lang w:val="en-GB"/>
        </w:rPr>
        <w:t xml:space="preserve">households in urban </w:t>
      </w:r>
      <w:r w:rsidR="00FA13FD" w:rsidRPr="00990DAA">
        <w:rPr>
          <w:rFonts w:cs="Arial"/>
          <w:bCs/>
          <w:spacing w:val="-1"/>
          <w:szCs w:val="19"/>
          <w:lang w:val="en-GB"/>
        </w:rPr>
        <w:t xml:space="preserve">and </w:t>
      </w:r>
      <w:r w:rsidR="00BB40E7" w:rsidRPr="00990DAA">
        <w:rPr>
          <w:rFonts w:cs="Arial"/>
          <w:bCs/>
          <w:spacing w:val="-1"/>
          <w:szCs w:val="19"/>
          <w:lang w:val="en-GB"/>
        </w:rPr>
        <w:t>rural areas</w:t>
      </w:r>
      <w:r w:rsidR="00951D9D" w:rsidRPr="00990DAA">
        <w:rPr>
          <w:rFonts w:cs="Arial"/>
          <w:bCs/>
          <w:spacing w:val="-1"/>
          <w:szCs w:val="19"/>
          <w:lang w:val="en-GB"/>
        </w:rPr>
        <w:t>, and it was 1.2 percentage points in favour urban areas, bot</w:t>
      </w:r>
      <w:r w:rsidR="0076783B" w:rsidRPr="00990DAA">
        <w:rPr>
          <w:rFonts w:cs="Arial"/>
          <w:bCs/>
          <w:spacing w:val="-1"/>
          <w:szCs w:val="19"/>
          <w:lang w:val="en-GB"/>
        </w:rPr>
        <w:t xml:space="preserve">h in the case of equipping with smartphone </w:t>
      </w:r>
      <w:r w:rsidR="00951D9D" w:rsidRPr="00990DAA">
        <w:rPr>
          <w:rFonts w:cs="Arial"/>
          <w:bCs/>
          <w:spacing w:val="-1"/>
          <w:szCs w:val="19"/>
          <w:lang w:val="en-GB"/>
        </w:rPr>
        <w:t>and access to the Internet (e.g. on a computer, smartphone)</w:t>
      </w:r>
      <w:r w:rsidR="004E59AA" w:rsidRPr="00990DAA">
        <w:rPr>
          <w:rFonts w:cs="Arial"/>
          <w:bCs/>
          <w:spacing w:val="-1"/>
          <w:szCs w:val="19"/>
          <w:lang w:val="en-GB"/>
        </w:rPr>
        <w:t xml:space="preserve">. </w:t>
      </w:r>
      <w:r w:rsidR="00D641BC" w:rsidRPr="00990DAA">
        <w:rPr>
          <w:rFonts w:cs="Arial"/>
          <w:spacing w:val="-1"/>
          <w:szCs w:val="19"/>
          <w:lang w:val="en-GB"/>
        </w:rPr>
        <w:t xml:space="preserve">A significantly </w:t>
      </w:r>
      <w:r w:rsidR="006D670B" w:rsidRPr="00990DAA">
        <w:rPr>
          <w:rFonts w:cs="Arial"/>
          <w:spacing w:val="-1"/>
          <w:szCs w:val="19"/>
          <w:lang w:val="en-GB"/>
        </w:rPr>
        <w:t>more</w:t>
      </w:r>
      <w:r w:rsidR="00D641BC" w:rsidRPr="00990DAA">
        <w:rPr>
          <w:rFonts w:cs="Arial"/>
          <w:spacing w:val="-1"/>
          <w:szCs w:val="19"/>
          <w:lang w:val="en-GB"/>
        </w:rPr>
        <w:t xml:space="preserve"> rural than urban households owned a bicycle (by </w:t>
      </w:r>
      <w:r w:rsidR="00951D9D" w:rsidRPr="00990DAA">
        <w:rPr>
          <w:rFonts w:cs="Arial"/>
          <w:spacing w:val="-1"/>
          <w:szCs w:val="19"/>
          <w:lang w:val="en-GB"/>
        </w:rPr>
        <w:t>24.4</w:t>
      </w:r>
      <w:r w:rsidR="00D641BC" w:rsidRPr="00990DAA">
        <w:rPr>
          <w:rFonts w:cs="Arial"/>
          <w:spacing w:val="-1"/>
          <w:szCs w:val="19"/>
          <w:lang w:val="en-GB"/>
        </w:rPr>
        <w:t xml:space="preserve"> percentage points), a passenger car (by </w:t>
      </w:r>
      <w:r w:rsidR="00951D9D" w:rsidRPr="00990DAA">
        <w:rPr>
          <w:rFonts w:cs="Arial"/>
          <w:spacing w:val="-1"/>
          <w:szCs w:val="19"/>
          <w:lang w:val="en-GB"/>
        </w:rPr>
        <w:t>16.9</w:t>
      </w:r>
      <w:r w:rsidR="00D641BC" w:rsidRPr="00990DAA">
        <w:rPr>
          <w:rFonts w:cs="Arial"/>
          <w:spacing w:val="-1"/>
          <w:szCs w:val="19"/>
          <w:lang w:val="en-GB"/>
        </w:rPr>
        <w:t xml:space="preserve"> percentage points) </w:t>
      </w:r>
      <w:r w:rsidR="00951D9D" w:rsidRPr="00990DAA">
        <w:rPr>
          <w:rFonts w:cs="Arial"/>
          <w:spacing w:val="-1"/>
          <w:szCs w:val="19"/>
          <w:lang w:val="en-GB"/>
        </w:rPr>
        <w:t>as well as</w:t>
      </w:r>
      <w:r w:rsidR="00D641BC" w:rsidRPr="00990DAA">
        <w:rPr>
          <w:rFonts w:cs="Arial"/>
          <w:spacing w:val="-1"/>
          <w:szCs w:val="19"/>
          <w:lang w:val="en-GB"/>
        </w:rPr>
        <w:t xml:space="preserve"> a </w:t>
      </w:r>
      <w:r w:rsidR="00D641BC" w:rsidRPr="00990DAA">
        <w:rPr>
          <w:rFonts w:cs="Arial"/>
          <w:bCs/>
          <w:spacing w:val="-1"/>
          <w:szCs w:val="19"/>
          <w:lang w:val="en-GB"/>
        </w:rPr>
        <w:t xml:space="preserve">motorcycle, scooter, motorbike </w:t>
      </w:r>
      <w:r w:rsidR="00D641BC" w:rsidRPr="00990DAA">
        <w:rPr>
          <w:rFonts w:cs="Arial"/>
          <w:spacing w:val="-1"/>
          <w:szCs w:val="19"/>
          <w:lang w:val="en-GB"/>
        </w:rPr>
        <w:t xml:space="preserve">(by </w:t>
      </w:r>
      <w:r w:rsidR="004E59AA" w:rsidRPr="00990DAA">
        <w:rPr>
          <w:rFonts w:cs="Arial"/>
          <w:spacing w:val="-1"/>
          <w:szCs w:val="19"/>
          <w:lang w:val="en-GB"/>
        </w:rPr>
        <w:t>7.</w:t>
      </w:r>
      <w:r w:rsidR="00951D9D" w:rsidRPr="00990DAA">
        <w:rPr>
          <w:rFonts w:cs="Arial"/>
          <w:spacing w:val="-1"/>
          <w:szCs w:val="19"/>
          <w:lang w:val="en-GB"/>
        </w:rPr>
        <w:t>2</w:t>
      </w:r>
      <w:r w:rsidR="00D641BC" w:rsidRPr="00990DAA">
        <w:rPr>
          <w:rFonts w:cs="Arial"/>
          <w:spacing w:val="-1"/>
          <w:szCs w:val="19"/>
          <w:lang w:val="en-GB"/>
        </w:rPr>
        <w:t xml:space="preserve"> percentage points). In comparison with 202</w:t>
      </w:r>
      <w:r w:rsidR="00951D9D" w:rsidRPr="00990DAA">
        <w:rPr>
          <w:rFonts w:cs="Arial"/>
          <w:spacing w:val="-1"/>
          <w:szCs w:val="19"/>
          <w:lang w:val="en-GB"/>
        </w:rPr>
        <w:t>3</w:t>
      </w:r>
      <w:r w:rsidR="00D641BC" w:rsidRPr="00990DAA">
        <w:rPr>
          <w:rFonts w:cs="Arial"/>
          <w:spacing w:val="-1"/>
          <w:szCs w:val="19"/>
          <w:lang w:val="en-GB"/>
        </w:rPr>
        <w:t xml:space="preserve">, there was </w:t>
      </w:r>
      <w:r w:rsidR="004E59AA" w:rsidRPr="00990DAA">
        <w:rPr>
          <w:rFonts w:cs="Arial"/>
          <w:spacing w:val="-1"/>
          <w:szCs w:val="19"/>
          <w:lang w:val="en-GB"/>
        </w:rPr>
        <w:t xml:space="preserve">not </w:t>
      </w:r>
      <w:r w:rsidR="00D641BC" w:rsidRPr="00990DAA">
        <w:rPr>
          <w:rFonts w:cs="Arial"/>
          <w:spacing w:val="-1"/>
          <w:szCs w:val="19"/>
          <w:lang w:val="en-GB"/>
        </w:rPr>
        <w:t xml:space="preserve">a </w:t>
      </w:r>
      <w:r w:rsidR="004E59AA" w:rsidRPr="00990DAA">
        <w:rPr>
          <w:rFonts w:cs="Arial"/>
          <w:spacing w:val="-1"/>
          <w:szCs w:val="19"/>
          <w:lang w:val="en-GB"/>
        </w:rPr>
        <w:t xml:space="preserve">significant </w:t>
      </w:r>
      <w:r w:rsidR="00D641BC" w:rsidRPr="00990DAA">
        <w:rPr>
          <w:rFonts w:cs="Arial"/>
          <w:spacing w:val="-1"/>
          <w:szCs w:val="19"/>
          <w:lang w:val="en-GB"/>
        </w:rPr>
        <w:t>change</w:t>
      </w:r>
      <w:r w:rsidR="000D07D5" w:rsidRPr="00990DAA">
        <w:rPr>
          <w:rFonts w:cs="Arial"/>
          <w:spacing w:val="-1"/>
          <w:szCs w:val="19"/>
          <w:lang w:val="en-GB"/>
        </w:rPr>
        <w:t xml:space="preserve"> of the difference</w:t>
      </w:r>
      <w:r w:rsidR="00D641BC" w:rsidRPr="00990DAA">
        <w:rPr>
          <w:rFonts w:cs="Arial"/>
          <w:spacing w:val="-1"/>
          <w:szCs w:val="19"/>
          <w:lang w:val="en-GB"/>
        </w:rPr>
        <w:t xml:space="preserve"> in the level of equipment with new generation devices </w:t>
      </w:r>
      <w:r w:rsidR="004E59AA" w:rsidRPr="00990DAA">
        <w:rPr>
          <w:rFonts w:cs="Arial"/>
          <w:spacing w:val="-1"/>
          <w:szCs w:val="19"/>
          <w:lang w:val="en-GB"/>
        </w:rPr>
        <w:t>between households in urban and rural areas</w:t>
      </w:r>
      <w:r w:rsidR="00D641BC" w:rsidRPr="00990DAA">
        <w:rPr>
          <w:rFonts w:cs="Arial"/>
          <w:spacing w:val="-1"/>
          <w:szCs w:val="19"/>
          <w:lang w:val="en-GB"/>
        </w:rPr>
        <w:t>.</w:t>
      </w:r>
    </w:p>
    <w:p w14:paraId="7EE94F50" w14:textId="53D4EBF5" w:rsidR="00BB40E7" w:rsidRPr="00951D9D" w:rsidRDefault="0080273B" w:rsidP="00DC28C6">
      <w:pPr>
        <w:spacing w:before="360" w:after="360" w:line="240" w:lineRule="auto"/>
        <w:rPr>
          <w:spacing w:val="-4"/>
          <w:szCs w:val="19"/>
          <w:shd w:val="clear" w:color="auto" w:fill="FFFFFF"/>
          <w:lang w:val="en-GB"/>
        </w:rPr>
      </w:pPr>
      <w:r>
        <w:rPr>
          <w:noProof/>
          <w:lang w:eastAsia="pl-PL"/>
        </w:rPr>
        <w:lastRenderedPageBreak/>
        <mc:AlternateContent>
          <mc:Choice Requires="wps">
            <w:drawing>
              <wp:anchor distT="45720" distB="45720" distL="114300" distR="114300" simplePos="0" relativeHeight="251833344" behindDoc="1" locked="0" layoutInCell="1" allowOverlap="1" wp14:anchorId="7EE94FCA" wp14:editId="6256F76E">
                <wp:simplePos x="0" y="0"/>
                <wp:positionH relativeFrom="column">
                  <wp:posOffset>5267325</wp:posOffset>
                </wp:positionH>
                <wp:positionV relativeFrom="paragraph">
                  <wp:posOffset>942975</wp:posOffset>
                </wp:positionV>
                <wp:extent cx="1781175" cy="1200150"/>
                <wp:effectExtent l="0" t="0" r="0" b="0"/>
                <wp:wrapTight wrapText="bothSides">
                  <wp:wrapPolygon edited="0">
                    <wp:start x="693" y="0"/>
                    <wp:lineTo x="693" y="21257"/>
                    <wp:lineTo x="20791" y="21257"/>
                    <wp:lineTo x="20791" y="0"/>
                    <wp:lineTo x="693" y="0"/>
                  </wp:wrapPolygon>
                </wp:wrapTight>
                <wp:docPr id="53"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200150"/>
                        </a:xfrm>
                        <a:prstGeom prst="rect">
                          <a:avLst/>
                        </a:prstGeom>
                        <a:noFill/>
                        <a:ln w="9525">
                          <a:noFill/>
                          <a:miter lim="800000"/>
                          <a:headEnd/>
                          <a:tailEnd/>
                        </a:ln>
                      </wps:spPr>
                      <wps:txbx>
                        <w:txbxContent>
                          <w:p w14:paraId="7EE9501F" w14:textId="6C3AD183" w:rsidR="00882B10" w:rsidRPr="000A27AA" w:rsidRDefault="00882B10" w:rsidP="00BB40E7">
                            <w:pPr>
                              <w:pStyle w:val="tekstzboku"/>
                              <w:rPr>
                                <w:lang w:val="en-GB"/>
                              </w:rPr>
                            </w:pPr>
                            <w:r w:rsidRPr="003B2361">
                              <w:rPr>
                                <w:rFonts w:cs="Arial"/>
                                <w:lang w:val="en-GB"/>
                              </w:rPr>
                              <w:t xml:space="preserve">In rural areas there </w:t>
                            </w:r>
                            <w:r w:rsidR="006D670B">
                              <w:rPr>
                                <w:rFonts w:cs="Arial"/>
                                <w:lang w:val="en-GB"/>
                              </w:rPr>
                              <w:t>were</w:t>
                            </w:r>
                            <w:r w:rsidRPr="003B2361">
                              <w:rPr>
                                <w:rFonts w:cs="Arial"/>
                                <w:lang w:val="en-GB"/>
                              </w:rPr>
                              <w:t xml:space="preserve"> </w:t>
                            </w:r>
                            <w:r w:rsidR="006D670B">
                              <w:rPr>
                                <w:rFonts w:cs="Arial"/>
                                <w:lang w:val="en-GB"/>
                              </w:rPr>
                              <w:t>more</w:t>
                            </w:r>
                            <w:r w:rsidRPr="003B2361">
                              <w:rPr>
                                <w:rFonts w:cs="Arial"/>
                                <w:lang w:val="en-GB"/>
                              </w:rPr>
                              <w:t xml:space="preserve"> households owning dishwasher, bicycle, passenger car, </w:t>
                            </w:r>
                            <w:r w:rsidRPr="000A27AA">
                              <w:rPr>
                                <w:rFonts w:cs="Arial"/>
                                <w:bCs w:val="0"/>
                                <w:lang w:val="en-GB"/>
                              </w:rPr>
                              <w:t>motorcycle, scooters, motorbikes</w:t>
                            </w:r>
                            <w:r w:rsidRPr="003B2361">
                              <w:rPr>
                                <w:rFonts w:cs="Arial"/>
                                <w:lang w:val="en-GB"/>
                              </w:rPr>
                              <w:t xml:space="preserve"> as well as TV 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CA" id="Pole tekstowe 28" o:spid="_x0000_s1039" type="#_x0000_t202" style="position:absolute;margin-left:414.75pt;margin-top:74.25pt;width:140.25pt;height:94.5pt;z-index:-25148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" filled="f" stroked="f">
                <v:textbox>
                  <w:txbxContent>
                    <w:p w14:paraId="7EE9501F" w14:textId="6C3AD183" w:rsidR="00882B10" w:rsidRPr="000A27AA" w:rsidRDefault="00882B10" w:rsidP="00BB40E7">
                      <w:pPr>
                        <w:pStyle w:val="tekstzboku"/>
                        <w:rPr>
                          <w:lang w:val="en-GB"/>
                        </w:rPr>
                      </w:pPr>
                      <w:r w:rsidRPr="003B2361">
                        <w:rPr>
                          <w:rFonts w:cs="Arial"/>
                          <w:lang w:val="en-GB"/>
                        </w:rPr>
                        <w:t xml:space="preserve">In rural areas there </w:t>
                      </w:r>
                      <w:r w:rsidR="006D670B">
                        <w:rPr>
                          <w:rFonts w:cs="Arial"/>
                          <w:lang w:val="en-GB"/>
                        </w:rPr>
                        <w:t>were</w:t>
                      </w:r>
                      <w:r w:rsidRPr="003B2361">
                        <w:rPr>
                          <w:rFonts w:cs="Arial"/>
                          <w:lang w:val="en-GB"/>
                        </w:rPr>
                        <w:t xml:space="preserve"> </w:t>
                      </w:r>
                      <w:r w:rsidR="006D670B">
                        <w:rPr>
                          <w:rFonts w:cs="Arial"/>
                          <w:lang w:val="en-GB"/>
                        </w:rPr>
                        <w:t>more</w:t>
                      </w:r>
                      <w:r w:rsidRPr="003B2361">
                        <w:rPr>
                          <w:rFonts w:cs="Arial"/>
                          <w:lang w:val="en-GB"/>
                        </w:rPr>
                        <w:t xml:space="preserve"> households owning dishwasher, bicycle, passenger car, </w:t>
                      </w:r>
                      <w:r w:rsidRPr="000A27AA">
                        <w:rPr>
                          <w:rFonts w:cs="Arial"/>
                          <w:bCs w:val="0"/>
                          <w:lang w:val="en-GB"/>
                        </w:rPr>
                        <w:t>motorcycle, scooters, motorbikes</w:t>
                      </w:r>
                      <w:r w:rsidRPr="003B2361">
                        <w:rPr>
                          <w:rFonts w:cs="Arial"/>
                          <w:lang w:val="en-GB"/>
                        </w:rPr>
                        <w:t xml:space="preserve"> as well as TV set</w:t>
                      </w:r>
                    </w:p>
                  </w:txbxContent>
                </v:textbox>
                <w10:wrap type="tight"/>
              </v:shape>
            </w:pict>
          </mc:Fallback>
        </mc:AlternateContent>
      </w:r>
      <w:r w:rsidR="00BD0818">
        <w:rPr>
          <w:noProof/>
          <w:lang w:eastAsia="pl-PL"/>
        </w:rPr>
        <w:drawing>
          <wp:inline distT="0" distB="0" distL="0" distR="0" wp14:anchorId="2A6D05F3" wp14:editId="0B85EDF5">
            <wp:extent cx="5122545" cy="2663825"/>
            <wp:effectExtent l="0" t="0" r="1905" b="3175"/>
            <wp:docPr id="42" name="Wykres 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00000000-0008-0000-0D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E94F52" w14:textId="77777777" w:rsidR="00BB40E7" w:rsidRPr="004700B5" w:rsidRDefault="0080273B" w:rsidP="00DC28C6">
      <w:pPr>
        <w:spacing w:before="360" w:line="240" w:lineRule="auto"/>
        <w:rPr>
          <w:rFonts w:ascii="Fira Sans SemiBold" w:hAnsi="Fira Sans SemiBold"/>
          <w:color w:val="001D77"/>
          <w:szCs w:val="19"/>
          <w:shd w:val="clear" w:color="auto" w:fill="FFFFFF"/>
          <w:lang w:val="en-GB"/>
        </w:rPr>
      </w:pPr>
      <w:r w:rsidRPr="004700B5">
        <w:rPr>
          <w:noProof/>
          <w:lang w:eastAsia="pl-PL"/>
        </w:rPr>
        <mc:AlternateContent>
          <mc:Choice Requires="wps">
            <w:drawing>
              <wp:anchor distT="45720" distB="45720" distL="114300" distR="114300" simplePos="0" relativeHeight="251831296" behindDoc="1" locked="0" layoutInCell="1" allowOverlap="1" wp14:anchorId="7EE94FCE" wp14:editId="1A773AF8">
                <wp:simplePos x="0" y="0"/>
                <wp:positionH relativeFrom="column">
                  <wp:posOffset>5212080</wp:posOffset>
                </wp:positionH>
                <wp:positionV relativeFrom="paragraph">
                  <wp:posOffset>104140</wp:posOffset>
                </wp:positionV>
                <wp:extent cx="1725295" cy="1949450"/>
                <wp:effectExtent l="0" t="0" r="0" b="0"/>
                <wp:wrapTight wrapText="bothSides">
                  <wp:wrapPolygon edited="0">
                    <wp:start x="715" y="0"/>
                    <wp:lineTo x="715" y="21319"/>
                    <wp:lineTo x="20749" y="21319"/>
                    <wp:lineTo x="20749" y="0"/>
                    <wp:lineTo x="715" y="0"/>
                  </wp:wrapPolygon>
                </wp:wrapTight>
                <wp:docPr id="52"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49450"/>
                        </a:xfrm>
                        <a:prstGeom prst="rect">
                          <a:avLst/>
                        </a:prstGeom>
                        <a:noFill/>
                        <a:ln w="9525">
                          <a:noFill/>
                          <a:miter lim="800000"/>
                          <a:headEnd/>
                          <a:tailEnd/>
                        </a:ln>
                      </wps:spPr>
                      <wps:txbx>
                        <w:txbxContent>
                          <w:p w14:paraId="7EE95020" w14:textId="1302BF04" w:rsidR="00882B10" w:rsidRPr="000A27AA" w:rsidRDefault="00882B10" w:rsidP="00BB40E7">
                            <w:pPr>
                              <w:spacing w:after="0"/>
                              <w:rPr>
                                <w:rFonts w:eastAsia="Times New Roman" w:cs="Times New Roman"/>
                                <w:bCs/>
                                <w:color w:val="001D77"/>
                                <w:sz w:val="18"/>
                                <w:szCs w:val="18"/>
                                <w:lang w:val="en-GB" w:eastAsia="pl-PL"/>
                              </w:rPr>
                            </w:pPr>
                            <w:r w:rsidRPr="000A27AA">
                              <w:rPr>
                                <w:rFonts w:eastAsia="Times New Roman" w:cs="Times New Roman"/>
                                <w:bCs/>
                                <w:color w:val="001D77"/>
                                <w:sz w:val="18"/>
                                <w:szCs w:val="18"/>
                                <w:lang w:val="en-GB" w:eastAsia="pl-PL"/>
                              </w:rPr>
                              <w:t>In 20</w:t>
                            </w:r>
                            <w:r w:rsidRPr="00DB37D2">
                              <w:rPr>
                                <w:rFonts w:eastAsia="Times New Roman" w:cs="Times New Roman"/>
                                <w:bCs/>
                                <w:color w:val="001D77"/>
                                <w:sz w:val="18"/>
                                <w:szCs w:val="18"/>
                                <w:lang w:val="en-GB" w:eastAsia="pl-PL"/>
                              </w:rPr>
                              <w:t>2</w:t>
                            </w:r>
                            <w:r w:rsidR="00785882" w:rsidRPr="00DB37D2">
                              <w:rPr>
                                <w:rFonts w:eastAsia="Times New Roman" w:cs="Times New Roman"/>
                                <w:bCs/>
                                <w:color w:val="001D77"/>
                                <w:sz w:val="18"/>
                                <w:szCs w:val="18"/>
                                <w:lang w:val="en-GB" w:eastAsia="pl-PL"/>
                              </w:rPr>
                              <w:t>4</w:t>
                            </w:r>
                            <w:r w:rsidRPr="00DB37D2">
                              <w:rPr>
                                <w:rFonts w:eastAsia="Times New Roman" w:cs="Times New Roman"/>
                                <w:bCs/>
                                <w:color w:val="001D77"/>
                                <w:sz w:val="18"/>
                                <w:szCs w:val="18"/>
                                <w:lang w:val="en-GB" w:eastAsia="pl-PL"/>
                              </w:rPr>
                              <w:t xml:space="preserve">, the dwelling conditions of households improved slightly. </w:t>
                            </w:r>
                            <w:r w:rsidRPr="003B2361">
                              <w:rPr>
                                <w:rFonts w:cs="Arial"/>
                                <w:bCs/>
                                <w:color w:val="001D77"/>
                                <w:sz w:val="18"/>
                                <w:szCs w:val="18"/>
                                <w:lang w:val="en-GB"/>
                              </w:rPr>
                              <w:t>The average household occupied a dwelling with a floor area of 8</w:t>
                            </w:r>
                            <w:r w:rsidR="00785882" w:rsidRPr="003B2361">
                              <w:rPr>
                                <w:rFonts w:cs="Arial"/>
                                <w:bCs/>
                                <w:color w:val="001D77"/>
                                <w:sz w:val="18"/>
                                <w:szCs w:val="18"/>
                                <w:lang w:val="en-GB"/>
                              </w:rPr>
                              <w:t>9</w:t>
                            </w:r>
                            <w:r w:rsidRPr="003B2361">
                              <w:rPr>
                                <w:rFonts w:cs="Arial"/>
                                <w:bCs/>
                                <w:color w:val="001D77"/>
                                <w:sz w:val="18"/>
                                <w:szCs w:val="18"/>
                                <w:lang w:val="en-GB"/>
                              </w:rPr>
                              <w:t>.2 m</w:t>
                            </w:r>
                            <w:r w:rsidRPr="003B2361">
                              <w:rPr>
                                <w:rFonts w:cs="Arial"/>
                                <w:bCs/>
                                <w:color w:val="001D77"/>
                                <w:sz w:val="18"/>
                                <w:szCs w:val="18"/>
                                <w:vertAlign w:val="superscript"/>
                                <w:lang w:val="en-GB"/>
                              </w:rPr>
                              <w:t>2</w:t>
                            </w:r>
                            <w:r w:rsidRPr="003B2361">
                              <w:rPr>
                                <w:rFonts w:cs="Arial"/>
                                <w:color w:val="001D77"/>
                                <w:sz w:val="18"/>
                                <w:szCs w:val="18"/>
                                <w:lang w:val="en-GB"/>
                              </w:rPr>
                              <w:t>, which consisted of 3 rooms. The systematic increase in the average size of a dwelling has continued since 2013</w:t>
                            </w:r>
                          </w:p>
                          <w:p w14:paraId="7EE95021" w14:textId="77777777" w:rsidR="00882B10" w:rsidRPr="007E0E31" w:rsidRDefault="00882B10" w:rsidP="00BB40E7">
                            <w:pPr>
                              <w:rPr>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CE" id="Pole tekstowe 26" o:spid="_x0000_s1040" type="#_x0000_t202" style="position:absolute;margin-left:410.4pt;margin-top:8.2pt;width:135.85pt;height:153.5pt;z-index:-25148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" filled="f" stroked="f">
                <v:textbox>
                  <w:txbxContent>
                    <w:p w14:paraId="7EE95020" w14:textId="1302BF04" w:rsidR="00882B10" w:rsidRPr="000A27AA" w:rsidRDefault="00882B10" w:rsidP="00BB40E7">
                      <w:pPr>
                        <w:spacing w:after="0"/>
                        <w:rPr>
                          <w:rFonts w:eastAsia="Times New Roman" w:cs="Times New Roman"/>
                          <w:bCs/>
                          <w:color w:val="001D77"/>
                          <w:sz w:val="18"/>
                          <w:szCs w:val="18"/>
                          <w:lang w:val="en-GB" w:eastAsia="pl-PL"/>
                        </w:rPr>
                      </w:pPr>
                      <w:r w:rsidRPr="000A27AA">
                        <w:rPr>
                          <w:rFonts w:eastAsia="Times New Roman" w:cs="Times New Roman"/>
                          <w:bCs/>
                          <w:color w:val="001D77"/>
                          <w:sz w:val="18"/>
                          <w:szCs w:val="18"/>
                          <w:lang w:val="en-GB" w:eastAsia="pl-PL"/>
                        </w:rPr>
                        <w:t>In 20</w:t>
                      </w:r>
                      <w:r w:rsidRPr="00DB37D2">
                        <w:rPr>
                          <w:rFonts w:eastAsia="Times New Roman" w:cs="Times New Roman"/>
                          <w:bCs/>
                          <w:color w:val="001D77"/>
                          <w:sz w:val="18"/>
                          <w:szCs w:val="18"/>
                          <w:lang w:val="en-GB" w:eastAsia="pl-PL"/>
                        </w:rPr>
                        <w:t>2</w:t>
                      </w:r>
                      <w:r w:rsidR="00785882" w:rsidRPr="00DB37D2">
                        <w:rPr>
                          <w:rFonts w:eastAsia="Times New Roman" w:cs="Times New Roman"/>
                          <w:bCs/>
                          <w:color w:val="001D77"/>
                          <w:sz w:val="18"/>
                          <w:szCs w:val="18"/>
                          <w:lang w:val="en-GB" w:eastAsia="pl-PL"/>
                        </w:rPr>
                        <w:t>4</w:t>
                      </w:r>
                      <w:r w:rsidRPr="00DB37D2">
                        <w:rPr>
                          <w:rFonts w:eastAsia="Times New Roman" w:cs="Times New Roman"/>
                          <w:bCs/>
                          <w:color w:val="001D77"/>
                          <w:sz w:val="18"/>
                          <w:szCs w:val="18"/>
                          <w:lang w:val="en-GB" w:eastAsia="pl-PL"/>
                        </w:rPr>
                        <w:t xml:space="preserve">, the dwelling conditions of households improved slightly. </w:t>
                      </w:r>
                      <w:r w:rsidRPr="003B2361">
                        <w:rPr>
                          <w:rFonts w:cs="Arial"/>
                          <w:bCs/>
                          <w:color w:val="001D77"/>
                          <w:sz w:val="18"/>
                          <w:szCs w:val="18"/>
                          <w:lang w:val="en-GB"/>
                        </w:rPr>
                        <w:t>The average household occupied a dwelling with a floor area of 8</w:t>
                      </w:r>
                      <w:r w:rsidR="00785882" w:rsidRPr="003B2361">
                        <w:rPr>
                          <w:rFonts w:cs="Arial"/>
                          <w:bCs/>
                          <w:color w:val="001D77"/>
                          <w:sz w:val="18"/>
                          <w:szCs w:val="18"/>
                          <w:lang w:val="en-GB"/>
                        </w:rPr>
                        <w:t>9</w:t>
                      </w:r>
                      <w:r w:rsidRPr="003B2361">
                        <w:rPr>
                          <w:rFonts w:cs="Arial"/>
                          <w:bCs/>
                          <w:color w:val="001D77"/>
                          <w:sz w:val="18"/>
                          <w:szCs w:val="18"/>
                          <w:lang w:val="en-GB"/>
                        </w:rPr>
                        <w:t>.2 m</w:t>
                      </w:r>
                      <w:r w:rsidRPr="003B2361">
                        <w:rPr>
                          <w:rFonts w:cs="Arial"/>
                          <w:bCs/>
                          <w:color w:val="001D77"/>
                          <w:sz w:val="18"/>
                          <w:szCs w:val="18"/>
                          <w:vertAlign w:val="superscript"/>
                          <w:lang w:val="en-GB"/>
                        </w:rPr>
                        <w:t>2</w:t>
                      </w:r>
                      <w:r w:rsidRPr="003B2361">
                        <w:rPr>
                          <w:rFonts w:cs="Arial"/>
                          <w:color w:val="001D77"/>
                          <w:sz w:val="18"/>
                          <w:szCs w:val="18"/>
                          <w:lang w:val="en-GB"/>
                        </w:rPr>
                        <w:t>, which consisted of 3 rooms. The systematic increase in the average size of a dwelling has continued since 2013</w:t>
                      </w:r>
                    </w:p>
                    <w:p w14:paraId="7EE95021" w14:textId="77777777" w:rsidR="00882B10" w:rsidRPr="007E0E31" w:rsidRDefault="00882B10" w:rsidP="00BB40E7">
                      <w:pPr>
                        <w:rPr>
                          <w:color w:val="001D77"/>
                          <w:lang w:val="en-GB"/>
                        </w:rPr>
                      </w:pPr>
                    </w:p>
                  </w:txbxContent>
                </v:textbox>
                <w10:wrap type="tight"/>
              </v:shape>
            </w:pict>
          </mc:Fallback>
        </mc:AlternateContent>
      </w:r>
      <w:r w:rsidR="00BB40E7" w:rsidRPr="004700B5">
        <w:rPr>
          <w:rFonts w:ascii="Fira Sans SemiBold" w:hAnsi="Fira Sans SemiBold"/>
          <w:color w:val="001D77"/>
          <w:szCs w:val="19"/>
          <w:shd w:val="clear" w:color="auto" w:fill="FFFFFF"/>
          <w:lang w:val="en-GB"/>
        </w:rPr>
        <w:t>Dwelling conditions</w:t>
      </w:r>
    </w:p>
    <w:p w14:paraId="7EE94F53" w14:textId="1F3B6C16" w:rsidR="00BB40E7" w:rsidRPr="00290FBD" w:rsidRDefault="00526CC8" w:rsidP="00AD1C4D">
      <w:pPr>
        <w:spacing w:line="238" w:lineRule="exact"/>
        <w:rPr>
          <w:rFonts w:cs="Arial"/>
          <w:spacing w:val="-4"/>
          <w:szCs w:val="19"/>
          <w:lang w:val="en-GB"/>
        </w:rPr>
      </w:pPr>
      <w:r>
        <w:rPr>
          <w:rFonts w:cs="Arial"/>
          <w:bCs/>
          <w:spacing w:val="-4"/>
          <w:szCs w:val="19"/>
          <w:lang w:val="en-GB"/>
        </w:rPr>
        <w:t>T</w:t>
      </w:r>
      <w:r w:rsidR="00BB40E7" w:rsidRPr="00290FBD">
        <w:rPr>
          <w:rFonts w:cs="Arial"/>
          <w:bCs/>
          <w:spacing w:val="-4"/>
          <w:szCs w:val="19"/>
          <w:lang w:val="en-GB"/>
        </w:rPr>
        <w:t xml:space="preserve">he average household </w:t>
      </w:r>
      <w:r>
        <w:rPr>
          <w:rFonts w:cs="Arial"/>
          <w:bCs/>
          <w:spacing w:val="-4"/>
          <w:szCs w:val="19"/>
          <w:lang w:val="en-GB"/>
        </w:rPr>
        <w:t>i</w:t>
      </w:r>
      <w:r w:rsidR="00E95940" w:rsidRPr="00290FBD">
        <w:rPr>
          <w:rFonts w:cs="Arial"/>
          <w:bCs/>
          <w:spacing w:val="-4"/>
          <w:szCs w:val="19"/>
          <w:lang w:val="en-GB"/>
        </w:rPr>
        <w:t>n 20</w:t>
      </w:r>
      <w:r>
        <w:rPr>
          <w:rFonts w:cs="Arial"/>
          <w:bCs/>
          <w:spacing w:val="-4"/>
          <w:szCs w:val="19"/>
          <w:lang w:val="en-GB"/>
        </w:rPr>
        <w:t>2</w:t>
      </w:r>
      <w:r w:rsidR="00951D9D">
        <w:rPr>
          <w:rFonts w:cs="Arial"/>
          <w:bCs/>
          <w:spacing w:val="-4"/>
          <w:szCs w:val="19"/>
          <w:lang w:val="en-GB"/>
        </w:rPr>
        <w:t>4</w:t>
      </w:r>
      <w:r>
        <w:rPr>
          <w:rFonts w:cs="Arial"/>
          <w:bCs/>
          <w:spacing w:val="-4"/>
          <w:szCs w:val="19"/>
          <w:lang w:val="en-GB"/>
        </w:rPr>
        <w:t xml:space="preserve"> </w:t>
      </w:r>
      <w:r w:rsidR="00BB40E7" w:rsidRPr="00290FBD">
        <w:rPr>
          <w:rFonts w:cs="Arial"/>
          <w:bCs/>
          <w:spacing w:val="-4"/>
          <w:szCs w:val="19"/>
          <w:lang w:val="en-GB"/>
        </w:rPr>
        <w:t xml:space="preserve">occupied a dwelling with a floor area of </w:t>
      </w:r>
      <w:r>
        <w:rPr>
          <w:rFonts w:cs="Arial"/>
          <w:bCs/>
          <w:spacing w:val="-4"/>
          <w:szCs w:val="19"/>
          <w:lang w:val="en-GB"/>
        </w:rPr>
        <w:t>8</w:t>
      </w:r>
      <w:r w:rsidR="00951D9D">
        <w:rPr>
          <w:rFonts w:cs="Arial"/>
          <w:bCs/>
          <w:spacing w:val="-4"/>
          <w:szCs w:val="19"/>
          <w:lang w:val="en-GB"/>
        </w:rPr>
        <w:t>9</w:t>
      </w:r>
      <w:r>
        <w:rPr>
          <w:rFonts w:cs="Arial"/>
          <w:bCs/>
          <w:spacing w:val="-4"/>
          <w:szCs w:val="19"/>
          <w:lang w:val="en-GB"/>
        </w:rPr>
        <w:t>.</w:t>
      </w:r>
      <w:r w:rsidR="00CD16C1">
        <w:rPr>
          <w:rFonts w:cs="Arial"/>
          <w:bCs/>
          <w:spacing w:val="-4"/>
          <w:szCs w:val="19"/>
          <w:lang w:val="en-GB"/>
        </w:rPr>
        <w:t>2</w:t>
      </w:r>
      <w:r w:rsidR="00BB40E7" w:rsidRPr="00290FBD">
        <w:rPr>
          <w:rFonts w:cs="Arial"/>
          <w:bCs/>
          <w:spacing w:val="-4"/>
          <w:szCs w:val="19"/>
          <w:lang w:val="en-GB"/>
        </w:rPr>
        <w:t xml:space="preserve"> m</w:t>
      </w:r>
      <w:r w:rsidR="00BB40E7" w:rsidRPr="00290FBD">
        <w:rPr>
          <w:rFonts w:cs="Arial"/>
          <w:bCs/>
          <w:spacing w:val="-4"/>
          <w:szCs w:val="19"/>
          <w:vertAlign w:val="superscript"/>
          <w:lang w:val="en-GB"/>
        </w:rPr>
        <w:t>2</w:t>
      </w:r>
      <w:r w:rsidR="00BB40E7" w:rsidRPr="00290FBD">
        <w:rPr>
          <w:rFonts w:cs="Arial"/>
          <w:spacing w:val="-4"/>
          <w:szCs w:val="19"/>
          <w:lang w:val="en-GB"/>
        </w:rPr>
        <w:t xml:space="preserve"> (in 20</w:t>
      </w:r>
      <w:r w:rsidR="003D3174">
        <w:rPr>
          <w:rFonts w:cs="Arial"/>
          <w:spacing w:val="-4"/>
          <w:szCs w:val="19"/>
          <w:lang w:val="en-GB"/>
        </w:rPr>
        <w:t>2</w:t>
      </w:r>
      <w:r w:rsidR="00951D9D">
        <w:rPr>
          <w:rFonts w:cs="Arial"/>
          <w:spacing w:val="-4"/>
          <w:szCs w:val="19"/>
          <w:lang w:val="en-GB"/>
        </w:rPr>
        <w:t>3</w:t>
      </w:r>
      <w:r w:rsidR="00BB40E7" w:rsidRPr="00290FBD">
        <w:rPr>
          <w:rFonts w:cs="Arial"/>
          <w:spacing w:val="-4"/>
          <w:szCs w:val="19"/>
          <w:lang w:val="en-GB"/>
        </w:rPr>
        <w:t xml:space="preserve"> – </w:t>
      </w:r>
      <w:r w:rsidR="00951D9D">
        <w:rPr>
          <w:rFonts w:cs="Arial"/>
          <w:spacing w:val="-4"/>
          <w:szCs w:val="19"/>
          <w:lang w:val="en-GB"/>
        </w:rPr>
        <w:t>88.2</w:t>
      </w:r>
      <w:r w:rsidR="00BB40E7" w:rsidRPr="00290FBD">
        <w:rPr>
          <w:rFonts w:cs="Arial"/>
          <w:spacing w:val="-4"/>
          <w:szCs w:val="19"/>
          <w:lang w:val="en-GB"/>
        </w:rPr>
        <w:t xml:space="preserve"> m</w:t>
      </w:r>
      <w:r w:rsidR="00BB40E7" w:rsidRPr="00290FBD">
        <w:rPr>
          <w:rFonts w:cs="Arial"/>
          <w:spacing w:val="-4"/>
          <w:szCs w:val="19"/>
          <w:vertAlign w:val="superscript"/>
          <w:lang w:val="en-GB"/>
        </w:rPr>
        <w:t>2</w:t>
      </w:r>
      <w:r w:rsidR="00BB40E7" w:rsidRPr="00290FBD">
        <w:rPr>
          <w:rFonts w:cs="Arial"/>
          <w:spacing w:val="-4"/>
          <w:szCs w:val="19"/>
          <w:lang w:val="en-GB"/>
        </w:rPr>
        <w:t>)</w:t>
      </w:r>
      <w:r>
        <w:rPr>
          <w:rFonts w:cs="Arial"/>
          <w:spacing w:val="-4"/>
          <w:szCs w:val="19"/>
          <w:lang w:val="en-GB"/>
        </w:rPr>
        <w:t>,</w:t>
      </w:r>
      <w:r w:rsidR="00BB40E7" w:rsidRPr="00290FBD">
        <w:rPr>
          <w:rFonts w:cs="Arial"/>
          <w:spacing w:val="-4"/>
          <w:szCs w:val="19"/>
          <w:lang w:val="en-GB"/>
        </w:rPr>
        <w:t xml:space="preserve"> which consisted of 3 rooms. </w:t>
      </w:r>
      <w:r w:rsidRPr="00526CC8">
        <w:rPr>
          <w:rFonts w:cs="Arial"/>
          <w:bCs/>
          <w:spacing w:val="-4"/>
          <w:szCs w:val="19"/>
          <w:lang w:val="en-GB"/>
        </w:rPr>
        <w:t xml:space="preserve">There was an average of </w:t>
      </w:r>
      <w:r w:rsidR="00951D9D">
        <w:rPr>
          <w:rFonts w:cs="Arial"/>
          <w:bCs/>
          <w:spacing w:val="-4"/>
          <w:szCs w:val="19"/>
          <w:lang w:val="en-GB"/>
        </w:rPr>
        <w:t>31.3</w:t>
      </w:r>
      <w:r w:rsidRPr="00526CC8">
        <w:rPr>
          <w:rFonts w:cs="Arial"/>
          <w:bCs/>
          <w:spacing w:val="-4"/>
          <w:szCs w:val="19"/>
          <w:lang w:val="en-GB"/>
        </w:rPr>
        <w:t xml:space="preserve"> m</w:t>
      </w:r>
      <w:r w:rsidRPr="00AD006F">
        <w:rPr>
          <w:rFonts w:cs="Arial"/>
          <w:bCs/>
          <w:spacing w:val="-4"/>
          <w:szCs w:val="19"/>
          <w:vertAlign w:val="superscript"/>
          <w:lang w:val="en-GB"/>
        </w:rPr>
        <w:t>2</w:t>
      </w:r>
      <w:r w:rsidRPr="00526CC8">
        <w:rPr>
          <w:rFonts w:cs="Arial"/>
          <w:bCs/>
          <w:spacing w:val="-4"/>
          <w:szCs w:val="19"/>
          <w:lang w:val="en-GB"/>
        </w:rPr>
        <w:t xml:space="preserve"> of usable </w:t>
      </w:r>
      <w:r w:rsidR="00AD006F">
        <w:rPr>
          <w:rFonts w:cs="Arial"/>
          <w:bCs/>
          <w:spacing w:val="-4"/>
          <w:szCs w:val="19"/>
          <w:lang w:val="en-GB"/>
        </w:rPr>
        <w:t>floor area</w:t>
      </w:r>
      <w:r w:rsidRPr="00526CC8">
        <w:rPr>
          <w:rFonts w:cs="Arial"/>
          <w:bCs/>
          <w:spacing w:val="-4"/>
          <w:szCs w:val="19"/>
          <w:lang w:val="en-GB"/>
        </w:rPr>
        <w:t xml:space="preserve"> and 1 room per </w:t>
      </w:r>
      <w:r w:rsidR="00AD006F">
        <w:rPr>
          <w:rFonts w:cs="Arial"/>
          <w:bCs/>
          <w:spacing w:val="-4"/>
          <w:szCs w:val="19"/>
          <w:lang w:val="en-GB"/>
        </w:rPr>
        <w:t>capita in the household</w:t>
      </w:r>
      <w:r w:rsidRPr="00526CC8">
        <w:rPr>
          <w:rFonts w:cs="Arial"/>
          <w:bCs/>
          <w:spacing w:val="-4"/>
          <w:szCs w:val="19"/>
          <w:lang w:val="en-GB"/>
        </w:rPr>
        <w:t xml:space="preserve"> (in 20</w:t>
      </w:r>
      <w:r w:rsidR="00286F9E">
        <w:rPr>
          <w:rFonts w:cs="Arial"/>
          <w:bCs/>
          <w:spacing w:val="-4"/>
          <w:szCs w:val="19"/>
          <w:lang w:val="en-GB"/>
        </w:rPr>
        <w:t>2</w:t>
      </w:r>
      <w:r w:rsidR="00951D9D">
        <w:rPr>
          <w:rFonts w:cs="Arial"/>
          <w:bCs/>
          <w:spacing w:val="-4"/>
          <w:szCs w:val="19"/>
          <w:lang w:val="en-GB"/>
        </w:rPr>
        <w:t>3</w:t>
      </w:r>
      <w:r w:rsidRPr="00526CC8">
        <w:rPr>
          <w:rFonts w:cs="Arial"/>
          <w:bCs/>
          <w:spacing w:val="-4"/>
          <w:szCs w:val="19"/>
          <w:lang w:val="en-GB"/>
        </w:rPr>
        <w:t xml:space="preserve"> </w:t>
      </w:r>
      <w:r w:rsidR="00AD006F">
        <w:rPr>
          <w:rFonts w:cs="Arial"/>
          <w:bCs/>
          <w:spacing w:val="-4"/>
          <w:szCs w:val="19"/>
          <w:lang w:val="en-GB"/>
        </w:rPr>
        <w:t>–</w:t>
      </w:r>
      <w:r w:rsidRPr="00526CC8">
        <w:rPr>
          <w:rFonts w:cs="Arial"/>
          <w:bCs/>
          <w:spacing w:val="-4"/>
          <w:szCs w:val="19"/>
          <w:lang w:val="en-GB"/>
        </w:rPr>
        <w:t xml:space="preserve"> </w:t>
      </w:r>
      <w:r w:rsidR="003D2E26">
        <w:rPr>
          <w:rFonts w:cs="Arial"/>
          <w:bCs/>
          <w:spacing w:val="-4"/>
          <w:szCs w:val="19"/>
          <w:lang w:val="en-GB"/>
        </w:rPr>
        <w:t>30.</w:t>
      </w:r>
      <w:r w:rsidR="00951D9D">
        <w:rPr>
          <w:rFonts w:cs="Arial"/>
          <w:bCs/>
          <w:spacing w:val="-4"/>
          <w:szCs w:val="19"/>
          <w:lang w:val="en-GB"/>
        </w:rPr>
        <w:t>9</w:t>
      </w:r>
      <w:r w:rsidRPr="00526CC8">
        <w:rPr>
          <w:rFonts w:cs="Arial"/>
          <w:bCs/>
          <w:spacing w:val="-4"/>
          <w:szCs w:val="19"/>
          <w:lang w:val="en-GB"/>
        </w:rPr>
        <w:t xml:space="preserve"> m</w:t>
      </w:r>
      <w:r w:rsidRPr="00AD006F">
        <w:rPr>
          <w:rFonts w:cs="Arial"/>
          <w:bCs/>
          <w:spacing w:val="-4"/>
          <w:szCs w:val="19"/>
          <w:vertAlign w:val="superscript"/>
          <w:lang w:val="en-GB"/>
        </w:rPr>
        <w:t>2</w:t>
      </w:r>
      <w:r w:rsidRPr="00526CC8">
        <w:rPr>
          <w:rFonts w:cs="Arial"/>
          <w:bCs/>
          <w:spacing w:val="-4"/>
          <w:szCs w:val="19"/>
          <w:lang w:val="en-GB"/>
        </w:rPr>
        <w:t xml:space="preserve"> and 1 room).</w:t>
      </w:r>
    </w:p>
    <w:p w14:paraId="7EE94F54" w14:textId="51F01656" w:rsidR="00AD006F" w:rsidRDefault="00AD006F" w:rsidP="00AD1C4D">
      <w:pPr>
        <w:rPr>
          <w:rFonts w:cs="Arial"/>
          <w:szCs w:val="19"/>
          <w:lang w:val="en-GB"/>
        </w:rPr>
      </w:pPr>
      <w:r w:rsidRPr="00AD006F">
        <w:rPr>
          <w:rFonts w:cs="Arial"/>
          <w:szCs w:val="19"/>
          <w:lang w:val="en-GB"/>
        </w:rPr>
        <w:t xml:space="preserve">The largest average usable floor area of dwellings was held by households </w:t>
      </w:r>
      <w:r>
        <w:rPr>
          <w:rFonts w:cs="Arial"/>
          <w:szCs w:val="19"/>
          <w:lang w:val="en-GB"/>
        </w:rPr>
        <w:t xml:space="preserve">of farmers </w:t>
      </w:r>
      <w:r w:rsidR="00C23114">
        <w:rPr>
          <w:rFonts w:cs="Arial"/>
          <w:szCs w:val="19"/>
          <w:lang w:val="en-GB"/>
        </w:rPr>
        <w:br/>
      </w:r>
      <w:r>
        <w:rPr>
          <w:rFonts w:cs="Arial"/>
          <w:szCs w:val="19"/>
          <w:lang w:val="en-GB"/>
        </w:rPr>
        <w:t>–</w:t>
      </w:r>
      <w:r w:rsidRPr="00AD006F">
        <w:rPr>
          <w:rFonts w:cs="Arial"/>
          <w:szCs w:val="19"/>
          <w:lang w:val="en-GB"/>
        </w:rPr>
        <w:t xml:space="preserve"> </w:t>
      </w:r>
      <w:r w:rsidR="00951D9D">
        <w:rPr>
          <w:rFonts w:cs="Arial"/>
          <w:szCs w:val="19"/>
          <w:lang w:val="en-GB"/>
        </w:rPr>
        <w:t>142.8</w:t>
      </w:r>
      <w:r w:rsidR="00F5255B">
        <w:rPr>
          <w:rFonts w:cs="Arial"/>
          <w:szCs w:val="19"/>
          <w:lang w:val="en-GB"/>
        </w:rPr>
        <w:t> m</w:t>
      </w:r>
      <w:r w:rsidRPr="00AD006F">
        <w:rPr>
          <w:rFonts w:cs="Arial"/>
          <w:szCs w:val="19"/>
          <w:vertAlign w:val="superscript"/>
          <w:lang w:val="en-GB"/>
        </w:rPr>
        <w:t>2</w:t>
      </w:r>
      <w:r w:rsidRPr="00AD006F">
        <w:rPr>
          <w:rFonts w:cs="Arial"/>
          <w:szCs w:val="19"/>
          <w:lang w:val="en-GB"/>
        </w:rPr>
        <w:t xml:space="preserve">, </w:t>
      </w:r>
      <w:r>
        <w:rPr>
          <w:rFonts w:cs="Arial"/>
          <w:szCs w:val="19"/>
          <w:lang w:val="en-GB"/>
        </w:rPr>
        <w:t>while</w:t>
      </w:r>
      <w:r w:rsidRPr="00AD006F">
        <w:rPr>
          <w:rFonts w:cs="Arial"/>
          <w:szCs w:val="19"/>
          <w:lang w:val="en-GB"/>
        </w:rPr>
        <w:t xml:space="preserve"> the smallest</w:t>
      </w:r>
      <w:r>
        <w:rPr>
          <w:rFonts w:cs="Arial"/>
          <w:szCs w:val="19"/>
          <w:lang w:val="en-GB"/>
        </w:rPr>
        <w:t xml:space="preserve"> by</w:t>
      </w:r>
      <w:r w:rsidRPr="00AD006F">
        <w:rPr>
          <w:rFonts w:cs="Arial"/>
          <w:szCs w:val="19"/>
          <w:lang w:val="en-GB"/>
        </w:rPr>
        <w:t xml:space="preserve"> households of pensioners </w:t>
      </w:r>
      <w:r>
        <w:rPr>
          <w:rFonts w:cs="Arial"/>
          <w:szCs w:val="19"/>
          <w:lang w:val="en-GB"/>
        </w:rPr>
        <w:t>–</w:t>
      </w:r>
      <w:r w:rsidRPr="00AD006F">
        <w:rPr>
          <w:rFonts w:cs="Arial"/>
          <w:szCs w:val="19"/>
          <w:lang w:val="en-GB"/>
        </w:rPr>
        <w:t xml:space="preserve"> </w:t>
      </w:r>
      <w:r w:rsidR="00951D9D">
        <w:rPr>
          <w:rFonts w:cs="Arial"/>
          <w:szCs w:val="19"/>
          <w:lang w:val="en-GB"/>
        </w:rPr>
        <w:t>69.2</w:t>
      </w:r>
      <w:r w:rsidRPr="00AD006F">
        <w:rPr>
          <w:rFonts w:cs="Arial"/>
          <w:szCs w:val="19"/>
          <w:lang w:val="en-GB"/>
        </w:rPr>
        <w:t xml:space="preserve"> m</w:t>
      </w:r>
      <w:r w:rsidRPr="00AD006F">
        <w:rPr>
          <w:rFonts w:cs="Arial"/>
          <w:szCs w:val="19"/>
          <w:vertAlign w:val="superscript"/>
          <w:lang w:val="en-GB"/>
        </w:rPr>
        <w:t>2</w:t>
      </w:r>
      <w:r w:rsidRPr="00AD006F">
        <w:rPr>
          <w:rFonts w:cs="Arial"/>
          <w:szCs w:val="19"/>
          <w:lang w:val="en-GB"/>
        </w:rPr>
        <w:t xml:space="preserve">. </w:t>
      </w:r>
      <w:r>
        <w:rPr>
          <w:rFonts w:cs="Arial"/>
          <w:szCs w:val="19"/>
          <w:lang w:val="en-GB"/>
        </w:rPr>
        <w:t>In comparison with</w:t>
      </w:r>
      <w:r w:rsidRPr="00AD006F">
        <w:rPr>
          <w:rFonts w:cs="Arial"/>
          <w:szCs w:val="19"/>
          <w:lang w:val="en-GB"/>
        </w:rPr>
        <w:t xml:space="preserve"> 20</w:t>
      </w:r>
      <w:r w:rsidR="00286F9E">
        <w:rPr>
          <w:rFonts w:cs="Arial"/>
          <w:szCs w:val="19"/>
          <w:lang w:val="en-GB"/>
        </w:rPr>
        <w:t>2</w:t>
      </w:r>
      <w:r w:rsidR="00951D9D">
        <w:rPr>
          <w:rFonts w:cs="Arial"/>
          <w:szCs w:val="19"/>
          <w:lang w:val="en-GB"/>
        </w:rPr>
        <w:t>3</w:t>
      </w:r>
      <w:r w:rsidRPr="00AD006F">
        <w:rPr>
          <w:rFonts w:cs="Arial"/>
          <w:szCs w:val="19"/>
          <w:lang w:val="en-GB"/>
        </w:rPr>
        <w:t>, the</w:t>
      </w:r>
      <w:r w:rsidR="00AD0863">
        <w:rPr>
          <w:rFonts w:cs="Arial"/>
          <w:szCs w:val="19"/>
          <w:lang w:val="en-GB"/>
        </w:rPr>
        <w:t xml:space="preserve"> increase in </w:t>
      </w:r>
      <w:r w:rsidR="00AD0863" w:rsidRPr="00AD006F">
        <w:rPr>
          <w:rFonts w:cs="Arial"/>
          <w:szCs w:val="19"/>
          <w:lang w:val="en-GB"/>
        </w:rPr>
        <w:t xml:space="preserve">the </w:t>
      </w:r>
      <w:r w:rsidR="00FE6DCD">
        <w:rPr>
          <w:rFonts w:cs="Arial"/>
          <w:szCs w:val="19"/>
          <w:lang w:val="en-GB"/>
        </w:rPr>
        <w:t xml:space="preserve">average </w:t>
      </w:r>
      <w:r w:rsidR="00AD0863" w:rsidRPr="00AD006F">
        <w:rPr>
          <w:rFonts w:cs="Arial"/>
          <w:szCs w:val="19"/>
          <w:lang w:val="en-GB"/>
        </w:rPr>
        <w:t xml:space="preserve">floor </w:t>
      </w:r>
      <w:r w:rsidR="00AD0863">
        <w:rPr>
          <w:rFonts w:cs="Arial"/>
          <w:szCs w:val="19"/>
          <w:lang w:val="en-GB"/>
        </w:rPr>
        <w:t>area</w:t>
      </w:r>
      <w:r w:rsidR="00AD0863" w:rsidRPr="00AD006F">
        <w:rPr>
          <w:rFonts w:cs="Arial"/>
          <w:szCs w:val="19"/>
          <w:lang w:val="en-GB"/>
        </w:rPr>
        <w:t xml:space="preserve"> of the dwelling</w:t>
      </w:r>
      <w:r w:rsidR="00AD0863">
        <w:rPr>
          <w:rFonts w:cs="Arial"/>
          <w:szCs w:val="19"/>
          <w:lang w:val="en-GB"/>
        </w:rPr>
        <w:t>s</w:t>
      </w:r>
      <w:r w:rsidR="00AD0863" w:rsidRPr="00AD006F">
        <w:rPr>
          <w:rFonts w:cs="Arial"/>
          <w:szCs w:val="19"/>
          <w:lang w:val="en-GB"/>
        </w:rPr>
        <w:t xml:space="preserve"> </w:t>
      </w:r>
      <w:r w:rsidR="00AD0863">
        <w:rPr>
          <w:rFonts w:cs="Arial"/>
          <w:szCs w:val="19"/>
          <w:lang w:val="en-GB"/>
        </w:rPr>
        <w:t>occupied</w:t>
      </w:r>
      <w:r w:rsidR="00AD0863" w:rsidRPr="00AD006F">
        <w:rPr>
          <w:rFonts w:cs="Arial"/>
          <w:szCs w:val="19"/>
          <w:lang w:val="en-GB"/>
        </w:rPr>
        <w:t xml:space="preserve"> </w:t>
      </w:r>
      <w:r w:rsidR="00AD0863">
        <w:rPr>
          <w:rFonts w:cs="Arial"/>
          <w:szCs w:val="19"/>
          <w:lang w:val="en-GB"/>
        </w:rPr>
        <w:t>by</w:t>
      </w:r>
      <w:r w:rsidR="00AD0863" w:rsidRPr="00AD006F">
        <w:rPr>
          <w:rFonts w:cs="Arial"/>
          <w:szCs w:val="19"/>
          <w:lang w:val="en-GB"/>
        </w:rPr>
        <w:t xml:space="preserve"> households</w:t>
      </w:r>
      <w:r w:rsidR="00AD0863">
        <w:rPr>
          <w:rFonts w:cs="Arial"/>
          <w:szCs w:val="19"/>
          <w:lang w:val="en-GB"/>
        </w:rPr>
        <w:t xml:space="preserve"> occurred</w:t>
      </w:r>
      <w:r w:rsidR="00951D9D">
        <w:rPr>
          <w:rFonts w:cs="Arial"/>
          <w:szCs w:val="19"/>
          <w:lang w:val="en-GB"/>
        </w:rPr>
        <w:t xml:space="preserve"> only</w:t>
      </w:r>
      <w:r w:rsidR="00AD0863">
        <w:rPr>
          <w:rFonts w:cs="Arial"/>
          <w:szCs w:val="19"/>
          <w:lang w:val="en-GB"/>
        </w:rPr>
        <w:t xml:space="preserve"> in the households of</w:t>
      </w:r>
      <w:r w:rsidRPr="00AD006F">
        <w:rPr>
          <w:rFonts w:cs="Arial"/>
          <w:szCs w:val="19"/>
          <w:lang w:val="en-GB"/>
        </w:rPr>
        <w:t xml:space="preserve"> </w:t>
      </w:r>
      <w:r w:rsidR="00951D9D">
        <w:rPr>
          <w:rFonts w:cs="Arial"/>
          <w:szCs w:val="19"/>
          <w:lang w:val="en-GB"/>
        </w:rPr>
        <w:t>employees and retirees (by 1.</w:t>
      </w:r>
      <w:r w:rsidR="00B72F4F">
        <w:rPr>
          <w:rFonts w:cs="Arial"/>
          <w:szCs w:val="19"/>
          <w:lang w:val="en-GB"/>
        </w:rPr>
        <w:t>4</w:t>
      </w:r>
      <w:r w:rsidR="00951D9D">
        <w:rPr>
          <w:rFonts w:cs="Arial"/>
          <w:szCs w:val="19"/>
          <w:lang w:val="en-GB"/>
        </w:rPr>
        <w:t xml:space="preserve"> </w:t>
      </w:r>
      <w:r w:rsidR="00B72F4F">
        <w:rPr>
          <w:rFonts w:cs="Arial"/>
          <w:szCs w:val="19"/>
          <w:lang w:val="en-GB"/>
        </w:rPr>
        <w:t>m</w:t>
      </w:r>
      <w:r w:rsidR="00B72F4F" w:rsidRPr="00AD006F">
        <w:rPr>
          <w:rFonts w:cs="Arial"/>
          <w:szCs w:val="19"/>
          <w:vertAlign w:val="superscript"/>
          <w:lang w:val="en-GB"/>
        </w:rPr>
        <w:t>2</w:t>
      </w:r>
      <w:r w:rsidR="00827A72">
        <w:rPr>
          <w:rFonts w:cs="Arial"/>
          <w:szCs w:val="19"/>
          <w:lang w:val="en-GB"/>
        </w:rPr>
        <w:t xml:space="preserve"> a</w:t>
      </w:r>
      <w:r w:rsidR="00B72F4F">
        <w:rPr>
          <w:rFonts w:cs="Arial"/>
          <w:szCs w:val="19"/>
          <w:lang w:val="en-GB"/>
        </w:rPr>
        <w:t xml:space="preserve">nd 1.2 </w:t>
      </w:r>
      <w:r w:rsidR="00951D9D" w:rsidRPr="003B2361">
        <w:rPr>
          <w:rFonts w:cs="Arial"/>
          <w:szCs w:val="19"/>
          <w:lang w:val="en-GB"/>
        </w:rPr>
        <w:t>m2</w:t>
      </w:r>
      <w:r w:rsidR="003B2361">
        <w:rPr>
          <w:rFonts w:cs="Arial"/>
          <w:szCs w:val="19"/>
          <w:lang w:val="en-GB"/>
        </w:rPr>
        <w:t xml:space="preserve"> </w:t>
      </w:r>
      <w:r w:rsidR="00B72F4F" w:rsidRPr="003B2361">
        <w:rPr>
          <w:rFonts w:cs="Arial"/>
          <w:szCs w:val="19"/>
          <w:lang w:val="en-GB"/>
        </w:rPr>
        <w:t>respectively</w:t>
      </w:r>
      <w:r w:rsidR="00951D9D" w:rsidRPr="00951D9D">
        <w:rPr>
          <w:rFonts w:cs="Arial"/>
          <w:szCs w:val="19"/>
          <w:lang w:val="en-GB"/>
        </w:rPr>
        <w:t>)</w:t>
      </w:r>
      <w:r w:rsidR="00951D9D">
        <w:rPr>
          <w:rFonts w:cs="Arial"/>
          <w:szCs w:val="19"/>
          <w:lang w:val="en-GB"/>
        </w:rPr>
        <w:t>,</w:t>
      </w:r>
      <w:r w:rsidR="00951D9D" w:rsidRPr="00951D9D">
        <w:rPr>
          <w:rFonts w:cs="Arial"/>
          <w:szCs w:val="19"/>
          <w:lang w:val="en-GB"/>
        </w:rPr>
        <w:t xml:space="preserve"> </w:t>
      </w:r>
      <w:r w:rsidR="00951D9D">
        <w:rPr>
          <w:rFonts w:cs="Arial"/>
          <w:szCs w:val="19"/>
          <w:lang w:val="en-GB"/>
        </w:rPr>
        <w:t xml:space="preserve">while the </w:t>
      </w:r>
      <w:r w:rsidR="00DB37D2">
        <w:rPr>
          <w:rFonts w:cs="Arial"/>
          <w:szCs w:val="19"/>
          <w:lang w:val="en-GB"/>
        </w:rPr>
        <w:t>highest decrease</w:t>
      </w:r>
      <w:r w:rsidR="00951D9D" w:rsidRPr="00951D9D">
        <w:rPr>
          <w:rFonts w:cs="Arial"/>
          <w:szCs w:val="19"/>
          <w:lang w:val="en-GB"/>
        </w:rPr>
        <w:t xml:space="preserve"> </w:t>
      </w:r>
      <w:r w:rsidR="00951D9D" w:rsidRPr="00AD006F">
        <w:rPr>
          <w:rFonts w:cs="Arial"/>
          <w:szCs w:val="19"/>
          <w:lang w:val="en-GB"/>
        </w:rPr>
        <w:t>in</w:t>
      </w:r>
      <w:r w:rsidR="00951D9D">
        <w:rPr>
          <w:rFonts w:cs="Arial"/>
          <w:szCs w:val="19"/>
          <w:lang w:val="en-GB"/>
        </w:rPr>
        <w:t xml:space="preserve"> </w:t>
      </w:r>
      <w:r w:rsidR="00951D9D" w:rsidRPr="00AD006F">
        <w:rPr>
          <w:rFonts w:cs="Arial"/>
          <w:szCs w:val="19"/>
          <w:lang w:val="en-GB"/>
        </w:rPr>
        <w:t>households of</w:t>
      </w:r>
      <w:r w:rsidR="00951D9D">
        <w:rPr>
          <w:rFonts w:cs="Arial"/>
          <w:szCs w:val="19"/>
          <w:lang w:val="en-GB"/>
        </w:rPr>
        <w:t xml:space="preserve"> pensioners (by 2.4 </w:t>
      </w:r>
      <w:r w:rsidR="00951D9D" w:rsidRPr="00AD006F">
        <w:rPr>
          <w:rFonts w:cs="Arial"/>
          <w:szCs w:val="19"/>
          <w:lang w:val="en-GB"/>
        </w:rPr>
        <w:t>m</w:t>
      </w:r>
      <w:r w:rsidR="00951D9D" w:rsidRPr="00AD006F">
        <w:rPr>
          <w:rFonts w:cs="Arial"/>
          <w:szCs w:val="19"/>
          <w:vertAlign w:val="superscript"/>
          <w:lang w:val="en-GB"/>
        </w:rPr>
        <w:t>2</w:t>
      </w:r>
      <w:r w:rsidR="00951D9D">
        <w:rPr>
          <w:rFonts w:cs="Arial"/>
          <w:szCs w:val="19"/>
          <w:lang w:val="en-GB"/>
        </w:rPr>
        <w:t xml:space="preserve">) and </w:t>
      </w:r>
      <w:r w:rsidR="007B7481">
        <w:rPr>
          <w:rFonts w:cs="Arial"/>
          <w:szCs w:val="19"/>
          <w:lang w:val="en-GB"/>
        </w:rPr>
        <w:t>farmers</w:t>
      </w:r>
      <w:r w:rsidR="003D2E26">
        <w:rPr>
          <w:rFonts w:cs="Arial"/>
          <w:szCs w:val="19"/>
          <w:lang w:val="en-GB"/>
        </w:rPr>
        <w:t xml:space="preserve"> </w:t>
      </w:r>
      <w:r w:rsidR="00AD0863">
        <w:rPr>
          <w:rFonts w:cs="Arial"/>
          <w:szCs w:val="19"/>
          <w:lang w:val="en-GB"/>
        </w:rPr>
        <w:t xml:space="preserve">(by </w:t>
      </w:r>
      <w:r w:rsidR="00951D9D">
        <w:rPr>
          <w:rFonts w:cs="Arial"/>
          <w:szCs w:val="19"/>
          <w:lang w:val="en-GB"/>
        </w:rPr>
        <w:t>1.3</w:t>
      </w:r>
      <w:r w:rsidR="00AD0863">
        <w:rPr>
          <w:rFonts w:cs="Arial"/>
          <w:szCs w:val="19"/>
          <w:lang w:val="en-GB"/>
        </w:rPr>
        <w:t xml:space="preserve"> </w:t>
      </w:r>
      <w:r w:rsidR="001A602C" w:rsidRPr="00AD006F">
        <w:rPr>
          <w:rFonts w:cs="Arial"/>
          <w:szCs w:val="19"/>
          <w:lang w:val="en-GB"/>
        </w:rPr>
        <w:t>m</w:t>
      </w:r>
      <w:r w:rsidR="001A602C" w:rsidRPr="00AD006F">
        <w:rPr>
          <w:rFonts w:cs="Arial"/>
          <w:szCs w:val="19"/>
          <w:vertAlign w:val="superscript"/>
          <w:lang w:val="en-GB"/>
        </w:rPr>
        <w:t>2</w:t>
      </w:r>
      <w:r w:rsidR="00AD0863">
        <w:rPr>
          <w:rFonts w:cs="Arial"/>
          <w:szCs w:val="19"/>
          <w:lang w:val="en-GB"/>
        </w:rPr>
        <w:t>)</w:t>
      </w:r>
      <w:r w:rsidRPr="00AD006F">
        <w:rPr>
          <w:rFonts w:cs="Arial"/>
          <w:szCs w:val="19"/>
          <w:lang w:val="en-GB"/>
        </w:rPr>
        <w:t xml:space="preserve">. </w:t>
      </w:r>
    </w:p>
    <w:p w14:paraId="7EE94F55" w14:textId="43CD89DE" w:rsidR="00BB40E7" w:rsidRPr="006E1C16" w:rsidRDefault="00BB40E7" w:rsidP="00AD1C4D">
      <w:pPr>
        <w:spacing w:line="238" w:lineRule="exact"/>
        <w:rPr>
          <w:rFonts w:cs="Arial"/>
          <w:szCs w:val="19"/>
          <w:lang w:val="en-GB"/>
        </w:rPr>
      </w:pPr>
      <w:r w:rsidRPr="006E1C16">
        <w:rPr>
          <w:rFonts w:cs="Arial"/>
          <w:szCs w:val="19"/>
          <w:lang w:val="en-GB"/>
        </w:rPr>
        <w:t xml:space="preserve">The largest </w:t>
      </w:r>
      <w:r w:rsidR="00FE6DCD">
        <w:rPr>
          <w:rFonts w:cs="Arial"/>
          <w:szCs w:val="19"/>
          <w:lang w:val="en-GB"/>
        </w:rPr>
        <w:t xml:space="preserve">average </w:t>
      </w:r>
      <w:r w:rsidRPr="006E1C16">
        <w:rPr>
          <w:rFonts w:cs="Arial"/>
          <w:szCs w:val="19"/>
          <w:lang w:val="en-GB"/>
        </w:rPr>
        <w:t xml:space="preserve">usable floor area </w:t>
      </w:r>
      <w:r w:rsidR="0053510F">
        <w:rPr>
          <w:rFonts w:cs="Arial"/>
          <w:szCs w:val="19"/>
          <w:lang w:val="en-GB"/>
        </w:rPr>
        <w:t xml:space="preserve">of dwellings </w:t>
      </w:r>
      <w:r w:rsidRPr="006E1C16">
        <w:rPr>
          <w:rFonts w:cs="Arial"/>
          <w:szCs w:val="19"/>
          <w:lang w:val="en-GB"/>
        </w:rPr>
        <w:t xml:space="preserve">per </w:t>
      </w:r>
      <w:r w:rsidR="000D7AC4">
        <w:rPr>
          <w:rFonts w:cs="Arial"/>
          <w:szCs w:val="19"/>
          <w:lang w:val="en-GB"/>
        </w:rPr>
        <w:t>capita</w:t>
      </w:r>
      <w:r w:rsidRPr="006E1C16">
        <w:rPr>
          <w:rFonts w:cs="Arial"/>
          <w:szCs w:val="19"/>
          <w:lang w:val="en-GB"/>
        </w:rPr>
        <w:t xml:space="preserve"> was in th</w:t>
      </w:r>
      <w:r>
        <w:rPr>
          <w:rFonts w:cs="Arial"/>
          <w:szCs w:val="19"/>
          <w:lang w:val="en-GB"/>
        </w:rPr>
        <w:t xml:space="preserve">e households of </w:t>
      </w:r>
      <w:r w:rsidR="007B7481">
        <w:rPr>
          <w:rFonts w:cs="Arial"/>
          <w:szCs w:val="19"/>
          <w:lang w:val="en-GB"/>
        </w:rPr>
        <w:t>pensioners</w:t>
      </w:r>
      <w:r w:rsidR="003D2E26">
        <w:rPr>
          <w:rFonts w:cs="Arial"/>
          <w:szCs w:val="19"/>
          <w:lang w:val="en-GB"/>
        </w:rPr>
        <w:t xml:space="preserve"> </w:t>
      </w:r>
      <w:r w:rsidR="00A166BC">
        <w:rPr>
          <w:rFonts w:cs="Arial"/>
          <w:szCs w:val="19"/>
          <w:lang w:val="en-GB"/>
        </w:rPr>
        <w:t>(</w:t>
      </w:r>
      <w:r w:rsidR="00785882">
        <w:rPr>
          <w:rFonts w:cs="Arial"/>
          <w:szCs w:val="19"/>
          <w:lang w:val="en-GB"/>
        </w:rPr>
        <w:t>44.0</w:t>
      </w:r>
      <w:r w:rsidR="00FE6DCD">
        <w:rPr>
          <w:rFonts w:cs="Arial"/>
          <w:szCs w:val="19"/>
          <w:lang w:val="en-GB"/>
        </w:rPr>
        <w:t> </w:t>
      </w:r>
      <w:r w:rsidR="00A166BC">
        <w:rPr>
          <w:rFonts w:cs="Arial"/>
          <w:szCs w:val="19"/>
          <w:lang w:val="en-GB"/>
        </w:rPr>
        <w:t>m</w:t>
      </w:r>
      <w:r w:rsidR="00A166BC">
        <w:rPr>
          <w:rFonts w:cs="Arial"/>
          <w:szCs w:val="19"/>
          <w:vertAlign w:val="superscript"/>
          <w:lang w:val="en-GB"/>
        </w:rPr>
        <w:t>2</w:t>
      </w:r>
      <w:r w:rsidR="00A166BC">
        <w:rPr>
          <w:rFonts w:cs="Arial"/>
          <w:szCs w:val="19"/>
          <w:lang w:val="en-GB"/>
        </w:rPr>
        <w:t xml:space="preserve">) </w:t>
      </w:r>
      <w:r>
        <w:rPr>
          <w:rFonts w:cs="Arial"/>
          <w:szCs w:val="19"/>
          <w:lang w:val="en-GB"/>
        </w:rPr>
        <w:t xml:space="preserve">and </w:t>
      </w:r>
      <w:r w:rsidR="007B7481">
        <w:rPr>
          <w:rFonts w:cs="Arial"/>
          <w:szCs w:val="19"/>
          <w:lang w:val="en-GB"/>
        </w:rPr>
        <w:t>retirees</w:t>
      </w:r>
      <w:r w:rsidR="003D2E26">
        <w:rPr>
          <w:rFonts w:cs="Arial"/>
          <w:szCs w:val="19"/>
          <w:lang w:val="en-GB"/>
        </w:rPr>
        <w:t xml:space="preserve"> </w:t>
      </w:r>
      <w:r>
        <w:rPr>
          <w:rFonts w:cs="Arial"/>
          <w:szCs w:val="19"/>
          <w:lang w:val="en-GB"/>
        </w:rPr>
        <w:t>(</w:t>
      </w:r>
      <w:r w:rsidR="00785882">
        <w:rPr>
          <w:rFonts w:cs="Arial"/>
          <w:szCs w:val="19"/>
          <w:lang w:val="en-GB"/>
        </w:rPr>
        <w:t>40</w:t>
      </w:r>
      <w:r w:rsidR="00CC3BB5">
        <w:rPr>
          <w:rFonts w:cs="Arial"/>
          <w:szCs w:val="19"/>
          <w:lang w:val="en-GB"/>
        </w:rPr>
        <w:t>.0</w:t>
      </w:r>
      <w:r w:rsidRPr="006E1C16">
        <w:rPr>
          <w:rFonts w:cs="Arial"/>
          <w:szCs w:val="19"/>
          <w:lang w:val="en-GB"/>
        </w:rPr>
        <w:t> m</w:t>
      </w:r>
      <w:r w:rsidRPr="006E1C16">
        <w:rPr>
          <w:rFonts w:cs="Arial"/>
          <w:szCs w:val="19"/>
          <w:vertAlign w:val="superscript"/>
          <w:lang w:val="en-GB"/>
        </w:rPr>
        <w:t>2</w:t>
      </w:r>
      <w:r w:rsidRPr="006E1C16">
        <w:rPr>
          <w:rFonts w:cs="Arial"/>
          <w:szCs w:val="19"/>
          <w:lang w:val="en-GB"/>
        </w:rPr>
        <w:t>)</w:t>
      </w:r>
      <w:r w:rsidR="00F06D8F">
        <w:rPr>
          <w:rFonts w:cs="Arial"/>
          <w:szCs w:val="19"/>
          <w:lang w:val="en-GB"/>
        </w:rPr>
        <w:t>,</w:t>
      </w:r>
      <w:r w:rsidRPr="006E1C16">
        <w:rPr>
          <w:rFonts w:cs="Arial"/>
          <w:szCs w:val="19"/>
          <w:lang w:val="en-GB"/>
        </w:rPr>
        <w:t xml:space="preserve"> which is </w:t>
      </w:r>
      <w:r w:rsidR="00F06D8F">
        <w:rPr>
          <w:rFonts w:cs="Arial"/>
          <w:szCs w:val="19"/>
          <w:lang w:val="en-GB"/>
        </w:rPr>
        <w:t>related</w:t>
      </w:r>
      <w:r w:rsidRPr="006E1C16">
        <w:rPr>
          <w:rFonts w:cs="Arial"/>
          <w:szCs w:val="19"/>
          <w:lang w:val="en-GB"/>
        </w:rPr>
        <w:t xml:space="preserve"> to a </w:t>
      </w:r>
      <w:r w:rsidR="00F06D8F">
        <w:rPr>
          <w:rFonts w:cs="Arial"/>
          <w:szCs w:val="19"/>
          <w:lang w:val="en-GB"/>
        </w:rPr>
        <w:t>smaller</w:t>
      </w:r>
      <w:r w:rsidRPr="006E1C16">
        <w:rPr>
          <w:rFonts w:cs="Arial"/>
          <w:szCs w:val="19"/>
          <w:lang w:val="en-GB"/>
        </w:rPr>
        <w:t xml:space="preserve"> number of persons in the household</w:t>
      </w:r>
      <w:r w:rsidR="00F06D8F">
        <w:rPr>
          <w:rFonts w:cs="Arial"/>
          <w:szCs w:val="19"/>
          <w:lang w:val="en-GB"/>
        </w:rPr>
        <w:t>, while</w:t>
      </w:r>
      <w:r w:rsidRPr="006E1C16">
        <w:rPr>
          <w:rFonts w:cs="Arial"/>
          <w:szCs w:val="19"/>
          <w:lang w:val="en-GB"/>
        </w:rPr>
        <w:t xml:space="preserve"> </w:t>
      </w:r>
      <w:r w:rsidR="00F06D8F">
        <w:rPr>
          <w:rFonts w:cs="Arial"/>
          <w:szCs w:val="19"/>
          <w:lang w:val="en-GB"/>
        </w:rPr>
        <w:t>t</w:t>
      </w:r>
      <w:r w:rsidRPr="006E1C16">
        <w:rPr>
          <w:rFonts w:cs="Arial"/>
          <w:szCs w:val="19"/>
          <w:lang w:val="en-GB"/>
        </w:rPr>
        <w:t>he smallest</w:t>
      </w:r>
      <w:r w:rsidR="00785882">
        <w:rPr>
          <w:rFonts w:cs="Arial"/>
          <w:szCs w:val="19"/>
          <w:lang w:val="en-GB"/>
        </w:rPr>
        <w:t xml:space="preserve"> </w:t>
      </w:r>
      <w:r w:rsidR="00F06D8F">
        <w:rPr>
          <w:rFonts w:cs="Arial"/>
          <w:szCs w:val="19"/>
          <w:lang w:val="en-GB"/>
        </w:rPr>
        <w:t>– in</w:t>
      </w:r>
      <w:r w:rsidRPr="006E1C16">
        <w:rPr>
          <w:rFonts w:cs="Arial"/>
          <w:szCs w:val="19"/>
          <w:lang w:val="en-GB"/>
        </w:rPr>
        <w:t xml:space="preserve"> t</w:t>
      </w:r>
      <w:r>
        <w:rPr>
          <w:rFonts w:cs="Arial"/>
          <w:szCs w:val="19"/>
          <w:lang w:val="en-GB"/>
        </w:rPr>
        <w:t>he households of employees (</w:t>
      </w:r>
      <w:r w:rsidR="003D2E26">
        <w:rPr>
          <w:rFonts w:cs="Arial"/>
          <w:szCs w:val="19"/>
          <w:lang w:val="en-GB"/>
        </w:rPr>
        <w:t>27.</w:t>
      </w:r>
      <w:r w:rsidR="00785882">
        <w:rPr>
          <w:rFonts w:cs="Arial"/>
          <w:szCs w:val="19"/>
          <w:lang w:val="en-GB"/>
        </w:rPr>
        <w:t>8</w:t>
      </w:r>
      <w:r w:rsidR="00FE6DCD">
        <w:rPr>
          <w:rFonts w:cs="Arial"/>
          <w:szCs w:val="19"/>
          <w:lang w:val="en-GB"/>
        </w:rPr>
        <w:t> </w:t>
      </w:r>
      <w:r w:rsidRPr="006E1C16">
        <w:rPr>
          <w:rFonts w:cs="Arial"/>
          <w:szCs w:val="19"/>
          <w:lang w:val="en-GB"/>
        </w:rPr>
        <w:t>m</w:t>
      </w:r>
      <w:r w:rsidRPr="006E1C16">
        <w:rPr>
          <w:rFonts w:cs="Arial"/>
          <w:szCs w:val="19"/>
          <w:vertAlign w:val="superscript"/>
          <w:lang w:val="en-GB"/>
        </w:rPr>
        <w:t>2</w:t>
      </w:r>
      <w:r w:rsidRPr="006E1C16">
        <w:rPr>
          <w:rFonts w:cs="Arial"/>
          <w:szCs w:val="19"/>
          <w:lang w:val="en-GB"/>
        </w:rPr>
        <w:t>).</w:t>
      </w:r>
    </w:p>
    <w:p w14:paraId="7EE94F56" w14:textId="1EE84791" w:rsidR="00BB40E7" w:rsidRPr="00290FBD" w:rsidRDefault="00BB40E7" w:rsidP="00AD1C4D">
      <w:pPr>
        <w:spacing w:line="238" w:lineRule="exact"/>
        <w:rPr>
          <w:rFonts w:cs="Arial"/>
          <w:spacing w:val="-2"/>
          <w:szCs w:val="19"/>
          <w:lang w:val="en-GB"/>
        </w:rPr>
      </w:pPr>
      <w:r w:rsidRPr="00290FBD">
        <w:rPr>
          <w:rFonts w:cs="Arial"/>
          <w:spacing w:val="-2"/>
          <w:szCs w:val="19"/>
          <w:lang w:val="en-GB"/>
        </w:rPr>
        <w:t xml:space="preserve">The area of dwellings occupied by households was </w:t>
      </w:r>
      <w:r w:rsidR="00F06D8F">
        <w:rPr>
          <w:rFonts w:cs="Arial"/>
          <w:spacing w:val="-2"/>
          <w:szCs w:val="19"/>
          <w:lang w:val="en-GB"/>
        </w:rPr>
        <w:t>also differentiated according to the</w:t>
      </w:r>
      <w:r w:rsidRPr="00290FBD">
        <w:rPr>
          <w:rFonts w:cs="Arial"/>
          <w:spacing w:val="-2"/>
          <w:szCs w:val="19"/>
          <w:lang w:val="en-GB"/>
        </w:rPr>
        <w:t xml:space="preserve"> level of their income. </w:t>
      </w:r>
      <w:r w:rsidR="00F06D8F">
        <w:rPr>
          <w:rFonts w:cs="Arial"/>
          <w:spacing w:val="-2"/>
          <w:szCs w:val="19"/>
          <w:lang w:val="en-GB"/>
        </w:rPr>
        <w:t>In the case of the h</w:t>
      </w:r>
      <w:r w:rsidRPr="00290FBD">
        <w:rPr>
          <w:rFonts w:cs="Arial"/>
          <w:spacing w:val="-2"/>
          <w:szCs w:val="19"/>
          <w:lang w:val="en-GB"/>
        </w:rPr>
        <w:t>ouseholds with the highest income (5th quintile</w:t>
      </w:r>
      <w:r w:rsidR="00D71B29">
        <w:rPr>
          <w:rFonts w:cs="Arial"/>
          <w:spacing w:val="-2"/>
          <w:szCs w:val="19"/>
          <w:lang w:val="en-GB"/>
        </w:rPr>
        <w:t xml:space="preserve"> group</w:t>
      </w:r>
      <w:r w:rsidRPr="00290FBD">
        <w:rPr>
          <w:rFonts w:cs="Arial"/>
          <w:spacing w:val="-2"/>
          <w:szCs w:val="19"/>
          <w:lang w:val="en-GB"/>
        </w:rPr>
        <w:t xml:space="preserve">) </w:t>
      </w:r>
      <w:r w:rsidR="00CD16C1">
        <w:rPr>
          <w:rFonts w:cs="Arial"/>
          <w:spacing w:val="-2"/>
          <w:szCs w:val="19"/>
          <w:lang w:val="en-GB"/>
        </w:rPr>
        <w:t xml:space="preserve">average </w:t>
      </w:r>
      <w:r w:rsidRPr="00290FBD">
        <w:rPr>
          <w:rFonts w:cs="Arial"/>
          <w:spacing w:val="-2"/>
          <w:szCs w:val="19"/>
          <w:lang w:val="en-GB"/>
        </w:rPr>
        <w:t xml:space="preserve">occupied </w:t>
      </w:r>
      <w:r w:rsidR="00F06D8F">
        <w:rPr>
          <w:rFonts w:cs="Arial"/>
          <w:spacing w:val="-2"/>
          <w:szCs w:val="19"/>
          <w:lang w:val="en-GB"/>
        </w:rPr>
        <w:t xml:space="preserve">area was </w:t>
      </w:r>
      <w:r w:rsidRPr="00290FBD">
        <w:rPr>
          <w:rFonts w:cs="Arial"/>
          <w:spacing w:val="-2"/>
          <w:szCs w:val="19"/>
          <w:lang w:val="en-GB"/>
        </w:rPr>
        <w:t>smaller (</w:t>
      </w:r>
      <w:r w:rsidR="00E33004">
        <w:rPr>
          <w:rFonts w:cs="Arial"/>
          <w:spacing w:val="-2"/>
          <w:szCs w:val="19"/>
          <w:lang w:val="en-GB"/>
        </w:rPr>
        <w:t>8</w:t>
      </w:r>
      <w:r w:rsidR="00CD16C1">
        <w:rPr>
          <w:rFonts w:cs="Arial"/>
          <w:spacing w:val="-2"/>
          <w:szCs w:val="19"/>
          <w:lang w:val="en-GB"/>
        </w:rPr>
        <w:t>3</w:t>
      </w:r>
      <w:r w:rsidR="00E33004">
        <w:rPr>
          <w:rFonts w:cs="Arial"/>
          <w:spacing w:val="-2"/>
          <w:szCs w:val="19"/>
          <w:lang w:val="en-GB"/>
        </w:rPr>
        <w:t>.</w:t>
      </w:r>
      <w:r w:rsidR="00785882">
        <w:rPr>
          <w:rFonts w:cs="Arial"/>
          <w:spacing w:val="-2"/>
          <w:szCs w:val="19"/>
          <w:lang w:val="en-GB"/>
        </w:rPr>
        <w:t>2</w:t>
      </w:r>
      <w:r w:rsidRPr="00290FBD">
        <w:rPr>
          <w:rFonts w:cs="Arial"/>
          <w:spacing w:val="-2"/>
          <w:szCs w:val="19"/>
          <w:lang w:val="en-GB"/>
        </w:rPr>
        <w:t xml:space="preserve"> m</w:t>
      </w:r>
      <w:r w:rsidRPr="00290FBD">
        <w:rPr>
          <w:rFonts w:cs="Arial"/>
          <w:spacing w:val="-2"/>
          <w:szCs w:val="19"/>
          <w:vertAlign w:val="superscript"/>
          <w:lang w:val="en-GB"/>
        </w:rPr>
        <w:t>2</w:t>
      </w:r>
      <w:r w:rsidRPr="00290FBD">
        <w:rPr>
          <w:rFonts w:cs="Arial"/>
          <w:spacing w:val="-2"/>
          <w:szCs w:val="19"/>
          <w:lang w:val="en-GB"/>
        </w:rPr>
        <w:t>) than households with the lowest income (1st quintile</w:t>
      </w:r>
      <w:r w:rsidR="00D71B29">
        <w:rPr>
          <w:rFonts w:cs="Arial"/>
          <w:spacing w:val="-2"/>
          <w:szCs w:val="19"/>
          <w:lang w:val="en-GB"/>
        </w:rPr>
        <w:t xml:space="preserve"> group</w:t>
      </w:r>
      <w:r w:rsidRPr="00290FBD">
        <w:rPr>
          <w:rFonts w:cs="Arial"/>
          <w:spacing w:val="-2"/>
          <w:szCs w:val="19"/>
          <w:lang w:val="en-GB"/>
        </w:rPr>
        <w:t xml:space="preserve">) – </w:t>
      </w:r>
      <w:r w:rsidR="00785882">
        <w:rPr>
          <w:rFonts w:cs="Arial"/>
          <w:spacing w:val="-2"/>
          <w:szCs w:val="19"/>
          <w:lang w:val="en-GB"/>
        </w:rPr>
        <w:t>93.9</w:t>
      </w:r>
      <w:r w:rsidRPr="00290FBD">
        <w:rPr>
          <w:rFonts w:cs="Arial"/>
          <w:spacing w:val="-2"/>
          <w:szCs w:val="19"/>
          <w:lang w:val="en-GB"/>
        </w:rPr>
        <w:t xml:space="preserve"> m</w:t>
      </w:r>
      <w:r w:rsidRPr="00290FBD">
        <w:rPr>
          <w:rFonts w:cs="Arial"/>
          <w:spacing w:val="-2"/>
          <w:szCs w:val="19"/>
          <w:shd w:val="clear" w:color="auto" w:fill="FFFFFF" w:themeFill="background1"/>
          <w:vertAlign w:val="superscript"/>
          <w:lang w:val="en-GB"/>
        </w:rPr>
        <w:t>2</w:t>
      </w:r>
      <w:r w:rsidR="00FE6DCD">
        <w:rPr>
          <w:rFonts w:cs="Arial"/>
          <w:spacing w:val="-2"/>
          <w:szCs w:val="19"/>
          <w:shd w:val="clear" w:color="auto" w:fill="FFFFFF" w:themeFill="background1"/>
          <w:lang w:val="en-GB"/>
        </w:rPr>
        <w:t>.</w:t>
      </w:r>
      <w:r w:rsidRPr="00290FBD">
        <w:rPr>
          <w:rFonts w:cs="Arial"/>
          <w:spacing w:val="-2"/>
          <w:szCs w:val="19"/>
          <w:shd w:val="clear" w:color="auto" w:fill="FFFFFF" w:themeFill="background1"/>
          <w:lang w:val="en-GB"/>
        </w:rPr>
        <w:t xml:space="preserve"> </w:t>
      </w:r>
      <w:r w:rsidR="00FE6DCD">
        <w:rPr>
          <w:rFonts w:cs="Arial"/>
          <w:spacing w:val="-2"/>
          <w:szCs w:val="19"/>
          <w:shd w:val="clear" w:color="auto" w:fill="FFFFFF" w:themeFill="background1"/>
          <w:lang w:val="en-GB"/>
        </w:rPr>
        <w:t>H</w:t>
      </w:r>
      <w:r w:rsidR="00E33004">
        <w:rPr>
          <w:rFonts w:cs="Arial"/>
          <w:spacing w:val="-2"/>
          <w:szCs w:val="19"/>
          <w:shd w:val="clear" w:color="auto" w:fill="FFFFFF" w:themeFill="background1"/>
          <w:lang w:val="en-GB"/>
        </w:rPr>
        <w:t>owever,</w:t>
      </w:r>
      <w:r w:rsidRPr="00290FBD">
        <w:rPr>
          <w:rFonts w:cs="Arial"/>
          <w:spacing w:val="-2"/>
          <w:szCs w:val="19"/>
          <w:shd w:val="clear" w:color="auto" w:fill="FFFFFF" w:themeFill="background1"/>
          <w:lang w:val="en-GB"/>
        </w:rPr>
        <w:t xml:space="preserve"> members </w:t>
      </w:r>
      <w:r w:rsidR="00FE6DCD">
        <w:rPr>
          <w:rFonts w:cs="Arial"/>
          <w:spacing w:val="-2"/>
          <w:szCs w:val="19"/>
          <w:shd w:val="clear" w:color="auto" w:fill="FFFFFF" w:themeFill="background1"/>
          <w:lang w:val="en-GB"/>
        </w:rPr>
        <w:t xml:space="preserve">of households with the highest income </w:t>
      </w:r>
      <w:r w:rsidRPr="00290FBD">
        <w:rPr>
          <w:rFonts w:cs="Arial"/>
          <w:spacing w:val="-2"/>
          <w:szCs w:val="19"/>
          <w:shd w:val="clear" w:color="auto" w:fill="FFFFFF" w:themeFill="background1"/>
          <w:lang w:val="en-GB"/>
        </w:rPr>
        <w:t xml:space="preserve">had </w:t>
      </w:r>
      <w:r w:rsidR="00E33004">
        <w:rPr>
          <w:rFonts w:cs="Arial"/>
          <w:spacing w:val="-2"/>
          <w:szCs w:val="19"/>
          <w:shd w:val="clear" w:color="auto" w:fill="FFFFFF" w:themeFill="background1"/>
          <w:lang w:val="en-GB"/>
        </w:rPr>
        <w:t xml:space="preserve">much </w:t>
      </w:r>
      <w:r w:rsidR="00226C26">
        <w:rPr>
          <w:rFonts w:cs="Arial"/>
          <w:spacing w:val="-2"/>
          <w:szCs w:val="19"/>
          <w:shd w:val="clear" w:color="auto" w:fill="FFFFFF" w:themeFill="background1"/>
          <w:lang w:val="en-GB"/>
        </w:rPr>
        <w:t>greater</w:t>
      </w:r>
      <w:r w:rsidRPr="00290FBD">
        <w:rPr>
          <w:rFonts w:cs="Arial"/>
          <w:spacing w:val="-2"/>
          <w:szCs w:val="19"/>
          <w:shd w:val="clear" w:color="auto" w:fill="FFFFFF" w:themeFill="background1"/>
          <w:lang w:val="en-GB"/>
        </w:rPr>
        <w:t xml:space="preserve"> floor </w:t>
      </w:r>
      <w:r w:rsidR="00E33004">
        <w:rPr>
          <w:rFonts w:cs="Arial"/>
          <w:spacing w:val="-2"/>
          <w:szCs w:val="19"/>
          <w:shd w:val="clear" w:color="auto" w:fill="FFFFFF" w:themeFill="background1"/>
          <w:lang w:val="en-GB"/>
        </w:rPr>
        <w:t>area</w:t>
      </w:r>
      <w:r w:rsidR="0053510F">
        <w:rPr>
          <w:rFonts w:cs="Arial"/>
          <w:spacing w:val="-2"/>
          <w:szCs w:val="19"/>
          <w:shd w:val="clear" w:color="auto" w:fill="FFFFFF" w:themeFill="background1"/>
          <w:lang w:val="en-GB"/>
        </w:rPr>
        <w:t xml:space="preserve"> of a dwelling </w:t>
      </w:r>
      <w:r w:rsidRPr="00290FBD">
        <w:rPr>
          <w:rFonts w:cs="Arial"/>
          <w:spacing w:val="-2"/>
          <w:szCs w:val="19"/>
          <w:shd w:val="clear" w:color="auto" w:fill="FFFFFF" w:themeFill="background1"/>
          <w:lang w:val="en-GB"/>
        </w:rPr>
        <w:t xml:space="preserve">per </w:t>
      </w:r>
      <w:r w:rsidR="000D7AC4" w:rsidRPr="00290FBD">
        <w:rPr>
          <w:rFonts w:cs="Arial"/>
          <w:spacing w:val="-2"/>
          <w:szCs w:val="19"/>
          <w:shd w:val="clear" w:color="auto" w:fill="FFFFFF" w:themeFill="background1"/>
          <w:lang w:val="en-GB"/>
        </w:rPr>
        <w:t>capita</w:t>
      </w:r>
      <w:r w:rsidRPr="00290FBD">
        <w:rPr>
          <w:rFonts w:cs="Arial"/>
          <w:spacing w:val="-2"/>
          <w:szCs w:val="19"/>
          <w:shd w:val="clear" w:color="auto" w:fill="FFFFFF" w:themeFill="background1"/>
          <w:lang w:val="en-GB"/>
        </w:rPr>
        <w:t xml:space="preserve"> (</w:t>
      </w:r>
      <w:r w:rsidR="00785882">
        <w:rPr>
          <w:rFonts w:cs="Arial"/>
          <w:spacing w:val="-2"/>
          <w:szCs w:val="19"/>
          <w:shd w:val="clear" w:color="auto" w:fill="FFFFFF" w:themeFill="background1"/>
          <w:lang w:val="en-GB"/>
        </w:rPr>
        <w:t>39.3</w:t>
      </w:r>
      <w:r w:rsidRPr="00290FBD">
        <w:rPr>
          <w:rFonts w:cs="Arial"/>
          <w:spacing w:val="-2"/>
          <w:szCs w:val="19"/>
          <w:shd w:val="clear" w:color="auto" w:fill="FFFFFF" w:themeFill="background1"/>
          <w:lang w:val="en-GB"/>
        </w:rPr>
        <w:t> m</w:t>
      </w:r>
      <w:r w:rsidRPr="00290FBD">
        <w:rPr>
          <w:rFonts w:cs="Arial"/>
          <w:spacing w:val="-2"/>
          <w:szCs w:val="19"/>
          <w:vertAlign w:val="superscript"/>
          <w:lang w:val="en-GB"/>
        </w:rPr>
        <w:t>2</w:t>
      </w:r>
      <w:r w:rsidR="00FE6DCD">
        <w:rPr>
          <w:rFonts w:cs="Arial"/>
          <w:spacing w:val="-2"/>
          <w:szCs w:val="19"/>
          <w:shd w:val="clear" w:color="auto" w:fill="FFFFFF" w:themeFill="background1"/>
          <w:lang w:val="en-GB"/>
        </w:rPr>
        <w:t>) than households with the lowest income (</w:t>
      </w:r>
      <w:r w:rsidR="00785882">
        <w:rPr>
          <w:rFonts w:cs="Arial"/>
          <w:spacing w:val="-2"/>
          <w:szCs w:val="19"/>
          <w:shd w:val="clear" w:color="auto" w:fill="FFFFFF" w:themeFill="background1"/>
          <w:lang w:val="en-GB"/>
        </w:rPr>
        <w:t>26.1</w:t>
      </w:r>
      <w:r w:rsidRPr="00290FBD">
        <w:rPr>
          <w:rFonts w:cs="Arial"/>
          <w:spacing w:val="-2"/>
          <w:szCs w:val="19"/>
          <w:shd w:val="clear" w:color="auto" w:fill="FFFFFF" w:themeFill="background1"/>
          <w:lang w:val="en-GB"/>
        </w:rPr>
        <w:t xml:space="preserve"> m</w:t>
      </w:r>
      <w:r w:rsidRPr="00290FBD">
        <w:rPr>
          <w:rFonts w:cs="Arial"/>
          <w:spacing w:val="-2"/>
          <w:szCs w:val="19"/>
          <w:vertAlign w:val="superscript"/>
          <w:lang w:val="en-GB"/>
        </w:rPr>
        <w:t>2</w:t>
      </w:r>
      <w:r w:rsidRPr="00290FBD">
        <w:rPr>
          <w:rFonts w:cs="Arial"/>
          <w:spacing w:val="-2"/>
          <w:szCs w:val="19"/>
          <w:shd w:val="clear" w:color="auto" w:fill="FFFFFF" w:themeFill="background1"/>
          <w:lang w:val="en-GB"/>
        </w:rPr>
        <w:t>)</w:t>
      </w:r>
      <w:r w:rsidRPr="00290FBD">
        <w:rPr>
          <w:rStyle w:val="Odwoanieprzypisudolnego"/>
          <w:rFonts w:cs="Arial"/>
          <w:spacing w:val="-2"/>
          <w:szCs w:val="19"/>
          <w:lang w:val="en-GB"/>
        </w:rPr>
        <w:footnoteReference w:id="8"/>
      </w:r>
      <w:r w:rsidRPr="00290FBD">
        <w:rPr>
          <w:rFonts w:cs="Arial"/>
          <w:spacing w:val="-2"/>
          <w:szCs w:val="19"/>
          <w:shd w:val="clear" w:color="auto" w:fill="FFFFFF" w:themeFill="background1"/>
          <w:lang w:val="en-GB"/>
        </w:rPr>
        <w:t>.</w:t>
      </w:r>
      <w:r w:rsidR="00F5255B">
        <w:rPr>
          <w:rFonts w:cs="Arial"/>
          <w:spacing w:val="-2"/>
          <w:szCs w:val="19"/>
          <w:shd w:val="clear" w:color="auto" w:fill="FFFFFF" w:themeFill="background1"/>
          <w:lang w:val="en-GB"/>
        </w:rPr>
        <w:t xml:space="preserve"> </w:t>
      </w:r>
    </w:p>
    <w:p w14:paraId="7EE94F57" w14:textId="2D0E9A10" w:rsidR="00E33004" w:rsidRDefault="00E33004" w:rsidP="00AD1C4D">
      <w:pPr>
        <w:rPr>
          <w:rFonts w:cs="Arial"/>
          <w:bCs/>
          <w:szCs w:val="19"/>
          <w:lang w:val="en-GB"/>
        </w:rPr>
      </w:pPr>
      <w:r w:rsidRPr="00E33004">
        <w:rPr>
          <w:rFonts w:cs="Arial"/>
          <w:bCs/>
          <w:szCs w:val="19"/>
          <w:lang w:val="en-GB"/>
        </w:rPr>
        <w:t>The equip</w:t>
      </w:r>
      <w:r w:rsidR="003C7300">
        <w:rPr>
          <w:rFonts w:cs="Arial"/>
          <w:bCs/>
          <w:szCs w:val="19"/>
          <w:lang w:val="en-GB"/>
        </w:rPr>
        <w:t xml:space="preserve">ment </w:t>
      </w:r>
      <w:r w:rsidRPr="00E33004">
        <w:rPr>
          <w:rFonts w:cs="Arial"/>
          <w:bCs/>
          <w:szCs w:val="19"/>
          <w:lang w:val="en-GB"/>
        </w:rPr>
        <w:t xml:space="preserve">of </w:t>
      </w:r>
      <w:r>
        <w:rPr>
          <w:rFonts w:cs="Arial"/>
          <w:bCs/>
          <w:szCs w:val="19"/>
          <w:lang w:val="en-GB"/>
        </w:rPr>
        <w:t>dwellings</w:t>
      </w:r>
      <w:r w:rsidRPr="00E33004">
        <w:rPr>
          <w:rFonts w:cs="Arial"/>
          <w:bCs/>
          <w:szCs w:val="19"/>
          <w:lang w:val="en-GB"/>
        </w:rPr>
        <w:t xml:space="preserve"> with technical and sanitary installations is systematically improving. </w:t>
      </w:r>
      <w:r>
        <w:rPr>
          <w:rFonts w:cs="Arial"/>
          <w:bCs/>
          <w:szCs w:val="19"/>
          <w:lang w:val="en-GB"/>
        </w:rPr>
        <w:t>Dwellings equipped with running</w:t>
      </w:r>
      <w:r w:rsidRPr="00E33004">
        <w:rPr>
          <w:rFonts w:cs="Arial"/>
          <w:bCs/>
          <w:szCs w:val="19"/>
          <w:lang w:val="en-GB"/>
        </w:rPr>
        <w:t xml:space="preserve"> water accounted for 99.9% of all households, </w:t>
      </w:r>
      <w:r w:rsidR="003D2E26">
        <w:rPr>
          <w:rFonts w:cs="Arial"/>
          <w:bCs/>
          <w:szCs w:val="19"/>
          <w:lang w:val="en-GB"/>
        </w:rPr>
        <w:t>with sewage system and</w:t>
      </w:r>
      <w:r w:rsidRPr="00E33004">
        <w:rPr>
          <w:rFonts w:cs="Arial"/>
          <w:bCs/>
          <w:szCs w:val="19"/>
          <w:lang w:val="en-GB"/>
        </w:rPr>
        <w:t xml:space="preserve"> a flush</w:t>
      </w:r>
      <w:r>
        <w:rPr>
          <w:rFonts w:cs="Arial"/>
          <w:bCs/>
          <w:szCs w:val="19"/>
          <w:lang w:val="en-GB"/>
        </w:rPr>
        <w:t>ing</w:t>
      </w:r>
      <w:r w:rsidRPr="00E33004">
        <w:rPr>
          <w:rFonts w:cs="Arial"/>
          <w:bCs/>
          <w:szCs w:val="19"/>
          <w:lang w:val="en-GB"/>
        </w:rPr>
        <w:t xml:space="preserve"> toilet </w:t>
      </w:r>
      <w:r>
        <w:rPr>
          <w:rFonts w:cs="Arial"/>
          <w:bCs/>
          <w:szCs w:val="19"/>
          <w:lang w:val="en-GB"/>
        </w:rPr>
        <w:t>–</w:t>
      </w:r>
      <w:r w:rsidRPr="00E33004">
        <w:rPr>
          <w:rFonts w:cs="Arial"/>
          <w:bCs/>
          <w:szCs w:val="19"/>
          <w:lang w:val="en-GB"/>
        </w:rPr>
        <w:t xml:space="preserve"> 9</w:t>
      </w:r>
      <w:r w:rsidR="00A166BC">
        <w:rPr>
          <w:rFonts w:cs="Arial"/>
          <w:bCs/>
          <w:szCs w:val="19"/>
          <w:lang w:val="en-GB"/>
        </w:rPr>
        <w:t>9</w:t>
      </w:r>
      <w:r w:rsidRPr="00E33004">
        <w:rPr>
          <w:rFonts w:cs="Arial"/>
          <w:bCs/>
          <w:szCs w:val="19"/>
          <w:lang w:val="en-GB"/>
        </w:rPr>
        <w:t>.</w:t>
      </w:r>
      <w:r w:rsidR="00785882">
        <w:rPr>
          <w:rFonts w:cs="Arial"/>
          <w:bCs/>
          <w:szCs w:val="19"/>
          <w:lang w:val="en-GB"/>
        </w:rPr>
        <w:t>3</w:t>
      </w:r>
      <w:r w:rsidRPr="00E33004">
        <w:rPr>
          <w:rFonts w:cs="Arial"/>
          <w:bCs/>
          <w:szCs w:val="19"/>
          <w:lang w:val="en-GB"/>
        </w:rPr>
        <w:t>%</w:t>
      </w:r>
      <w:r w:rsidR="003D2E26">
        <w:rPr>
          <w:rFonts w:cs="Arial"/>
          <w:bCs/>
          <w:szCs w:val="19"/>
          <w:lang w:val="en-GB"/>
        </w:rPr>
        <w:t xml:space="preserve"> each,</w:t>
      </w:r>
      <w:r w:rsidRPr="00E33004">
        <w:rPr>
          <w:rFonts w:cs="Arial"/>
          <w:bCs/>
          <w:szCs w:val="19"/>
          <w:lang w:val="en-GB"/>
        </w:rPr>
        <w:t xml:space="preserve"> and </w:t>
      </w:r>
      <w:r>
        <w:rPr>
          <w:rFonts w:cs="Arial"/>
          <w:bCs/>
          <w:szCs w:val="19"/>
          <w:lang w:val="en-GB"/>
        </w:rPr>
        <w:t xml:space="preserve">with </w:t>
      </w:r>
      <w:r w:rsidRPr="00E33004">
        <w:rPr>
          <w:rFonts w:cs="Arial"/>
          <w:bCs/>
          <w:szCs w:val="19"/>
          <w:lang w:val="en-GB"/>
        </w:rPr>
        <w:t xml:space="preserve">a bathroom </w:t>
      </w:r>
      <w:r>
        <w:rPr>
          <w:rFonts w:cs="Arial"/>
          <w:bCs/>
          <w:szCs w:val="19"/>
          <w:lang w:val="en-GB"/>
        </w:rPr>
        <w:t>–</w:t>
      </w:r>
      <w:r w:rsidRPr="00E33004">
        <w:rPr>
          <w:rFonts w:cs="Arial"/>
          <w:bCs/>
          <w:szCs w:val="19"/>
          <w:lang w:val="en-GB"/>
        </w:rPr>
        <w:t xml:space="preserve"> 9</w:t>
      </w:r>
      <w:r w:rsidR="00A166BC">
        <w:rPr>
          <w:rFonts w:cs="Arial"/>
          <w:bCs/>
          <w:szCs w:val="19"/>
          <w:lang w:val="en-GB"/>
        </w:rPr>
        <w:t>9</w:t>
      </w:r>
      <w:r w:rsidRPr="00E33004">
        <w:rPr>
          <w:rFonts w:cs="Arial"/>
          <w:bCs/>
          <w:szCs w:val="19"/>
          <w:lang w:val="en-GB"/>
        </w:rPr>
        <w:t>.</w:t>
      </w:r>
      <w:r w:rsidR="00785882">
        <w:rPr>
          <w:rFonts w:cs="Arial"/>
          <w:bCs/>
          <w:szCs w:val="19"/>
          <w:lang w:val="en-GB"/>
        </w:rPr>
        <w:t>2</w:t>
      </w:r>
      <w:r w:rsidRPr="00E33004">
        <w:rPr>
          <w:rFonts w:cs="Arial"/>
          <w:bCs/>
          <w:szCs w:val="19"/>
          <w:lang w:val="en-GB"/>
        </w:rPr>
        <w:t>%.</w:t>
      </w:r>
    </w:p>
    <w:p w14:paraId="7EE94F58" w14:textId="7FF36B25" w:rsidR="00E33004" w:rsidRDefault="00AD0863" w:rsidP="00AD1C4D">
      <w:pPr>
        <w:rPr>
          <w:rFonts w:cs="Arial"/>
          <w:szCs w:val="19"/>
          <w:lang w:val="en-GB"/>
        </w:rPr>
      </w:pPr>
      <w:r>
        <w:rPr>
          <w:rFonts w:cs="Arial"/>
          <w:szCs w:val="19"/>
          <w:lang w:val="en-GB"/>
        </w:rPr>
        <w:t>As in the previous years</w:t>
      </w:r>
      <w:r w:rsidR="00E33004" w:rsidRPr="00E33004">
        <w:rPr>
          <w:rFonts w:cs="Arial"/>
          <w:szCs w:val="19"/>
          <w:lang w:val="en-GB"/>
        </w:rPr>
        <w:t>, the best equipped with technical and sanitary installations (</w:t>
      </w:r>
      <w:r w:rsidR="00E33004">
        <w:rPr>
          <w:rFonts w:cs="Arial"/>
          <w:szCs w:val="19"/>
          <w:lang w:val="en-GB"/>
        </w:rPr>
        <w:t>except</w:t>
      </w:r>
      <w:r w:rsidR="00E33004" w:rsidRPr="00E33004">
        <w:rPr>
          <w:rFonts w:cs="Arial"/>
          <w:szCs w:val="19"/>
          <w:lang w:val="en-GB"/>
        </w:rPr>
        <w:t xml:space="preserve"> gas and central heating) were the </w:t>
      </w:r>
      <w:r w:rsidR="00E33004">
        <w:rPr>
          <w:rFonts w:cs="Arial"/>
          <w:szCs w:val="19"/>
          <w:lang w:val="en-GB"/>
        </w:rPr>
        <w:t>dwellings</w:t>
      </w:r>
      <w:r w:rsidR="00E33004" w:rsidRPr="00E33004">
        <w:rPr>
          <w:rFonts w:cs="Arial"/>
          <w:szCs w:val="19"/>
          <w:lang w:val="en-GB"/>
        </w:rPr>
        <w:t xml:space="preserve"> of self-employed outside farm</w:t>
      </w:r>
      <w:r w:rsidR="00E33004">
        <w:rPr>
          <w:rFonts w:cs="Arial"/>
          <w:szCs w:val="19"/>
          <w:lang w:val="en-GB"/>
        </w:rPr>
        <w:t>ing</w:t>
      </w:r>
      <w:r w:rsidR="0053510F">
        <w:rPr>
          <w:rFonts w:cs="Arial"/>
          <w:szCs w:val="19"/>
          <w:lang w:val="en-GB"/>
        </w:rPr>
        <w:t xml:space="preserve"> persons</w:t>
      </w:r>
      <w:r w:rsidR="00E33004" w:rsidRPr="00E33004">
        <w:rPr>
          <w:rFonts w:cs="Arial"/>
          <w:szCs w:val="19"/>
          <w:lang w:val="en-GB"/>
        </w:rPr>
        <w:t xml:space="preserve">, and the worst </w:t>
      </w:r>
      <w:r w:rsidR="00E33004">
        <w:rPr>
          <w:rFonts w:cs="Arial"/>
          <w:szCs w:val="19"/>
          <w:lang w:val="en-GB"/>
        </w:rPr>
        <w:t>–</w:t>
      </w:r>
      <w:r w:rsidR="00E33004" w:rsidRPr="00E33004">
        <w:rPr>
          <w:rFonts w:cs="Arial"/>
          <w:szCs w:val="19"/>
          <w:lang w:val="en-GB"/>
        </w:rPr>
        <w:t xml:space="preserve"> households of pensioners.</w:t>
      </w:r>
    </w:p>
    <w:p w14:paraId="7EE94F59" w14:textId="243920CB" w:rsidR="00BB40E7" w:rsidRDefault="00BB40E7" w:rsidP="00AD1C4D">
      <w:pPr>
        <w:rPr>
          <w:rFonts w:cs="Arial"/>
          <w:szCs w:val="19"/>
          <w:lang w:val="en-GB"/>
        </w:rPr>
      </w:pPr>
      <w:r w:rsidRPr="006E1C16">
        <w:rPr>
          <w:rFonts w:cs="Arial"/>
          <w:szCs w:val="19"/>
          <w:lang w:val="en-GB"/>
        </w:rPr>
        <w:t xml:space="preserve">Households in urban areas were slightly better equipped with sanitary and technical installations </w:t>
      </w:r>
      <w:r w:rsidR="001D40F5">
        <w:rPr>
          <w:rFonts w:cs="Arial"/>
          <w:szCs w:val="19"/>
          <w:lang w:val="en-GB"/>
        </w:rPr>
        <w:t>than households in rural areas</w:t>
      </w:r>
      <w:r w:rsidR="00CD16C1">
        <w:rPr>
          <w:rFonts w:cs="Arial"/>
          <w:szCs w:val="19"/>
          <w:lang w:val="en-GB"/>
        </w:rPr>
        <w:t xml:space="preserve">, </w:t>
      </w:r>
      <w:r w:rsidR="00CD16C1" w:rsidRPr="006E1C16">
        <w:rPr>
          <w:rFonts w:cs="Arial"/>
          <w:szCs w:val="19"/>
          <w:lang w:val="en-GB"/>
        </w:rPr>
        <w:t xml:space="preserve">except </w:t>
      </w:r>
      <w:r w:rsidR="00CD16C1">
        <w:rPr>
          <w:rFonts w:cs="Arial"/>
          <w:szCs w:val="19"/>
          <w:lang w:val="en-GB"/>
        </w:rPr>
        <w:t xml:space="preserve">equipping with </w:t>
      </w:r>
      <w:r w:rsidR="00CD16C1" w:rsidRPr="006E1C16">
        <w:rPr>
          <w:rFonts w:cs="Arial"/>
          <w:szCs w:val="19"/>
          <w:lang w:val="en-GB"/>
        </w:rPr>
        <w:t>gas</w:t>
      </w:r>
      <w:r w:rsidR="00CD16C1">
        <w:rPr>
          <w:rFonts w:cs="Arial"/>
          <w:szCs w:val="19"/>
          <w:lang w:val="en-GB"/>
        </w:rPr>
        <w:t xml:space="preserve">, </w:t>
      </w:r>
      <w:r w:rsidR="00CD16C1" w:rsidRPr="00CD16C1">
        <w:rPr>
          <w:rFonts w:cs="Arial"/>
          <w:szCs w:val="19"/>
          <w:lang w:val="en-GB"/>
        </w:rPr>
        <w:t>which is related to the refusal to equip new multi-family buildings with gas installations</w:t>
      </w:r>
      <w:r w:rsidR="001D40F5">
        <w:rPr>
          <w:rFonts w:cs="Arial"/>
          <w:szCs w:val="19"/>
          <w:lang w:val="en-GB"/>
        </w:rPr>
        <w:t>.</w:t>
      </w:r>
      <w:r w:rsidR="00A166BC">
        <w:rPr>
          <w:rFonts w:cs="Arial"/>
          <w:szCs w:val="19"/>
          <w:lang w:val="en-GB"/>
        </w:rPr>
        <w:t xml:space="preserve"> </w:t>
      </w:r>
    </w:p>
    <w:p w14:paraId="7EE94F5A" w14:textId="41414572" w:rsidR="00BB40E7" w:rsidRPr="00DF1506" w:rsidRDefault="005E540A" w:rsidP="00DC28C6">
      <w:pPr>
        <w:spacing w:before="360" w:after="360" w:line="240" w:lineRule="auto"/>
        <w:jc w:val="both"/>
        <w:rPr>
          <w:spacing w:val="-2"/>
          <w:szCs w:val="19"/>
          <w:shd w:val="clear" w:color="auto" w:fill="FFFFFF"/>
          <w:lang w:val="en-GB"/>
        </w:rPr>
      </w:pPr>
      <w:r w:rsidRPr="002D6870">
        <w:rPr>
          <w:noProof/>
          <w:lang w:eastAsia="pl-PL"/>
        </w:rPr>
        <w:lastRenderedPageBreak/>
        <mc:AlternateContent>
          <mc:Choice Requires="wps">
            <w:drawing>
              <wp:anchor distT="45720" distB="45720" distL="114300" distR="114300" simplePos="0" relativeHeight="251834368" behindDoc="1" locked="0" layoutInCell="1" allowOverlap="1" wp14:anchorId="7EE94FD0" wp14:editId="2F04583C">
                <wp:simplePos x="0" y="0"/>
                <wp:positionH relativeFrom="column">
                  <wp:posOffset>5261610</wp:posOffset>
                </wp:positionH>
                <wp:positionV relativeFrom="paragraph">
                  <wp:posOffset>931545</wp:posOffset>
                </wp:positionV>
                <wp:extent cx="1725295" cy="1380490"/>
                <wp:effectExtent l="0" t="0" r="0" b="0"/>
                <wp:wrapTight wrapText="bothSides">
                  <wp:wrapPolygon edited="0">
                    <wp:start x="715" y="0"/>
                    <wp:lineTo x="715" y="21163"/>
                    <wp:lineTo x="20749" y="21163"/>
                    <wp:lineTo x="20749" y="0"/>
                    <wp:lineTo x="715" y="0"/>
                  </wp:wrapPolygon>
                </wp:wrapTight>
                <wp:docPr id="51"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80490"/>
                        </a:xfrm>
                        <a:prstGeom prst="rect">
                          <a:avLst/>
                        </a:prstGeom>
                        <a:noFill/>
                        <a:ln w="9525">
                          <a:noFill/>
                          <a:miter lim="800000"/>
                          <a:headEnd/>
                          <a:tailEnd/>
                        </a:ln>
                      </wps:spPr>
                      <wps:txbx>
                        <w:txbxContent>
                          <w:p w14:paraId="7EE95022" w14:textId="77777777" w:rsidR="00882B10" w:rsidRPr="007E0E31" w:rsidRDefault="00882B10" w:rsidP="00BB40E7">
                            <w:pPr>
                              <w:rPr>
                                <w:color w:val="001D77"/>
                                <w:szCs w:val="18"/>
                                <w:lang w:val="en-GB"/>
                              </w:rPr>
                            </w:pPr>
                            <w:r w:rsidRPr="007E0E31">
                              <w:rPr>
                                <w:rFonts w:cs="Arial"/>
                                <w:color w:val="001D77"/>
                                <w:szCs w:val="19"/>
                                <w:lang w:val="en-GB"/>
                              </w:rPr>
                              <w:t>Households in urban areas were slightly better equipped with sanitary and technical installations (except gas) than households in rural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EE94FD0" id="Pole tekstowe 25" o:spid="_x0000_s1041" type="#_x0000_t202" style="position:absolute;left:0;text-align:left;margin-left:414.3pt;margin-top:73.35pt;width:135.85pt;height:108.7pt;z-index:-25148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" filled="f" stroked="f">
                <v:textbox>
                  <w:txbxContent>
                    <w:p w14:paraId="7EE95022" w14:textId="77777777" w:rsidR="00882B10" w:rsidRPr="007E0E31" w:rsidRDefault="00882B10" w:rsidP="00BB40E7">
                      <w:pPr>
                        <w:rPr>
                          <w:color w:val="001D77"/>
                          <w:szCs w:val="18"/>
                          <w:lang w:val="en-GB"/>
                        </w:rPr>
                      </w:pPr>
                      <w:r w:rsidRPr="007E0E31">
                        <w:rPr>
                          <w:rFonts w:cs="Arial"/>
                          <w:color w:val="001D77"/>
                          <w:szCs w:val="19"/>
                          <w:lang w:val="en-GB"/>
                        </w:rPr>
                        <w:t>Households in urban areas were slightly better equipped with sanitary and technical installations (except gas) than households in rural areas</w:t>
                      </w:r>
                    </w:p>
                  </w:txbxContent>
                </v:textbox>
                <w10:wrap type="tight"/>
              </v:shape>
            </w:pict>
          </mc:Fallback>
        </mc:AlternateContent>
      </w:r>
      <w:r w:rsidR="00785882">
        <w:rPr>
          <w:noProof/>
          <w:lang w:eastAsia="pl-PL"/>
        </w:rPr>
        <w:drawing>
          <wp:inline distT="0" distB="0" distL="0" distR="0" wp14:anchorId="0B90BEA0" wp14:editId="3D7763BB">
            <wp:extent cx="5122545" cy="2844000"/>
            <wp:effectExtent l="0" t="0" r="1905" b="0"/>
            <wp:docPr id="30" name="Wykres 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E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E94F5C" w14:textId="4C1DDC6F" w:rsidR="00BB40E7" w:rsidRDefault="003C7300" w:rsidP="002D6870">
      <w:pPr>
        <w:rPr>
          <w:rFonts w:cs="Arial"/>
          <w:bCs/>
          <w:spacing w:val="2"/>
          <w:szCs w:val="19"/>
          <w:lang w:val="en-GB"/>
        </w:rPr>
      </w:pPr>
      <w:r>
        <w:rPr>
          <w:rFonts w:cs="Arial"/>
          <w:bCs/>
          <w:spacing w:val="2"/>
          <w:szCs w:val="19"/>
          <w:lang w:val="en-GB"/>
        </w:rPr>
        <w:t>T</w:t>
      </w:r>
      <w:r w:rsidR="00534B2A">
        <w:rPr>
          <w:rFonts w:cs="Arial"/>
          <w:bCs/>
          <w:spacing w:val="2"/>
          <w:szCs w:val="19"/>
          <w:lang w:val="en-GB"/>
        </w:rPr>
        <w:t xml:space="preserve">here is clear relationship </w:t>
      </w:r>
      <w:r>
        <w:rPr>
          <w:rFonts w:cs="Arial"/>
          <w:bCs/>
          <w:spacing w:val="2"/>
          <w:szCs w:val="19"/>
          <w:lang w:val="en-GB"/>
        </w:rPr>
        <w:t xml:space="preserve">between </w:t>
      </w:r>
      <w:r w:rsidRPr="00AD1C4D">
        <w:rPr>
          <w:rFonts w:cs="Arial"/>
          <w:bCs/>
          <w:spacing w:val="2"/>
          <w:szCs w:val="19"/>
          <w:lang w:val="en-GB"/>
        </w:rPr>
        <w:t>household’s</w:t>
      </w:r>
      <w:r>
        <w:rPr>
          <w:rFonts w:cs="Arial"/>
          <w:bCs/>
          <w:spacing w:val="2"/>
          <w:szCs w:val="19"/>
          <w:lang w:val="en-GB"/>
        </w:rPr>
        <w:t xml:space="preserve"> income and t</w:t>
      </w:r>
      <w:r w:rsidR="00BB40E7" w:rsidRPr="002D6870">
        <w:rPr>
          <w:rFonts w:cs="Arial"/>
          <w:bCs/>
          <w:spacing w:val="2"/>
          <w:szCs w:val="19"/>
          <w:lang w:val="en-GB"/>
        </w:rPr>
        <w:t xml:space="preserve">he equipment </w:t>
      </w:r>
      <w:r w:rsidR="00BB40E7" w:rsidRPr="00AD1C4D">
        <w:rPr>
          <w:rFonts w:cs="Arial"/>
          <w:bCs/>
          <w:spacing w:val="2"/>
          <w:szCs w:val="19"/>
          <w:lang w:val="en-GB"/>
        </w:rPr>
        <w:t>of dwellings in sanitary and technical install</w:t>
      </w:r>
      <w:r w:rsidR="00BC16CA" w:rsidRPr="00AD1C4D">
        <w:rPr>
          <w:rFonts w:cs="Arial"/>
          <w:bCs/>
          <w:spacing w:val="2"/>
          <w:szCs w:val="19"/>
          <w:lang w:val="en-GB"/>
        </w:rPr>
        <w:t>ations</w:t>
      </w:r>
      <w:r w:rsidR="00BB40E7" w:rsidRPr="00AD1C4D">
        <w:rPr>
          <w:rFonts w:cs="Arial"/>
          <w:bCs/>
          <w:spacing w:val="2"/>
          <w:szCs w:val="19"/>
          <w:lang w:val="en-GB"/>
        </w:rPr>
        <w:t xml:space="preserve">, </w:t>
      </w:r>
      <w:r w:rsidR="001B1600">
        <w:rPr>
          <w:rFonts w:cs="Arial"/>
          <w:bCs/>
          <w:spacing w:val="2"/>
          <w:szCs w:val="19"/>
          <w:lang w:val="en-GB"/>
        </w:rPr>
        <w:t>except</w:t>
      </w:r>
      <w:r w:rsidR="00BB40E7" w:rsidRPr="00AD1C4D">
        <w:rPr>
          <w:rFonts w:cs="Arial"/>
          <w:bCs/>
          <w:spacing w:val="2"/>
          <w:szCs w:val="19"/>
          <w:lang w:val="en-GB"/>
        </w:rPr>
        <w:t xml:space="preserve"> gas, which </w:t>
      </w:r>
      <w:r w:rsidR="00D856F5" w:rsidRPr="00AD1C4D">
        <w:rPr>
          <w:rFonts w:cs="Arial"/>
          <w:bCs/>
          <w:spacing w:val="2"/>
          <w:szCs w:val="19"/>
          <w:lang w:val="en-GB"/>
        </w:rPr>
        <w:t>was</w:t>
      </w:r>
      <w:r w:rsidR="00BB40E7" w:rsidRPr="00AD1C4D">
        <w:rPr>
          <w:rFonts w:cs="Arial"/>
          <w:bCs/>
          <w:spacing w:val="2"/>
          <w:szCs w:val="19"/>
          <w:lang w:val="en-GB"/>
        </w:rPr>
        <w:t xml:space="preserve"> use</w:t>
      </w:r>
      <w:r w:rsidR="00D856F5" w:rsidRPr="00AD1C4D">
        <w:rPr>
          <w:rFonts w:cs="Arial"/>
          <w:bCs/>
          <w:spacing w:val="2"/>
          <w:szCs w:val="19"/>
          <w:lang w:val="en-GB"/>
        </w:rPr>
        <w:t>d by</w:t>
      </w:r>
      <w:r w:rsidR="00BB40E7" w:rsidRPr="00AD1C4D">
        <w:rPr>
          <w:rFonts w:cs="Arial"/>
          <w:bCs/>
          <w:spacing w:val="2"/>
          <w:szCs w:val="19"/>
          <w:lang w:val="en-GB"/>
        </w:rPr>
        <w:t xml:space="preserve"> the richest households</w:t>
      </w:r>
      <w:r w:rsidR="00D856F5" w:rsidRPr="00AD1C4D">
        <w:rPr>
          <w:rFonts w:cs="Arial"/>
          <w:bCs/>
          <w:spacing w:val="2"/>
          <w:szCs w:val="19"/>
          <w:lang w:val="en-GB"/>
        </w:rPr>
        <w:t xml:space="preserve"> the least</w:t>
      </w:r>
      <w:r w:rsidR="00290FBD" w:rsidRPr="00AD1C4D">
        <w:rPr>
          <w:rFonts w:cs="Arial"/>
          <w:bCs/>
          <w:spacing w:val="2"/>
          <w:szCs w:val="19"/>
          <w:lang w:val="en-GB"/>
        </w:rPr>
        <w:t xml:space="preserve"> (5</w:t>
      </w:r>
      <w:r w:rsidR="00BC16CA" w:rsidRPr="00AD1C4D">
        <w:rPr>
          <w:rFonts w:cs="Arial"/>
          <w:bCs/>
          <w:spacing w:val="2"/>
          <w:szCs w:val="19"/>
          <w:lang w:val="en-GB"/>
        </w:rPr>
        <w:t>th</w:t>
      </w:r>
      <w:r w:rsidR="00290FBD" w:rsidRPr="00AD1C4D">
        <w:rPr>
          <w:rFonts w:cs="Arial"/>
          <w:bCs/>
          <w:spacing w:val="2"/>
          <w:szCs w:val="19"/>
          <w:lang w:val="en-GB"/>
        </w:rPr>
        <w:t> </w:t>
      </w:r>
      <w:r w:rsidR="00BB40E7" w:rsidRPr="00AD1C4D">
        <w:rPr>
          <w:rFonts w:cs="Arial"/>
          <w:bCs/>
          <w:spacing w:val="2"/>
          <w:szCs w:val="19"/>
          <w:lang w:val="en-GB"/>
        </w:rPr>
        <w:t>quintile group).</w:t>
      </w:r>
      <w:r w:rsidR="00BB40E7" w:rsidRPr="00AD1C4D">
        <w:rPr>
          <w:rFonts w:cs="Arial"/>
          <w:spacing w:val="2"/>
          <w:szCs w:val="19"/>
          <w:lang w:val="en-GB"/>
        </w:rPr>
        <w:t xml:space="preserve"> </w:t>
      </w:r>
      <w:r w:rsidR="00BB40E7" w:rsidRPr="00AD1C4D">
        <w:rPr>
          <w:rFonts w:cs="Arial"/>
          <w:bCs/>
          <w:spacing w:val="2"/>
          <w:szCs w:val="19"/>
          <w:lang w:val="en-GB"/>
        </w:rPr>
        <w:t>The most significant difference in this area between 1st and 5th quintile group</w:t>
      </w:r>
      <w:r>
        <w:rPr>
          <w:rFonts w:cs="Arial"/>
          <w:bCs/>
          <w:spacing w:val="2"/>
          <w:szCs w:val="19"/>
          <w:lang w:val="en-GB"/>
        </w:rPr>
        <w:t xml:space="preserve"> </w:t>
      </w:r>
      <w:r w:rsidR="00BB40E7" w:rsidRPr="00AD1C4D">
        <w:rPr>
          <w:rFonts w:cs="Arial"/>
          <w:bCs/>
          <w:spacing w:val="2"/>
          <w:szCs w:val="19"/>
          <w:lang w:val="en-GB"/>
        </w:rPr>
        <w:t>in favour of the richest</w:t>
      </w:r>
      <w:r>
        <w:rPr>
          <w:rFonts w:cs="Arial"/>
          <w:bCs/>
          <w:spacing w:val="2"/>
          <w:szCs w:val="19"/>
          <w:lang w:val="en-GB"/>
        </w:rPr>
        <w:t xml:space="preserve"> households</w:t>
      </w:r>
      <w:r w:rsidR="00BB40E7" w:rsidRPr="00AD1C4D">
        <w:rPr>
          <w:rFonts w:cs="Arial"/>
          <w:bCs/>
          <w:spacing w:val="2"/>
          <w:szCs w:val="19"/>
          <w:lang w:val="en-GB"/>
        </w:rPr>
        <w:t xml:space="preserve"> concerned the equipment with central heating (</w:t>
      </w:r>
      <w:r w:rsidR="00DF1506">
        <w:rPr>
          <w:rFonts w:cs="Arial"/>
          <w:bCs/>
          <w:spacing w:val="2"/>
          <w:szCs w:val="19"/>
          <w:lang w:val="en-GB"/>
        </w:rPr>
        <w:t xml:space="preserve">by </w:t>
      </w:r>
      <w:r w:rsidR="001B1600">
        <w:rPr>
          <w:rFonts w:cs="Arial"/>
          <w:bCs/>
          <w:spacing w:val="2"/>
          <w:szCs w:val="19"/>
          <w:lang w:val="en-GB"/>
        </w:rPr>
        <w:t>5.</w:t>
      </w:r>
      <w:r w:rsidR="00785882">
        <w:rPr>
          <w:rFonts w:cs="Arial"/>
          <w:bCs/>
          <w:spacing w:val="2"/>
          <w:szCs w:val="19"/>
          <w:lang w:val="en-GB"/>
        </w:rPr>
        <w:t>2</w:t>
      </w:r>
      <w:r w:rsidR="00BB40E7" w:rsidRPr="00AD1C4D">
        <w:rPr>
          <w:rFonts w:cs="Arial"/>
          <w:bCs/>
          <w:spacing w:val="2"/>
          <w:szCs w:val="19"/>
          <w:lang w:val="en-GB"/>
        </w:rPr>
        <w:t> </w:t>
      </w:r>
      <w:r w:rsidR="00BB40E7" w:rsidRPr="00AD1C4D">
        <w:rPr>
          <w:rFonts w:cs="Arial"/>
          <w:spacing w:val="2"/>
          <w:szCs w:val="19"/>
          <w:lang w:val="en-GB"/>
        </w:rPr>
        <w:t>percentage points</w:t>
      </w:r>
      <w:r w:rsidR="00BB40E7" w:rsidRPr="00AD1C4D">
        <w:rPr>
          <w:rFonts w:cs="Arial"/>
          <w:bCs/>
          <w:spacing w:val="2"/>
          <w:szCs w:val="19"/>
          <w:lang w:val="en-GB"/>
        </w:rPr>
        <w:t>), bathroom (</w:t>
      </w:r>
      <w:r w:rsidR="00DF1506">
        <w:rPr>
          <w:rFonts w:cs="Arial"/>
          <w:bCs/>
          <w:spacing w:val="2"/>
          <w:szCs w:val="19"/>
          <w:lang w:val="en-GB"/>
        </w:rPr>
        <w:t>by 2.</w:t>
      </w:r>
      <w:r w:rsidR="00785882">
        <w:rPr>
          <w:rFonts w:cs="Arial"/>
          <w:bCs/>
          <w:spacing w:val="2"/>
          <w:szCs w:val="19"/>
          <w:lang w:val="en-GB"/>
        </w:rPr>
        <w:t>1</w:t>
      </w:r>
      <w:r w:rsidR="00BB40E7" w:rsidRPr="00AD1C4D">
        <w:rPr>
          <w:rFonts w:cs="Arial"/>
          <w:bCs/>
          <w:spacing w:val="2"/>
          <w:szCs w:val="19"/>
          <w:lang w:val="en-GB"/>
        </w:rPr>
        <w:t xml:space="preserve"> percentage points) and flushing toilet (</w:t>
      </w:r>
      <w:r w:rsidR="00DF1506">
        <w:rPr>
          <w:rFonts w:cs="Arial"/>
          <w:bCs/>
          <w:spacing w:val="2"/>
          <w:szCs w:val="19"/>
          <w:lang w:val="en-GB"/>
        </w:rPr>
        <w:t xml:space="preserve">by </w:t>
      </w:r>
      <w:r w:rsidR="00BC1678">
        <w:rPr>
          <w:rFonts w:cs="Arial"/>
          <w:bCs/>
          <w:spacing w:val="2"/>
          <w:szCs w:val="19"/>
          <w:lang w:val="en-GB"/>
        </w:rPr>
        <w:t>1.</w:t>
      </w:r>
      <w:r w:rsidR="00785882">
        <w:rPr>
          <w:rFonts w:cs="Arial"/>
          <w:bCs/>
          <w:spacing w:val="2"/>
          <w:szCs w:val="19"/>
          <w:lang w:val="en-GB"/>
        </w:rPr>
        <w:t>8</w:t>
      </w:r>
      <w:r w:rsidR="00BB40E7" w:rsidRPr="00AD1C4D">
        <w:rPr>
          <w:rFonts w:cs="Arial"/>
          <w:bCs/>
          <w:spacing w:val="2"/>
          <w:szCs w:val="19"/>
          <w:lang w:val="en-GB"/>
        </w:rPr>
        <w:t xml:space="preserve"> percentage point</w:t>
      </w:r>
      <w:r w:rsidR="00BC16CA" w:rsidRPr="00AD1C4D">
        <w:rPr>
          <w:rFonts w:cs="Arial"/>
          <w:bCs/>
          <w:spacing w:val="2"/>
          <w:szCs w:val="19"/>
          <w:lang w:val="en-GB"/>
        </w:rPr>
        <w:t>s</w:t>
      </w:r>
      <w:r w:rsidR="00BB40E7" w:rsidRPr="00AD1C4D">
        <w:rPr>
          <w:rFonts w:cs="Arial"/>
          <w:bCs/>
          <w:spacing w:val="2"/>
          <w:szCs w:val="19"/>
          <w:lang w:val="en-GB"/>
        </w:rPr>
        <w:t>).</w:t>
      </w:r>
      <w:r>
        <w:rPr>
          <w:rFonts w:cs="Arial"/>
          <w:bCs/>
          <w:spacing w:val="2"/>
          <w:szCs w:val="19"/>
          <w:lang w:val="en-GB"/>
        </w:rPr>
        <w:t xml:space="preserve"> These</w:t>
      </w:r>
      <w:r w:rsidR="00BB40E7" w:rsidRPr="00AD1C4D">
        <w:rPr>
          <w:rFonts w:cs="Arial"/>
          <w:bCs/>
          <w:spacing w:val="2"/>
          <w:szCs w:val="19"/>
          <w:lang w:val="en-GB"/>
        </w:rPr>
        <w:t xml:space="preserve"> </w:t>
      </w:r>
      <w:r>
        <w:rPr>
          <w:rFonts w:cs="Arial"/>
          <w:bCs/>
          <w:spacing w:val="2"/>
          <w:szCs w:val="19"/>
          <w:lang w:val="en-GB"/>
        </w:rPr>
        <w:t>d</w:t>
      </w:r>
      <w:r w:rsidR="00BB40E7" w:rsidRPr="00AD1C4D">
        <w:rPr>
          <w:rFonts w:cs="Arial"/>
          <w:bCs/>
          <w:spacing w:val="2"/>
          <w:szCs w:val="19"/>
          <w:lang w:val="en-GB"/>
        </w:rPr>
        <w:t xml:space="preserve">ifferences </w:t>
      </w:r>
      <w:r w:rsidR="00DF1506">
        <w:rPr>
          <w:rFonts w:cs="Arial"/>
          <w:bCs/>
          <w:spacing w:val="2"/>
          <w:szCs w:val="19"/>
          <w:lang w:val="en-GB"/>
        </w:rPr>
        <w:t>remain on similar to</w:t>
      </w:r>
      <w:r w:rsidR="00BB40E7" w:rsidRPr="00AD1C4D">
        <w:rPr>
          <w:rFonts w:cs="Arial"/>
          <w:bCs/>
          <w:spacing w:val="2"/>
          <w:szCs w:val="19"/>
          <w:lang w:val="en-GB"/>
        </w:rPr>
        <w:t xml:space="preserve"> 20</w:t>
      </w:r>
      <w:r w:rsidR="00BC1678">
        <w:rPr>
          <w:rFonts w:cs="Arial"/>
          <w:bCs/>
          <w:spacing w:val="2"/>
          <w:szCs w:val="19"/>
          <w:lang w:val="en-GB"/>
        </w:rPr>
        <w:t>2</w:t>
      </w:r>
      <w:r w:rsidR="00785882">
        <w:rPr>
          <w:rFonts w:cs="Arial"/>
          <w:bCs/>
          <w:spacing w:val="2"/>
          <w:szCs w:val="19"/>
          <w:lang w:val="en-GB"/>
        </w:rPr>
        <w:t>3</w:t>
      </w:r>
      <w:r w:rsidR="00DF1506">
        <w:rPr>
          <w:rFonts w:cs="Arial"/>
          <w:bCs/>
          <w:spacing w:val="2"/>
          <w:szCs w:val="19"/>
          <w:lang w:val="en-GB"/>
        </w:rPr>
        <w:t xml:space="preserve"> level</w:t>
      </w:r>
      <w:r w:rsidR="00BB40E7" w:rsidRPr="00AD1C4D">
        <w:rPr>
          <w:rFonts w:cs="Arial"/>
          <w:bCs/>
          <w:spacing w:val="2"/>
          <w:szCs w:val="19"/>
          <w:lang w:val="en-GB"/>
        </w:rPr>
        <w:t>.</w:t>
      </w:r>
    </w:p>
    <w:p w14:paraId="7EE94F5E" w14:textId="58C11F89" w:rsidR="00BB40E7" w:rsidRPr="00230699" w:rsidRDefault="00785882" w:rsidP="00DC28C6">
      <w:pPr>
        <w:spacing w:before="360" w:after="360" w:line="240" w:lineRule="auto"/>
        <w:jc w:val="both"/>
        <w:rPr>
          <w:spacing w:val="-2"/>
          <w:szCs w:val="19"/>
          <w:shd w:val="clear" w:color="auto" w:fill="FFFFFF"/>
        </w:rPr>
      </w:pPr>
      <w:r>
        <w:rPr>
          <w:noProof/>
          <w:lang w:eastAsia="pl-PL"/>
        </w:rPr>
        <w:drawing>
          <wp:inline distT="0" distB="0" distL="0" distR="0" wp14:anchorId="03E3C2E2" wp14:editId="4DE5BC1E">
            <wp:extent cx="5122545" cy="2844000"/>
            <wp:effectExtent l="0" t="0" r="1905" b="0"/>
            <wp:docPr id="31" name="Wykres 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F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6F0A68" w14:textId="77777777" w:rsidR="00DC28C6" w:rsidRDefault="00DC28C6" w:rsidP="00AD1C4D">
      <w:pPr>
        <w:spacing w:before="240" w:line="240" w:lineRule="auto"/>
        <w:rPr>
          <w:rFonts w:ascii="Fira Sans SemiBold" w:hAnsi="Fira Sans SemiBold"/>
          <w:color w:val="001D77"/>
          <w:szCs w:val="19"/>
          <w:shd w:val="clear" w:color="auto" w:fill="FFFFFF"/>
          <w:lang w:val="en-GB"/>
        </w:rPr>
      </w:pPr>
      <w:r>
        <w:rPr>
          <w:rFonts w:ascii="Fira Sans SemiBold" w:hAnsi="Fira Sans SemiBold"/>
          <w:color w:val="001D77"/>
          <w:szCs w:val="19"/>
          <w:shd w:val="clear" w:color="auto" w:fill="FFFFFF"/>
          <w:lang w:val="en-GB"/>
        </w:rPr>
        <w:br w:type="page"/>
      </w:r>
    </w:p>
    <w:p w14:paraId="7EE94F60" w14:textId="7D601E15" w:rsidR="00BB40E7" w:rsidRPr="004700B5" w:rsidRDefault="0080273B" w:rsidP="00DC28C6">
      <w:pPr>
        <w:spacing w:before="360" w:line="240" w:lineRule="auto"/>
        <w:rPr>
          <w:rFonts w:ascii="Fira Sans SemiBold" w:hAnsi="Fira Sans SemiBold"/>
          <w:color w:val="001D77"/>
          <w:szCs w:val="19"/>
          <w:shd w:val="clear" w:color="auto" w:fill="FFFFFF"/>
          <w:lang w:val="en-GB"/>
        </w:rPr>
      </w:pPr>
      <w:r w:rsidRPr="004700B5">
        <w:rPr>
          <w:noProof/>
          <w:lang w:eastAsia="pl-PL"/>
        </w:rPr>
        <w:lastRenderedPageBreak/>
        <mc:AlternateContent>
          <mc:Choice Requires="wps">
            <w:drawing>
              <wp:anchor distT="45720" distB="45720" distL="114300" distR="114300" simplePos="0" relativeHeight="251832320" behindDoc="1" locked="0" layoutInCell="1" allowOverlap="1" wp14:anchorId="7EE94FD6" wp14:editId="48370C53">
                <wp:simplePos x="0" y="0"/>
                <wp:positionH relativeFrom="column">
                  <wp:posOffset>5213985</wp:posOffset>
                </wp:positionH>
                <wp:positionV relativeFrom="paragraph">
                  <wp:posOffset>76200</wp:posOffset>
                </wp:positionV>
                <wp:extent cx="1725295" cy="1694815"/>
                <wp:effectExtent l="0" t="0" r="0" b="635"/>
                <wp:wrapTight wrapText="bothSides">
                  <wp:wrapPolygon edited="0">
                    <wp:start x="715" y="0"/>
                    <wp:lineTo x="715" y="21365"/>
                    <wp:lineTo x="20749" y="21365"/>
                    <wp:lineTo x="20749" y="0"/>
                    <wp:lineTo x="715" y="0"/>
                  </wp:wrapPolygon>
                </wp:wrapTight>
                <wp:docPr id="50"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94815"/>
                        </a:xfrm>
                        <a:prstGeom prst="rect">
                          <a:avLst/>
                        </a:prstGeom>
                        <a:noFill/>
                        <a:ln w="9525">
                          <a:noFill/>
                          <a:miter lim="800000"/>
                          <a:headEnd/>
                          <a:tailEnd/>
                        </a:ln>
                      </wps:spPr>
                      <wps:txbx>
                        <w:txbxContent>
                          <w:p w14:paraId="7EE95023" w14:textId="1AC13DFD" w:rsidR="00882B10" w:rsidRPr="007E0E31" w:rsidRDefault="00882B10" w:rsidP="00BB40E7">
                            <w:pPr>
                              <w:spacing w:after="0"/>
                              <w:rPr>
                                <w:rFonts w:eastAsia="Times New Roman" w:cs="Times New Roman"/>
                                <w:bCs/>
                                <w:color w:val="001D77"/>
                                <w:sz w:val="18"/>
                                <w:szCs w:val="18"/>
                                <w:lang w:val="en-GB" w:eastAsia="pl-PL"/>
                              </w:rPr>
                            </w:pPr>
                            <w:r w:rsidRPr="007E0E31">
                              <w:rPr>
                                <w:color w:val="001D77"/>
                                <w:spacing w:val="-2"/>
                                <w:szCs w:val="19"/>
                                <w:lang w:val="en-US"/>
                              </w:rPr>
                              <w:t xml:space="preserve">The subjective </w:t>
                            </w:r>
                            <w:r>
                              <w:rPr>
                                <w:color w:val="001D77"/>
                                <w:spacing w:val="-2"/>
                                <w:szCs w:val="19"/>
                                <w:lang w:val="en-US"/>
                              </w:rPr>
                              <w:t>evaluation</w:t>
                            </w:r>
                            <w:r w:rsidRPr="007E0E31">
                              <w:rPr>
                                <w:color w:val="001D77"/>
                                <w:spacing w:val="-2"/>
                                <w:szCs w:val="19"/>
                                <w:lang w:val="en-US"/>
                              </w:rPr>
                              <w:t xml:space="preserve"> of the financial situation of households </w:t>
                            </w:r>
                            <w:r>
                              <w:rPr>
                                <w:color w:val="001D77"/>
                                <w:spacing w:val="-2"/>
                                <w:szCs w:val="19"/>
                                <w:lang w:val="en-US"/>
                              </w:rPr>
                              <w:t xml:space="preserve">improved in </w:t>
                            </w:r>
                            <w:r w:rsidR="0053510F">
                              <w:rPr>
                                <w:color w:val="001D77"/>
                                <w:spacing w:val="-2"/>
                                <w:szCs w:val="19"/>
                                <w:lang w:val="en-US"/>
                              </w:rPr>
                              <w:t>the majority of</w:t>
                            </w:r>
                            <w:r>
                              <w:rPr>
                                <w:color w:val="001D77"/>
                                <w:spacing w:val="-2"/>
                                <w:szCs w:val="19"/>
                                <w:lang w:val="en-US"/>
                              </w:rPr>
                              <w:t xml:space="preserve"> socio-economic groups</w:t>
                            </w:r>
                            <w:r w:rsidR="0053510F">
                              <w:rPr>
                                <w:color w:val="001D77"/>
                                <w:spacing w:val="-2"/>
                                <w:szCs w:val="19"/>
                                <w:lang w:val="en-US"/>
                              </w:rPr>
                              <w:t xml:space="preserve"> (</w:t>
                            </w:r>
                            <w:r w:rsidR="008F5346">
                              <w:rPr>
                                <w:color w:val="001D77"/>
                                <w:spacing w:val="-2"/>
                                <w:szCs w:val="19"/>
                                <w:lang w:val="en-US"/>
                              </w:rPr>
                              <w:t>except farmers</w:t>
                            </w:r>
                            <w:r w:rsidR="0053510F">
                              <w:rPr>
                                <w:color w:val="001D77"/>
                                <w:spacing w:val="-2"/>
                                <w:szCs w:val="19"/>
                                <w:lang w:val="en-US"/>
                              </w:rPr>
                              <w:t>)</w:t>
                            </w:r>
                            <w:r>
                              <w:rPr>
                                <w:color w:val="001D77"/>
                                <w:spacing w:val="-2"/>
                                <w:szCs w:val="19"/>
                                <w:lang w:val="en-US"/>
                              </w:rPr>
                              <w:t xml:space="preserve">; </w:t>
                            </w:r>
                            <w:r w:rsidR="008F5346">
                              <w:rPr>
                                <w:color w:val="001D77"/>
                                <w:spacing w:val="-2"/>
                                <w:szCs w:val="19"/>
                                <w:lang w:val="en-US"/>
                              </w:rPr>
                              <w:t xml:space="preserve">in all groups however </w:t>
                            </w:r>
                            <w:r w:rsidRPr="00E717F6">
                              <w:rPr>
                                <w:color w:val="001D77"/>
                                <w:spacing w:val="-2"/>
                                <w:szCs w:val="19"/>
                                <w:lang w:val="en-US"/>
                              </w:rPr>
                              <w:t>good or rather good assessments prevailed over bad or rather bad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D6" id="Pole tekstowe 23" o:spid="_x0000_s1042" type="#_x0000_t202" style="position:absolute;margin-left:410.55pt;margin-top:6pt;width:135.85pt;height:133.45pt;z-index:-25148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" filled="f" stroked="f">
                <v:textbox>
                  <w:txbxContent>
                    <w:p w14:paraId="7EE95023" w14:textId="1AC13DFD" w:rsidR="00882B10" w:rsidRPr="007E0E31" w:rsidRDefault="00882B10" w:rsidP="00BB40E7">
                      <w:pPr>
                        <w:spacing w:after="0"/>
                        <w:rPr>
                          <w:rFonts w:eastAsia="Times New Roman" w:cs="Times New Roman"/>
                          <w:bCs/>
                          <w:color w:val="001D77"/>
                          <w:sz w:val="18"/>
                          <w:szCs w:val="18"/>
                          <w:lang w:val="en-GB" w:eastAsia="pl-PL"/>
                        </w:rPr>
                      </w:pPr>
                      <w:r w:rsidRPr="007E0E31">
                        <w:rPr>
                          <w:color w:val="001D77"/>
                          <w:spacing w:val="-2"/>
                          <w:szCs w:val="19"/>
                          <w:lang w:val="en-US"/>
                        </w:rPr>
                        <w:t xml:space="preserve">The subjective </w:t>
                      </w:r>
                      <w:r>
                        <w:rPr>
                          <w:color w:val="001D77"/>
                          <w:spacing w:val="-2"/>
                          <w:szCs w:val="19"/>
                          <w:lang w:val="en-US"/>
                        </w:rPr>
                        <w:t>evaluation</w:t>
                      </w:r>
                      <w:r w:rsidRPr="007E0E31">
                        <w:rPr>
                          <w:color w:val="001D77"/>
                          <w:spacing w:val="-2"/>
                          <w:szCs w:val="19"/>
                          <w:lang w:val="en-US"/>
                        </w:rPr>
                        <w:t xml:space="preserve"> of the financial situation of households </w:t>
                      </w:r>
                      <w:r>
                        <w:rPr>
                          <w:color w:val="001D77"/>
                          <w:spacing w:val="-2"/>
                          <w:szCs w:val="19"/>
                          <w:lang w:val="en-US"/>
                        </w:rPr>
                        <w:t xml:space="preserve">improved in </w:t>
                      </w:r>
                      <w:r w:rsidR="0053510F">
                        <w:rPr>
                          <w:color w:val="001D77"/>
                          <w:spacing w:val="-2"/>
                          <w:szCs w:val="19"/>
                          <w:lang w:val="en-US"/>
                        </w:rPr>
                        <w:t>the majority of</w:t>
                      </w:r>
                      <w:r>
                        <w:rPr>
                          <w:color w:val="001D77"/>
                          <w:spacing w:val="-2"/>
                          <w:szCs w:val="19"/>
                          <w:lang w:val="en-US"/>
                        </w:rPr>
                        <w:t xml:space="preserve"> socio-economic groups</w:t>
                      </w:r>
                      <w:r w:rsidR="0053510F">
                        <w:rPr>
                          <w:color w:val="001D77"/>
                          <w:spacing w:val="-2"/>
                          <w:szCs w:val="19"/>
                          <w:lang w:val="en-US"/>
                        </w:rPr>
                        <w:t xml:space="preserve"> (</w:t>
                      </w:r>
                      <w:r w:rsidR="008F5346">
                        <w:rPr>
                          <w:color w:val="001D77"/>
                          <w:spacing w:val="-2"/>
                          <w:szCs w:val="19"/>
                          <w:lang w:val="en-US"/>
                        </w:rPr>
                        <w:t>except farmers</w:t>
                      </w:r>
                      <w:r w:rsidR="0053510F">
                        <w:rPr>
                          <w:color w:val="001D77"/>
                          <w:spacing w:val="-2"/>
                          <w:szCs w:val="19"/>
                          <w:lang w:val="en-US"/>
                        </w:rPr>
                        <w:t>)</w:t>
                      </w:r>
                      <w:r>
                        <w:rPr>
                          <w:color w:val="001D77"/>
                          <w:spacing w:val="-2"/>
                          <w:szCs w:val="19"/>
                          <w:lang w:val="en-US"/>
                        </w:rPr>
                        <w:t xml:space="preserve">; </w:t>
                      </w:r>
                      <w:r w:rsidR="008F5346">
                        <w:rPr>
                          <w:color w:val="001D77"/>
                          <w:spacing w:val="-2"/>
                          <w:szCs w:val="19"/>
                          <w:lang w:val="en-US"/>
                        </w:rPr>
                        <w:t xml:space="preserve">in all groups however </w:t>
                      </w:r>
                      <w:r w:rsidRPr="00E717F6">
                        <w:rPr>
                          <w:color w:val="001D77"/>
                          <w:spacing w:val="-2"/>
                          <w:szCs w:val="19"/>
                          <w:lang w:val="en-US"/>
                        </w:rPr>
                        <w:t>good or rather good assessments prevailed over bad or rather bad</w:t>
                      </w:r>
                    </w:p>
                  </w:txbxContent>
                </v:textbox>
                <w10:wrap type="tight"/>
              </v:shape>
            </w:pict>
          </mc:Fallback>
        </mc:AlternateContent>
      </w:r>
      <w:r w:rsidR="00BB40E7" w:rsidRPr="004700B5">
        <w:rPr>
          <w:rFonts w:ascii="Fira Sans SemiBold" w:hAnsi="Fira Sans SemiBold"/>
          <w:color w:val="001D77"/>
          <w:szCs w:val="19"/>
          <w:shd w:val="clear" w:color="auto" w:fill="FFFFFF"/>
          <w:lang w:val="en-GB"/>
        </w:rPr>
        <w:t xml:space="preserve">A subjective evaluation of the financial situation of households </w:t>
      </w:r>
    </w:p>
    <w:p w14:paraId="7EE94F61" w14:textId="1E73041A" w:rsidR="00BB40E7" w:rsidRPr="008A648A" w:rsidRDefault="00BC1678" w:rsidP="00DE63B5">
      <w:pPr>
        <w:pStyle w:val="HTML-wstpniesformatowany"/>
        <w:spacing w:after="120"/>
        <w:rPr>
          <w:rFonts w:ascii="Fira Sans" w:hAnsi="Fira Sans"/>
          <w:sz w:val="19"/>
          <w:szCs w:val="19"/>
          <w:lang w:val="en-US"/>
        </w:rPr>
      </w:pPr>
      <w:r w:rsidRPr="008A648A">
        <w:rPr>
          <w:rFonts w:ascii="Fira Sans" w:hAnsi="Fira Sans"/>
          <w:sz w:val="19"/>
          <w:szCs w:val="19"/>
          <w:lang w:val="en-US"/>
        </w:rPr>
        <w:t>T</w:t>
      </w:r>
      <w:r w:rsidR="00BB40E7" w:rsidRPr="008A648A">
        <w:rPr>
          <w:rFonts w:ascii="Fira Sans" w:hAnsi="Fira Sans"/>
          <w:sz w:val="19"/>
          <w:szCs w:val="19"/>
          <w:lang w:val="en-US"/>
        </w:rPr>
        <w:t xml:space="preserve">he subjective </w:t>
      </w:r>
      <w:r w:rsidR="003C7300" w:rsidRPr="008A648A">
        <w:rPr>
          <w:rFonts w:ascii="Fira Sans" w:hAnsi="Fira Sans"/>
          <w:sz w:val="19"/>
          <w:szCs w:val="19"/>
          <w:lang w:val="en-US"/>
        </w:rPr>
        <w:t>evaluation</w:t>
      </w:r>
      <w:r w:rsidR="00BB40E7" w:rsidRPr="008A648A">
        <w:rPr>
          <w:rFonts w:ascii="Fira Sans" w:hAnsi="Fira Sans"/>
          <w:sz w:val="19"/>
          <w:szCs w:val="19"/>
          <w:lang w:val="en-US"/>
        </w:rPr>
        <w:t xml:space="preserve"> of the financial situation of households </w:t>
      </w:r>
      <w:r w:rsidR="00FB4F7E" w:rsidRPr="008A648A">
        <w:rPr>
          <w:rFonts w:ascii="Fira Sans" w:hAnsi="Fira Sans"/>
          <w:sz w:val="19"/>
          <w:szCs w:val="19"/>
          <w:lang w:val="en-US"/>
        </w:rPr>
        <w:t>in 202</w:t>
      </w:r>
      <w:r w:rsidR="00785882">
        <w:rPr>
          <w:rFonts w:ascii="Fira Sans" w:hAnsi="Fira Sans"/>
          <w:sz w:val="19"/>
          <w:szCs w:val="19"/>
          <w:lang w:val="en-US"/>
        </w:rPr>
        <w:t>4</w:t>
      </w:r>
      <w:r w:rsidR="00FB4F7E" w:rsidRPr="008A648A">
        <w:rPr>
          <w:rFonts w:ascii="Fira Sans" w:hAnsi="Fira Sans"/>
          <w:sz w:val="19"/>
          <w:szCs w:val="19"/>
          <w:lang w:val="en-US"/>
        </w:rPr>
        <w:t xml:space="preserve"> </w:t>
      </w:r>
      <w:r w:rsidR="007A5AAA" w:rsidRPr="008A648A">
        <w:rPr>
          <w:rFonts w:ascii="Fira Sans" w:hAnsi="Fira Sans"/>
          <w:sz w:val="19"/>
          <w:szCs w:val="19"/>
          <w:lang w:val="en-US"/>
        </w:rPr>
        <w:t>improved</w:t>
      </w:r>
      <w:r w:rsidR="00FB4F7E" w:rsidRPr="008A648A">
        <w:rPr>
          <w:rFonts w:ascii="Fira Sans" w:hAnsi="Fira Sans"/>
          <w:sz w:val="19"/>
          <w:szCs w:val="19"/>
          <w:lang w:val="en-US"/>
        </w:rPr>
        <w:t xml:space="preserve"> </w:t>
      </w:r>
      <w:r w:rsidRPr="008A648A">
        <w:rPr>
          <w:rFonts w:ascii="Fira Sans" w:hAnsi="Fira Sans"/>
          <w:sz w:val="19"/>
          <w:szCs w:val="19"/>
          <w:lang w:val="en-US"/>
        </w:rPr>
        <w:t xml:space="preserve">in </w:t>
      </w:r>
      <w:r w:rsidR="0053510F">
        <w:rPr>
          <w:rFonts w:ascii="Fira Sans" w:hAnsi="Fira Sans"/>
          <w:sz w:val="19"/>
          <w:szCs w:val="19"/>
          <w:lang w:val="en-US"/>
        </w:rPr>
        <w:t>the majority of</w:t>
      </w:r>
      <w:r w:rsidRPr="008A648A">
        <w:rPr>
          <w:rFonts w:ascii="Fira Sans" w:hAnsi="Fira Sans"/>
          <w:sz w:val="19"/>
          <w:szCs w:val="19"/>
          <w:lang w:val="en-US"/>
        </w:rPr>
        <w:t xml:space="preserve"> socio-economic groups </w:t>
      </w:r>
      <w:r w:rsidR="0053510F">
        <w:rPr>
          <w:rFonts w:ascii="Fira Sans" w:hAnsi="Fira Sans"/>
          <w:sz w:val="19"/>
          <w:szCs w:val="19"/>
          <w:lang w:val="en-US"/>
        </w:rPr>
        <w:t>(</w:t>
      </w:r>
      <w:r w:rsidR="00785882">
        <w:rPr>
          <w:rFonts w:ascii="Fira Sans" w:hAnsi="Fira Sans"/>
          <w:sz w:val="19"/>
          <w:szCs w:val="19"/>
          <w:lang w:val="en-US"/>
        </w:rPr>
        <w:t>except farmers</w:t>
      </w:r>
      <w:r w:rsidR="0053510F">
        <w:rPr>
          <w:rFonts w:ascii="Fira Sans" w:hAnsi="Fira Sans"/>
          <w:sz w:val="19"/>
          <w:szCs w:val="19"/>
          <w:lang w:val="en-US"/>
        </w:rPr>
        <w:t>)</w:t>
      </w:r>
      <w:r w:rsidR="00785882">
        <w:rPr>
          <w:rFonts w:ascii="Fira Sans" w:hAnsi="Fira Sans"/>
          <w:sz w:val="19"/>
          <w:szCs w:val="19"/>
          <w:lang w:val="en-US"/>
        </w:rPr>
        <w:t xml:space="preserve"> however in all groups </w:t>
      </w:r>
      <w:r w:rsidR="006A6058" w:rsidRPr="008A648A">
        <w:rPr>
          <w:rFonts w:ascii="Fira Sans" w:hAnsi="Fira Sans"/>
          <w:sz w:val="19"/>
          <w:szCs w:val="19"/>
          <w:lang w:val="en-US"/>
        </w:rPr>
        <w:t>good or rather good assessments prevailed over bad or rather bad.</w:t>
      </w:r>
      <w:r w:rsidR="00E408D3" w:rsidRPr="008A648A">
        <w:rPr>
          <w:rFonts w:ascii="Fira Sans" w:hAnsi="Fira Sans"/>
          <w:sz w:val="19"/>
          <w:szCs w:val="19"/>
          <w:lang w:val="en-US"/>
        </w:rPr>
        <w:t xml:space="preserve"> </w:t>
      </w:r>
      <w:r w:rsidR="00BB40E7" w:rsidRPr="008A648A">
        <w:rPr>
          <w:rFonts w:ascii="Fira Sans" w:hAnsi="Fira Sans"/>
          <w:sz w:val="19"/>
          <w:szCs w:val="19"/>
          <w:lang w:val="en-US"/>
        </w:rPr>
        <w:t>In 20</w:t>
      </w:r>
      <w:r w:rsidR="003C7300" w:rsidRPr="008A648A">
        <w:rPr>
          <w:rFonts w:ascii="Fira Sans" w:hAnsi="Fira Sans"/>
          <w:sz w:val="19"/>
          <w:szCs w:val="19"/>
          <w:lang w:val="en-US"/>
        </w:rPr>
        <w:t>2</w:t>
      </w:r>
      <w:r w:rsidR="00785882">
        <w:rPr>
          <w:rFonts w:ascii="Fira Sans" w:hAnsi="Fira Sans"/>
          <w:sz w:val="19"/>
          <w:szCs w:val="19"/>
          <w:lang w:val="en-US"/>
        </w:rPr>
        <w:t>4</w:t>
      </w:r>
      <w:r w:rsidR="00BB40E7" w:rsidRPr="008A648A">
        <w:rPr>
          <w:rFonts w:ascii="Fira Sans" w:hAnsi="Fira Sans"/>
          <w:sz w:val="19"/>
          <w:szCs w:val="19"/>
          <w:lang w:val="en-US"/>
        </w:rPr>
        <w:t>, there was a</w:t>
      </w:r>
      <w:r w:rsidR="007A5AAA" w:rsidRPr="008A648A">
        <w:rPr>
          <w:rFonts w:ascii="Fira Sans" w:hAnsi="Fira Sans"/>
          <w:sz w:val="19"/>
          <w:szCs w:val="19"/>
          <w:lang w:val="en-US"/>
        </w:rPr>
        <w:t>n</w:t>
      </w:r>
      <w:r w:rsidR="00BB40E7" w:rsidRPr="008A648A">
        <w:rPr>
          <w:rFonts w:ascii="Fira Sans" w:hAnsi="Fira Sans"/>
          <w:sz w:val="19"/>
          <w:szCs w:val="19"/>
          <w:lang w:val="en-US"/>
        </w:rPr>
        <w:t xml:space="preserve"> </w:t>
      </w:r>
      <w:r w:rsidR="007A5AAA" w:rsidRPr="008A648A">
        <w:rPr>
          <w:rFonts w:ascii="Fira Sans" w:hAnsi="Fira Sans"/>
          <w:sz w:val="19"/>
          <w:szCs w:val="19"/>
          <w:lang w:val="en-US"/>
        </w:rPr>
        <w:t>in</w:t>
      </w:r>
      <w:r w:rsidR="00BB40E7" w:rsidRPr="008A648A">
        <w:rPr>
          <w:rFonts w:ascii="Fira Sans" w:hAnsi="Fira Sans"/>
          <w:sz w:val="19"/>
          <w:szCs w:val="19"/>
          <w:lang w:val="en-US"/>
        </w:rPr>
        <w:t>crease in the percentage of households assessing their financial situation as good or rather good (</w:t>
      </w:r>
      <w:r w:rsidR="00785882">
        <w:rPr>
          <w:rFonts w:ascii="Fira Sans" w:hAnsi="Fira Sans"/>
          <w:sz w:val="19"/>
          <w:szCs w:val="19"/>
          <w:lang w:val="en-US"/>
        </w:rPr>
        <w:t>57.7</w:t>
      </w:r>
      <w:r w:rsidR="00327127">
        <w:rPr>
          <w:rFonts w:ascii="Fira Sans" w:hAnsi="Fira Sans"/>
          <w:sz w:val="19"/>
          <w:szCs w:val="19"/>
          <w:lang w:val="en-US"/>
        </w:rPr>
        <w:t>% of </w:t>
      </w:r>
      <w:r w:rsidR="00BB40E7" w:rsidRPr="008A648A">
        <w:rPr>
          <w:rFonts w:ascii="Fira Sans" w:hAnsi="Fira Sans"/>
          <w:sz w:val="19"/>
          <w:szCs w:val="19"/>
          <w:lang w:val="en-US"/>
        </w:rPr>
        <w:t>households</w:t>
      </w:r>
      <w:r w:rsidR="006A6058" w:rsidRPr="008A648A">
        <w:rPr>
          <w:rFonts w:ascii="Fira Sans" w:hAnsi="Fira Sans"/>
          <w:sz w:val="19"/>
          <w:szCs w:val="19"/>
          <w:lang w:val="en-US"/>
        </w:rPr>
        <w:t xml:space="preserve"> in total</w:t>
      </w:r>
      <w:r w:rsidR="00BB40E7" w:rsidRPr="008A648A">
        <w:rPr>
          <w:rFonts w:ascii="Fira Sans" w:hAnsi="Fira Sans"/>
          <w:sz w:val="19"/>
          <w:szCs w:val="19"/>
          <w:lang w:val="en-US"/>
        </w:rPr>
        <w:t xml:space="preserve"> compared </w:t>
      </w:r>
      <w:r w:rsidRPr="008A648A">
        <w:rPr>
          <w:rFonts w:ascii="Fira Sans" w:hAnsi="Fira Sans"/>
          <w:sz w:val="19"/>
          <w:szCs w:val="19"/>
          <w:lang w:val="en-US"/>
        </w:rPr>
        <w:t>with</w:t>
      </w:r>
      <w:r w:rsidR="00BB40E7" w:rsidRPr="008A648A">
        <w:rPr>
          <w:rFonts w:ascii="Fira Sans" w:hAnsi="Fira Sans"/>
          <w:sz w:val="19"/>
          <w:szCs w:val="19"/>
          <w:lang w:val="en-US"/>
        </w:rPr>
        <w:t xml:space="preserve"> </w:t>
      </w:r>
      <w:r w:rsidR="00785882">
        <w:rPr>
          <w:rFonts w:ascii="Fira Sans" w:hAnsi="Fira Sans"/>
          <w:sz w:val="19"/>
          <w:szCs w:val="19"/>
          <w:lang w:val="en-US"/>
        </w:rPr>
        <w:t>54.0</w:t>
      </w:r>
      <w:r w:rsidR="00BB40E7" w:rsidRPr="008A648A">
        <w:rPr>
          <w:rFonts w:ascii="Fira Sans" w:hAnsi="Fira Sans"/>
          <w:sz w:val="19"/>
          <w:szCs w:val="19"/>
          <w:lang w:val="en-US"/>
        </w:rPr>
        <w:t>% in 20</w:t>
      </w:r>
      <w:r w:rsidRPr="008A648A">
        <w:rPr>
          <w:rFonts w:ascii="Fira Sans" w:hAnsi="Fira Sans"/>
          <w:sz w:val="19"/>
          <w:szCs w:val="19"/>
          <w:lang w:val="en-US"/>
        </w:rPr>
        <w:t>2</w:t>
      </w:r>
      <w:r w:rsidR="00785882">
        <w:rPr>
          <w:rFonts w:ascii="Fira Sans" w:hAnsi="Fira Sans"/>
          <w:sz w:val="19"/>
          <w:szCs w:val="19"/>
          <w:lang w:val="en-US"/>
        </w:rPr>
        <w:t>3</w:t>
      </w:r>
      <w:r w:rsidR="00BB40E7" w:rsidRPr="008A648A">
        <w:rPr>
          <w:rFonts w:ascii="Fira Sans" w:hAnsi="Fira Sans"/>
          <w:sz w:val="19"/>
          <w:szCs w:val="19"/>
          <w:lang w:val="en-US"/>
        </w:rPr>
        <w:t xml:space="preserve">) and </w:t>
      </w:r>
      <w:r w:rsidR="007A5AAA" w:rsidRPr="008A648A">
        <w:rPr>
          <w:rFonts w:ascii="Fira Sans" w:hAnsi="Fira Sans"/>
          <w:sz w:val="19"/>
          <w:szCs w:val="19"/>
          <w:lang w:val="en-US"/>
        </w:rPr>
        <w:t>the de</w:t>
      </w:r>
      <w:r w:rsidR="00BB40E7" w:rsidRPr="008A648A">
        <w:rPr>
          <w:rFonts w:ascii="Fira Sans" w:hAnsi="Fira Sans"/>
          <w:sz w:val="19"/>
          <w:szCs w:val="19"/>
          <w:lang w:val="en-US"/>
        </w:rPr>
        <w:t>crease in the percentage of households perceiving it as bad or rather bad (</w:t>
      </w:r>
      <w:r w:rsidR="007A5AAA" w:rsidRPr="008A648A">
        <w:rPr>
          <w:rFonts w:ascii="Fira Sans" w:hAnsi="Fira Sans"/>
          <w:sz w:val="19"/>
          <w:szCs w:val="19"/>
          <w:lang w:val="en-US"/>
        </w:rPr>
        <w:t>4</w:t>
      </w:r>
      <w:r w:rsidR="00E22528" w:rsidRPr="008A648A">
        <w:rPr>
          <w:rFonts w:ascii="Fira Sans" w:hAnsi="Fira Sans"/>
          <w:sz w:val="19"/>
          <w:szCs w:val="19"/>
          <w:lang w:val="en-US"/>
        </w:rPr>
        <w:t>.</w:t>
      </w:r>
      <w:r w:rsidR="00785882">
        <w:rPr>
          <w:rFonts w:ascii="Fira Sans" w:hAnsi="Fira Sans"/>
          <w:sz w:val="19"/>
          <w:szCs w:val="19"/>
          <w:lang w:val="en-US"/>
        </w:rPr>
        <w:t>3</w:t>
      </w:r>
      <w:r w:rsidR="00BB40E7" w:rsidRPr="008A648A">
        <w:rPr>
          <w:rFonts w:ascii="Fira Sans" w:hAnsi="Fira Sans"/>
          <w:sz w:val="19"/>
          <w:szCs w:val="19"/>
          <w:lang w:val="en-US"/>
        </w:rPr>
        <w:t xml:space="preserve">% compared </w:t>
      </w:r>
      <w:r w:rsidRPr="008A648A">
        <w:rPr>
          <w:rFonts w:ascii="Fira Sans" w:hAnsi="Fira Sans"/>
          <w:sz w:val="19"/>
          <w:szCs w:val="19"/>
          <w:lang w:val="en-US"/>
        </w:rPr>
        <w:t>with</w:t>
      </w:r>
      <w:r w:rsidR="00BB40E7" w:rsidRPr="008A648A">
        <w:rPr>
          <w:rFonts w:ascii="Fira Sans" w:hAnsi="Fira Sans"/>
          <w:sz w:val="19"/>
          <w:szCs w:val="19"/>
          <w:lang w:val="en-US"/>
        </w:rPr>
        <w:t xml:space="preserve"> </w:t>
      </w:r>
      <w:r w:rsidR="00785882">
        <w:rPr>
          <w:rFonts w:ascii="Fira Sans" w:hAnsi="Fira Sans"/>
          <w:sz w:val="19"/>
          <w:szCs w:val="19"/>
          <w:lang w:val="en-US"/>
        </w:rPr>
        <w:t>4</w:t>
      </w:r>
      <w:r w:rsidR="006A6058" w:rsidRPr="008A648A">
        <w:rPr>
          <w:rFonts w:ascii="Fira Sans" w:hAnsi="Fira Sans"/>
          <w:sz w:val="19"/>
          <w:szCs w:val="19"/>
          <w:lang w:val="en-US"/>
        </w:rPr>
        <w:t>.9</w:t>
      </w:r>
      <w:r w:rsidR="00BB40E7" w:rsidRPr="008A648A">
        <w:rPr>
          <w:rFonts w:ascii="Fira Sans" w:hAnsi="Fira Sans"/>
          <w:sz w:val="19"/>
          <w:szCs w:val="19"/>
          <w:lang w:val="en-US"/>
        </w:rPr>
        <w:t>% in 20</w:t>
      </w:r>
      <w:r w:rsidRPr="008A648A">
        <w:rPr>
          <w:rFonts w:ascii="Fira Sans" w:hAnsi="Fira Sans"/>
          <w:sz w:val="19"/>
          <w:szCs w:val="19"/>
          <w:lang w:val="en-US"/>
        </w:rPr>
        <w:t>2</w:t>
      </w:r>
      <w:r w:rsidR="00785882">
        <w:rPr>
          <w:rFonts w:ascii="Fira Sans" w:hAnsi="Fira Sans"/>
          <w:sz w:val="19"/>
          <w:szCs w:val="19"/>
          <w:lang w:val="en-US"/>
        </w:rPr>
        <w:t>3</w:t>
      </w:r>
      <w:r w:rsidR="00BB40E7" w:rsidRPr="008A648A">
        <w:rPr>
          <w:rFonts w:ascii="Fira Sans" w:hAnsi="Fira Sans"/>
          <w:sz w:val="19"/>
          <w:szCs w:val="19"/>
          <w:lang w:val="en-US"/>
        </w:rPr>
        <w:t xml:space="preserve">). </w:t>
      </w:r>
      <w:r w:rsidR="00E22528" w:rsidRPr="008A648A">
        <w:rPr>
          <w:rFonts w:ascii="Fira Sans" w:hAnsi="Fira Sans" w:cs="Arial"/>
          <w:sz w:val="19"/>
          <w:szCs w:val="19"/>
          <w:lang w:val="en-GB"/>
        </w:rPr>
        <w:t>Households of self-employed outside farming</w:t>
      </w:r>
      <w:r w:rsidR="006A6058" w:rsidRPr="008A648A">
        <w:rPr>
          <w:rFonts w:ascii="Fira Sans" w:hAnsi="Fira Sans" w:cs="Arial"/>
          <w:sz w:val="19"/>
          <w:szCs w:val="19"/>
          <w:lang w:val="en-GB"/>
        </w:rPr>
        <w:t>, similarly to the previous years,</w:t>
      </w:r>
      <w:r w:rsidR="00E22528" w:rsidRPr="008A648A">
        <w:rPr>
          <w:rFonts w:ascii="Fira Sans" w:hAnsi="Fira Sans" w:cs="Arial"/>
          <w:sz w:val="19"/>
          <w:szCs w:val="19"/>
          <w:lang w:val="en-GB"/>
        </w:rPr>
        <w:t xml:space="preserve"> </w:t>
      </w:r>
      <w:r w:rsidR="00BB40E7" w:rsidRPr="008A648A">
        <w:rPr>
          <w:rFonts w:ascii="Fira Sans" w:hAnsi="Fira Sans" w:cs="Arial"/>
          <w:sz w:val="19"/>
          <w:szCs w:val="19"/>
          <w:lang w:val="en-GB"/>
        </w:rPr>
        <w:t>assess</w:t>
      </w:r>
      <w:r w:rsidR="00E22528" w:rsidRPr="008A648A">
        <w:rPr>
          <w:rFonts w:ascii="Fira Sans" w:hAnsi="Fira Sans" w:cs="Arial"/>
          <w:sz w:val="19"/>
          <w:szCs w:val="19"/>
          <w:lang w:val="en-GB"/>
        </w:rPr>
        <w:t>ed their</w:t>
      </w:r>
      <w:r w:rsidR="00BB40E7" w:rsidRPr="008A648A">
        <w:rPr>
          <w:rFonts w:ascii="Fira Sans" w:hAnsi="Fira Sans" w:cs="Arial"/>
          <w:sz w:val="19"/>
          <w:szCs w:val="19"/>
          <w:lang w:val="en-GB"/>
        </w:rPr>
        <w:t xml:space="preserve"> financial situation the most favourabl</w:t>
      </w:r>
      <w:r w:rsidR="00E22528" w:rsidRPr="008A648A">
        <w:rPr>
          <w:rFonts w:ascii="Fira Sans" w:hAnsi="Fira Sans" w:cs="Arial"/>
          <w:sz w:val="19"/>
          <w:szCs w:val="19"/>
          <w:lang w:val="en-GB"/>
        </w:rPr>
        <w:t>y</w:t>
      </w:r>
      <w:r w:rsidR="00BB40E7" w:rsidRPr="008A648A">
        <w:rPr>
          <w:rFonts w:ascii="Fira Sans" w:hAnsi="Fira Sans" w:cs="Arial"/>
          <w:sz w:val="19"/>
          <w:szCs w:val="19"/>
          <w:lang w:val="en-GB"/>
        </w:rPr>
        <w:t xml:space="preserve"> (</w:t>
      </w:r>
      <w:r w:rsidR="008F3616" w:rsidRPr="008A648A">
        <w:rPr>
          <w:rFonts w:ascii="Fira Sans" w:hAnsi="Fira Sans" w:cs="Arial"/>
          <w:sz w:val="19"/>
          <w:szCs w:val="19"/>
          <w:lang w:val="en-GB"/>
        </w:rPr>
        <w:t>76.</w:t>
      </w:r>
      <w:r w:rsidR="00785882">
        <w:rPr>
          <w:rFonts w:ascii="Fira Sans" w:hAnsi="Fira Sans" w:cs="Arial"/>
          <w:sz w:val="19"/>
          <w:szCs w:val="19"/>
          <w:lang w:val="en-GB"/>
        </w:rPr>
        <w:t>2</w:t>
      </w:r>
      <w:r w:rsidR="00BB40E7" w:rsidRPr="008A648A">
        <w:rPr>
          <w:rFonts w:ascii="Fira Sans" w:hAnsi="Fira Sans" w:cs="Arial"/>
          <w:sz w:val="19"/>
          <w:szCs w:val="19"/>
          <w:lang w:val="en-GB"/>
        </w:rPr>
        <w:t xml:space="preserve">% </w:t>
      </w:r>
      <w:r w:rsidR="00BB40E7" w:rsidRPr="008A648A">
        <w:rPr>
          <w:rFonts w:ascii="Fira Sans" w:hAnsi="Fira Sans"/>
          <w:sz w:val="19"/>
          <w:szCs w:val="19"/>
          <w:lang w:val="en-US"/>
        </w:rPr>
        <w:t>positive assessments</w:t>
      </w:r>
      <w:r w:rsidRPr="008A648A">
        <w:rPr>
          <w:rFonts w:ascii="Fira Sans" w:hAnsi="Fira Sans"/>
          <w:sz w:val="19"/>
          <w:szCs w:val="19"/>
          <w:lang w:val="en-US"/>
        </w:rPr>
        <w:t xml:space="preserve"> </w:t>
      </w:r>
      <w:r w:rsidR="00E22528" w:rsidRPr="008A648A">
        <w:rPr>
          <w:rFonts w:ascii="Fira Sans" w:hAnsi="Fira Sans"/>
          <w:sz w:val="19"/>
          <w:szCs w:val="19"/>
          <w:lang w:val="en-US"/>
        </w:rPr>
        <w:t>compar</w:t>
      </w:r>
      <w:r w:rsidRPr="008A648A">
        <w:rPr>
          <w:rFonts w:ascii="Fira Sans" w:hAnsi="Fira Sans"/>
          <w:sz w:val="19"/>
          <w:szCs w:val="19"/>
          <w:lang w:val="en-US"/>
        </w:rPr>
        <w:t>ed</w:t>
      </w:r>
      <w:r w:rsidR="00E22528" w:rsidRPr="008A648A">
        <w:rPr>
          <w:rFonts w:ascii="Fira Sans" w:hAnsi="Fira Sans"/>
          <w:sz w:val="19"/>
          <w:szCs w:val="19"/>
          <w:lang w:val="en-US"/>
        </w:rPr>
        <w:t xml:space="preserve"> with </w:t>
      </w:r>
      <w:r w:rsidR="00785882">
        <w:rPr>
          <w:rFonts w:ascii="Fira Sans" w:hAnsi="Fira Sans"/>
          <w:sz w:val="19"/>
          <w:szCs w:val="19"/>
          <w:lang w:val="en-US"/>
        </w:rPr>
        <w:t>76.0</w:t>
      </w:r>
      <w:r w:rsidRPr="008A648A">
        <w:rPr>
          <w:rFonts w:ascii="Fira Sans" w:hAnsi="Fira Sans"/>
          <w:sz w:val="19"/>
          <w:szCs w:val="19"/>
          <w:lang w:val="en-US"/>
        </w:rPr>
        <w:t xml:space="preserve">% in </w:t>
      </w:r>
      <w:r w:rsidR="00E22528" w:rsidRPr="008A648A">
        <w:rPr>
          <w:rFonts w:ascii="Fira Sans" w:hAnsi="Fira Sans"/>
          <w:sz w:val="19"/>
          <w:szCs w:val="19"/>
          <w:lang w:val="en-US"/>
        </w:rPr>
        <w:t>20</w:t>
      </w:r>
      <w:r w:rsidRPr="008A648A">
        <w:rPr>
          <w:rFonts w:ascii="Fira Sans" w:hAnsi="Fira Sans"/>
          <w:sz w:val="19"/>
          <w:szCs w:val="19"/>
          <w:lang w:val="en-US"/>
        </w:rPr>
        <w:t>2</w:t>
      </w:r>
      <w:r w:rsidR="00785882">
        <w:rPr>
          <w:rFonts w:ascii="Fira Sans" w:hAnsi="Fira Sans"/>
          <w:sz w:val="19"/>
          <w:szCs w:val="19"/>
          <w:lang w:val="en-US"/>
        </w:rPr>
        <w:t>3</w:t>
      </w:r>
      <w:r w:rsidR="00BB40E7" w:rsidRPr="008A648A">
        <w:rPr>
          <w:rFonts w:ascii="Fira Sans" w:hAnsi="Fira Sans" w:cs="Arial"/>
          <w:sz w:val="19"/>
          <w:szCs w:val="19"/>
          <w:lang w:val="en-GB"/>
        </w:rPr>
        <w:t>)</w:t>
      </w:r>
      <w:r w:rsidRPr="008A648A">
        <w:rPr>
          <w:rFonts w:ascii="Fira Sans" w:hAnsi="Fira Sans" w:cs="Arial"/>
          <w:sz w:val="19"/>
          <w:szCs w:val="19"/>
          <w:lang w:val="en-GB"/>
        </w:rPr>
        <w:t>,</w:t>
      </w:r>
      <w:r w:rsidR="00BB40E7" w:rsidRPr="008A648A">
        <w:rPr>
          <w:rFonts w:ascii="Fira Sans" w:hAnsi="Fira Sans" w:cs="Arial"/>
          <w:sz w:val="19"/>
          <w:szCs w:val="19"/>
          <w:lang w:val="en-GB"/>
        </w:rPr>
        <w:t xml:space="preserve"> whereas </w:t>
      </w:r>
      <w:r w:rsidR="00E22528" w:rsidRPr="008A648A">
        <w:rPr>
          <w:rFonts w:ascii="Fira Sans" w:hAnsi="Fira Sans" w:cs="Arial"/>
          <w:sz w:val="19"/>
          <w:szCs w:val="19"/>
          <w:lang w:val="en-GB"/>
        </w:rPr>
        <w:t xml:space="preserve">households of pensioners </w:t>
      </w:r>
      <w:r w:rsidR="00BB40E7" w:rsidRPr="008A648A">
        <w:rPr>
          <w:rFonts w:ascii="Fira Sans" w:hAnsi="Fira Sans" w:cs="Arial"/>
          <w:sz w:val="19"/>
          <w:szCs w:val="19"/>
          <w:lang w:val="en-GB"/>
        </w:rPr>
        <w:t>assess</w:t>
      </w:r>
      <w:r w:rsidR="00E22528" w:rsidRPr="008A648A">
        <w:rPr>
          <w:rFonts w:ascii="Fira Sans" w:hAnsi="Fira Sans" w:cs="Arial"/>
          <w:sz w:val="19"/>
          <w:szCs w:val="19"/>
          <w:lang w:val="en-GB"/>
        </w:rPr>
        <w:t>ed their situation the worst</w:t>
      </w:r>
      <w:r w:rsidR="00BB40E7" w:rsidRPr="008A648A">
        <w:rPr>
          <w:rFonts w:ascii="Fira Sans" w:hAnsi="Fira Sans" w:cs="Arial"/>
          <w:sz w:val="19"/>
          <w:szCs w:val="19"/>
          <w:lang w:val="en-GB"/>
        </w:rPr>
        <w:t xml:space="preserve"> (</w:t>
      </w:r>
      <w:r w:rsidR="008F5346">
        <w:rPr>
          <w:rFonts w:ascii="Fira Sans" w:hAnsi="Fira Sans" w:cs="Arial"/>
          <w:sz w:val="19"/>
          <w:szCs w:val="19"/>
          <w:lang w:val="en-GB"/>
        </w:rPr>
        <w:t>24.6</w:t>
      </w:r>
      <w:r w:rsidR="00BB40E7" w:rsidRPr="008A648A">
        <w:rPr>
          <w:rFonts w:ascii="Fira Sans" w:hAnsi="Fira Sans" w:cs="Arial"/>
          <w:sz w:val="19"/>
          <w:szCs w:val="19"/>
          <w:lang w:val="en-GB"/>
        </w:rPr>
        <w:t xml:space="preserve">% </w:t>
      </w:r>
      <w:r w:rsidR="00BB40E7" w:rsidRPr="008A648A">
        <w:rPr>
          <w:rFonts w:ascii="Fira Sans" w:hAnsi="Fira Sans"/>
          <w:sz w:val="19"/>
          <w:szCs w:val="19"/>
          <w:lang w:val="en-US"/>
        </w:rPr>
        <w:t xml:space="preserve">positive assessments compared </w:t>
      </w:r>
      <w:r w:rsidR="00E22528" w:rsidRPr="008A648A">
        <w:rPr>
          <w:rFonts w:ascii="Fira Sans" w:hAnsi="Fira Sans"/>
          <w:sz w:val="19"/>
          <w:szCs w:val="19"/>
          <w:lang w:val="en-US"/>
        </w:rPr>
        <w:t>with</w:t>
      </w:r>
      <w:r w:rsidR="00BB40E7" w:rsidRPr="008A648A">
        <w:rPr>
          <w:rFonts w:ascii="Fira Sans" w:hAnsi="Fira Sans"/>
          <w:sz w:val="19"/>
          <w:szCs w:val="19"/>
          <w:lang w:val="en-US"/>
        </w:rPr>
        <w:t xml:space="preserve"> </w:t>
      </w:r>
      <w:r w:rsidR="008F5346" w:rsidRPr="008A648A">
        <w:rPr>
          <w:rFonts w:ascii="Fira Sans" w:hAnsi="Fira Sans" w:cs="Arial"/>
          <w:sz w:val="19"/>
          <w:szCs w:val="19"/>
          <w:lang w:val="en-GB"/>
        </w:rPr>
        <w:t>23.9</w:t>
      </w:r>
      <w:r w:rsidR="00BB40E7" w:rsidRPr="008A648A">
        <w:rPr>
          <w:rFonts w:ascii="Fira Sans" w:hAnsi="Fira Sans"/>
          <w:sz w:val="19"/>
          <w:szCs w:val="19"/>
          <w:lang w:val="en-US"/>
        </w:rPr>
        <w:t>% in 20</w:t>
      </w:r>
      <w:r w:rsidRPr="008A648A">
        <w:rPr>
          <w:rFonts w:ascii="Fira Sans" w:hAnsi="Fira Sans"/>
          <w:sz w:val="19"/>
          <w:szCs w:val="19"/>
          <w:lang w:val="en-US"/>
        </w:rPr>
        <w:t>2</w:t>
      </w:r>
      <w:r w:rsidR="008F5346">
        <w:rPr>
          <w:rFonts w:ascii="Fira Sans" w:hAnsi="Fira Sans"/>
          <w:sz w:val="19"/>
          <w:szCs w:val="19"/>
          <w:lang w:val="en-US"/>
        </w:rPr>
        <w:t>3</w:t>
      </w:r>
      <w:r w:rsidR="00BB40E7" w:rsidRPr="008A648A">
        <w:rPr>
          <w:rFonts w:ascii="Fira Sans" w:hAnsi="Fira Sans"/>
          <w:sz w:val="19"/>
          <w:szCs w:val="19"/>
          <w:lang w:val="en-US"/>
        </w:rPr>
        <w:t>).</w:t>
      </w:r>
    </w:p>
    <w:p w14:paraId="7EE94F63" w14:textId="629AA7E0" w:rsidR="00BB40E7" w:rsidRPr="008F3616" w:rsidRDefault="00BD0818" w:rsidP="00DC28C6">
      <w:pPr>
        <w:spacing w:before="360" w:after="360" w:line="240" w:lineRule="auto"/>
        <w:rPr>
          <w:spacing w:val="-2"/>
          <w:sz w:val="18"/>
          <w:szCs w:val="19"/>
          <w:shd w:val="clear" w:color="auto" w:fill="FFFFFF"/>
          <w:lang w:val="en-GB"/>
        </w:rPr>
      </w:pPr>
      <w:r>
        <w:rPr>
          <w:noProof/>
          <w:lang w:eastAsia="pl-PL"/>
        </w:rPr>
        <w:drawing>
          <wp:inline distT="0" distB="0" distL="0" distR="0" wp14:anchorId="62272D5D" wp14:editId="2C0683DB">
            <wp:extent cx="5122545" cy="5219700"/>
            <wp:effectExtent l="0" t="0" r="1905" b="0"/>
            <wp:docPr id="43" name="Wykres 4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00000000-0008-0000-1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E94F65" w14:textId="614B43B7" w:rsidR="00BB40E7" w:rsidRDefault="00BB40E7" w:rsidP="00BB40E7">
      <w:pPr>
        <w:rPr>
          <w:rFonts w:cs="Arial"/>
          <w:spacing w:val="-2"/>
          <w:szCs w:val="19"/>
          <w:lang w:val="en-GB"/>
        </w:rPr>
      </w:pPr>
      <w:r w:rsidRPr="00060989">
        <w:rPr>
          <w:rFonts w:cs="Arial"/>
          <w:spacing w:val="-2"/>
          <w:szCs w:val="19"/>
          <w:lang w:val="en-GB"/>
        </w:rPr>
        <w:t>The subjective evaluation of the financial situation</w:t>
      </w:r>
      <w:r w:rsidR="00D856F5" w:rsidRPr="00060989">
        <w:rPr>
          <w:rFonts w:cs="Arial"/>
          <w:spacing w:val="-2"/>
          <w:szCs w:val="19"/>
          <w:lang w:val="en-GB"/>
        </w:rPr>
        <w:t xml:space="preserve"> </w:t>
      </w:r>
      <w:r w:rsidR="00E22528">
        <w:rPr>
          <w:rFonts w:cs="Arial"/>
          <w:spacing w:val="-2"/>
          <w:szCs w:val="19"/>
          <w:lang w:val="en-GB"/>
        </w:rPr>
        <w:t xml:space="preserve">of households </w:t>
      </w:r>
      <w:r w:rsidR="00D856F5" w:rsidRPr="00060989">
        <w:rPr>
          <w:rFonts w:cs="Arial"/>
          <w:spacing w:val="-2"/>
          <w:szCs w:val="19"/>
          <w:lang w:val="en-GB"/>
        </w:rPr>
        <w:t>depends</w:t>
      </w:r>
      <w:r w:rsidRPr="00060989">
        <w:rPr>
          <w:rFonts w:cs="Arial"/>
          <w:spacing w:val="-2"/>
          <w:szCs w:val="19"/>
          <w:lang w:val="en-GB"/>
        </w:rPr>
        <w:t xml:space="preserve"> to a large extent on the place of residence</w:t>
      </w:r>
      <w:r w:rsidR="00F82B68">
        <w:rPr>
          <w:rFonts w:cs="Arial"/>
          <w:spacing w:val="-2"/>
          <w:szCs w:val="19"/>
          <w:lang w:val="en-GB"/>
        </w:rPr>
        <w:t xml:space="preserve"> of a household</w:t>
      </w:r>
      <w:r w:rsidRPr="00060989">
        <w:rPr>
          <w:rFonts w:cs="Arial"/>
          <w:spacing w:val="-2"/>
          <w:szCs w:val="19"/>
          <w:lang w:val="en-GB"/>
        </w:rPr>
        <w:t xml:space="preserve">. </w:t>
      </w:r>
      <w:r w:rsidR="00736E08">
        <w:rPr>
          <w:rFonts w:cs="Arial"/>
          <w:spacing w:val="-2"/>
          <w:szCs w:val="19"/>
          <w:lang w:val="en-GB"/>
        </w:rPr>
        <w:t>Members of h</w:t>
      </w:r>
      <w:r w:rsidRPr="00060989">
        <w:rPr>
          <w:rFonts w:cs="Arial"/>
          <w:spacing w:val="-2"/>
          <w:szCs w:val="19"/>
          <w:lang w:val="en-GB"/>
        </w:rPr>
        <w:t>ouseholds in rural areas</w:t>
      </w:r>
      <w:r w:rsidR="0001037F">
        <w:rPr>
          <w:rFonts w:cs="Arial"/>
          <w:spacing w:val="-2"/>
          <w:szCs w:val="19"/>
          <w:lang w:val="en-GB"/>
        </w:rPr>
        <w:t>, similarly to the previous years,</w:t>
      </w:r>
      <w:r w:rsidRPr="00060989">
        <w:rPr>
          <w:rFonts w:cs="Arial"/>
          <w:spacing w:val="-2"/>
          <w:szCs w:val="19"/>
          <w:lang w:val="en-GB"/>
        </w:rPr>
        <w:t xml:space="preserve"> assess</w:t>
      </w:r>
      <w:r w:rsidR="00F82B68">
        <w:rPr>
          <w:rFonts w:cs="Arial"/>
          <w:spacing w:val="-2"/>
          <w:szCs w:val="19"/>
          <w:lang w:val="en-GB"/>
        </w:rPr>
        <w:t>ed</w:t>
      </w:r>
      <w:r w:rsidRPr="00060989">
        <w:rPr>
          <w:rFonts w:cs="Arial"/>
          <w:spacing w:val="-2"/>
          <w:szCs w:val="19"/>
          <w:lang w:val="en-GB"/>
        </w:rPr>
        <w:t xml:space="preserve"> their financial situation worse than urban residents, </w:t>
      </w:r>
      <w:r w:rsidR="00F82B68">
        <w:rPr>
          <w:rFonts w:cs="Arial"/>
          <w:spacing w:val="-2"/>
          <w:szCs w:val="19"/>
          <w:lang w:val="en-GB"/>
        </w:rPr>
        <w:t>especially</w:t>
      </w:r>
      <w:r w:rsidRPr="00060989">
        <w:rPr>
          <w:rFonts w:cs="Arial"/>
          <w:spacing w:val="-2"/>
          <w:szCs w:val="19"/>
          <w:lang w:val="en-GB"/>
        </w:rPr>
        <w:t xml:space="preserve"> those from cities with a population of 500 thousand or more</w:t>
      </w:r>
      <w:r w:rsidR="00E408D3">
        <w:rPr>
          <w:rFonts w:cs="Arial"/>
          <w:spacing w:val="-2"/>
          <w:szCs w:val="19"/>
          <w:lang w:val="en-GB"/>
        </w:rPr>
        <w:t>.</w:t>
      </w:r>
      <w:r w:rsidRPr="00060989">
        <w:rPr>
          <w:rFonts w:cs="Arial"/>
          <w:spacing w:val="-2"/>
          <w:szCs w:val="19"/>
          <w:lang w:val="en-GB"/>
        </w:rPr>
        <w:t xml:space="preserve"> </w:t>
      </w:r>
      <w:r w:rsidR="00FE6DCD">
        <w:rPr>
          <w:rFonts w:cs="Arial"/>
          <w:spacing w:val="-2"/>
          <w:szCs w:val="19"/>
          <w:lang w:val="en-GB"/>
        </w:rPr>
        <w:t xml:space="preserve">Among </w:t>
      </w:r>
      <w:r w:rsidR="005D4BCF">
        <w:rPr>
          <w:rFonts w:cs="Arial"/>
          <w:spacing w:val="-2"/>
          <w:szCs w:val="19"/>
          <w:lang w:val="en-GB"/>
        </w:rPr>
        <w:t xml:space="preserve">households </w:t>
      </w:r>
      <w:r w:rsidR="005D4BCF" w:rsidRPr="00060989">
        <w:rPr>
          <w:rFonts w:cs="Arial"/>
          <w:spacing w:val="-2"/>
          <w:szCs w:val="19"/>
          <w:lang w:val="en-GB"/>
        </w:rPr>
        <w:t xml:space="preserve">in cities with population </w:t>
      </w:r>
      <w:r w:rsidR="00FE6DCD" w:rsidRPr="00060989">
        <w:rPr>
          <w:rFonts w:cs="Arial"/>
          <w:spacing w:val="-2"/>
          <w:szCs w:val="19"/>
          <w:lang w:val="en-GB"/>
        </w:rPr>
        <w:t xml:space="preserve">500 thousand or more </w:t>
      </w:r>
      <w:r w:rsidR="00FE6DCD">
        <w:rPr>
          <w:rFonts w:cs="Arial"/>
          <w:spacing w:val="-2"/>
          <w:szCs w:val="19"/>
          <w:lang w:val="en-GB"/>
        </w:rPr>
        <w:t xml:space="preserve">the percentage </w:t>
      </w:r>
      <w:r w:rsidR="005D4BCF" w:rsidRPr="00060989">
        <w:rPr>
          <w:rFonts w:cs="Arial"/>
          <w:spacing w:val="-2"/>
          <w:szCs w:val="19"/>
          <w:lang w:val="en-GB"/>
        </w:rPr>
        <w:t xml:space="preserve">of </w:t>
      </w:r>
      <w:r w:rsidR="00FE6DCD">
        <w:rPr>
          <w:rFonts w:cs="Arial"/>
          <w:spacing w:val="-2"/>
          <w:szCs w:val="19"/>
          <w:lang w:val="en-GB"/>
        </w:rPr>
        <w:t>subjective evaluations good or rather good increased</w:t>
      </w:r>
      <w:r w:rsidR="005D4BCF">
        <w:rPr>
          <w:rFonts w:cs="Arial"/>
          <w:spacing w:val="-2"/>
          <w:szCs w:val="19"/>
          <w:lang w:val="en-GB"/>
        </w:rPr>
        <w:t xml:space="preserve"> </w:t>
      </w:r>
      <w:r w:rsidR="00FE6DCD">
        <w:rPr>
          <w:rFonts w:cs="Arial"/>
          <w:spacing w:val="-2"/>
          <w:szCs w:val="19"/>
          <w:lang w:val="en-GB"/>
        </w:rPr>
        <w:t xml:space="preserve">from </w:t>
      </w:r>
      <w:r w:rsidR="008F5346">
        <w:rPr>
          <w:rFonts w:cs="Arial"/>
          <w:spacing w:val="-2"/>
          <w:szCs w:val="19"/>
          <w:lang w:val="en-GB"/>
        </w:rPr>
        <w:t>65.2</w:t>
      </w:r>
      <w:r w:rsidR="00FE6DCD">
        <w:rPr>
          <w:rFonts w:cs="Arial"/>
          <w:spacing w:val="-2"/>
          <w:szCs w:val="19"/>
          <w:lang w:val="en-GB"/>
        </w:rPr>
        <w:t>% in 202</w:t>
      </w:r>
      <w:r w:rsidR="008F5346">
        <w:rPr>
          <w:rFonts w:cs="Arial"/>
          <w:spacing w:val="-2"/>
          <w:szCs w:val="19"/>
          <w:lang w:val="en-GB"/>
        </w:rPr>
        <w:t>3</w:t>
      </w:r>
      <w:r w:rsidR="00FE6DCD">
        <w:rPr>
          <w:rFonts w:cs="Arial"/>
          <w:spacing w:val="-2"/>
          <w:szCs w:val="19"/>
          <w:lang w:val="en-GB"/>
        </w:rPr>
        <w:t xml:space="preserve"> to </w:t>
      </w:r>
      <w:r w:rsidR="008F5346">
        <w:rPr>
          <w:rFonts w:cs="Arial"/>
          <w:spacing w:val="-2"/>
          <w:szCs w:val="19"/>
          <w:lang w:val="en-GB"/>
        </w:rPr>
        <w:t>69.8</w:t>
      </w:r>
      <w:r w:rsidR="005D4BCF">
        <w:rPr>
          <w:rFonts w:cs="Arial"/>
          <w:spacing w:val="-2"/>
          <w:szCs w:val="19"/>
          <w:lang w:val="en-GB"/>
        </w:rPr>
        <w:t>% in 202</w:t>
      </w:r>
      <w:r w:rsidR="008F5346">
        <w:rPr>
          <w:rFonts w:cs="Arial"/>
          <w:spacing w:val="-2"/>
          <w:szCs w:val="19"/>
          <w:lang w:val="en-GB"/>
        </w:rPr>
        <w:t>4</w:t>
      </w:r>
      <w:r w:rsidR="00FE6DCD">
        <w:rPr>
          <w:rFonts w:cs="Arial"/>
          <w:spacing w:val="-2"/>
          <w:szCs w:val="19"/>
          <w:lang w:val="en-GB"/>
        </w:rPr>
        <w:t>. In households in rural areas</w:t>
      </w:r>
      <w:r w:rsidR="00C336A9">
        <w:rPr>
          <w:rFonts w:cs="Arial"/>
          <w:spacing w:val="-2"/>
          <w:szCs w:val="19"/>
          <w:lang w:val="en-GB"/>
        </w:rPr>
        <w:t>,</w:t>
      </w:r>
      <w:r w:rsidR="00FE6DCD">
        <w:rPr>
          <w:rFonts w:cs="Arial"/>
          <w:spacing w:val="-2"/>
          <w:szCs w:val="19"/>
          <w:lang w:val="en-GB"/>
        </w:rPr>
        <w:t xml:space="preserve"> </w:t>
      </w:r>
      <w:r w:rsidR="00FE6DCD" w:rsidRPr="00FE6DCD">
        <w:rPr>
          <w:rFonts w:cs="Arial"/>
          <w:spacing w:val="-2"/>
          <w:szCs w:val="19"/>
          <w:lang w:val="en-GB"/>
        </w:rPr>
        <w:t xml:space="preserve">the corresponding percentage was at a much lower level, but also increased </w:t>
      </w:r>
      <w:r w:rsidR="00C336A9" w:rsidRPr="00FE6DCD">
        <w:rPr>
          <w:rFonts w:cs="Arial"/>
          <w:spacing w:val="-2"/>
          <w:szCs w:val="19"/>
          <w:lang w:val="en-GB"/>
        </w:rPr>
        <w:t xml:space="preserve">from </w:t>
      </w:r>
      <w:r w:rsidR="008F5346">
        <w:rPr>
          <w:rFonts w:cs="Arial"/>
          <w:spacing w:val="-2"/>
          <w:szCs w:val="19"/>
          <w:lang w:val="en-GB"/>
        </w:rPr>
        <w:t>51</w:t>
      </w:r>
      <w:r w:rsidR="00C336A9" w:rsidRPr="00FE6DCD">
        <w:rPr>
          <w:rFonts w:cs="Arial"/>
          <w:spacing w:val="-2"/>
          <w:szCs w:val="19"/>
          <w:lang w:val="en-GB"/>
        </w:rPr>
        <w:t>.4% in 202</w:t>
      </w:r>
      <w:r w:rsidR="008F5346">
        <w:rPr>
          <w:rFonts w:cs="Arial"/>
          <w:spacing w:val="-2"/>
          <w:szCs w:val="19"/>
          <w:lang w:val="en-GB"/>
        </w:rPr>
        <w:t>3</w:t>
      </w:r>
      <w:r w:rsidR="00C336A9">
        <w:rPr>
          <w:rFonts w:cs="Arial"/>
          <w:spacing w:val="-2"/>
          <w:szCs w:val="19"/>
          <w:lang w:val="en-GB"/>
        </w:rPr>
        <w:t xml:space="preserve"> </w:t>
      </w:r>
      <w:r w:rsidR="00FE6DCD" w:rsidRPr="00FE6DCD">
        <w:rPr>
          <w:rFonts w:cs="Arial"/>
          <w:spacing w:val="-2"/>
          <w:szCs w:val="19"/>
          <w:lang w:val="en-GB"/>
        </w:rPr>
        <w:t xml:space="preserve">to </w:t>
      </w:r>
      <w:r w:rsidR="008F5346">
        <w:rPr>
          <w:rFonts w:cs="Arial"/>
          <w:spacing w:val="-2"/>
          <w:szCs w:val="19"/>
          <w:lang w:val="en-GB"/>
        </w:rPr>
        <w:t>52.8</w:t>
      </w:r>
      <w:r w:rsidR="00FE6DCD" w:rsidRPr="00FE6DCD">
        <w:rPr>
          <w:rFonts w:cs="Arial"/>
          <w:spacing w:val="-2"/>
          <w:szCs w:val="19"/>
          <w:lang w:val="en-GB"/>
        </w:rPr>
        <w:t>% in 202</w:t>
      </w:r>
      <w:r w:rsidR="008F5346">
        <w:rPr>
          <w:rFonts w:cs="Arial"/>
          <w:spacing w:val="-2"/>
          <w:szCs w:val="19"/>
          <w:lang w:val="en-GB"/>
        </w:rPr>
        <w:t>4</w:t>
      </w:r>
      <w:r w:rsidR="00FE6DCD" w:rsidRPr="00FE6DCD">
        <w:rPr>
          <w:rFonts w:cs="Arial"/>
          <w:spacing w:val="-2"/>
          <w:szCs w:val="19"/>
          <w:lang w:val="en-GB"/>
        </w:rPr>
        <w:t>.</w:t>
      </w:r>
    </w:p>
    <w:p w14:paraId="59BAF75B" w14:textId="77777777" w:rsidR="00C10E05" w:rsidRPr="00C10E05" w:rsidRDefault="00C10E05" w:rsidP="00BB40E7">
      <w:pPr>
        <w:rPr>
          <w:rFonts w:cs="Arial"/>
          <w:spacing w:val="-2"/>
          <w:szCs w:val="19"/>
          <w:lang w:val="en-GB"/>
        </w:rPr>
      </w:pPr>
    </w:p>
    <w:p w14:paraId="7EE94F66" w14:textId="4387F43C" w:rsidR="000E17FE" w:rsidRPr="00E408D3" w:rsidRDefault="001C0B4F" w:rsidP="00DC28C6">
      <w:pPr>
        <w:spacing w:before="360" w:after="360" w:line="240" w:lineRule="auto"/>
        <w:rPr>
          <w:spacing w:val="-2"/>
          <w:szCs w:val="19"/>
          <w:shd w:val="clear" w:color="auto" w:fill="FFFFFF"/>
          <w:lang w:val="en-GB"/>
        </w:rPr>
      </w:pPr>
      <w:r>
        <w:rPr>
          <w:noProof/>
          <w:lang w:eastAsia="pl-PL"/>
        </w:rPr>
        <w:lastRenderedPageBreak/>
        <w:drawing>
          <wp:inline distT="0" distB="0" distL="0" distR="0" wp14:anchorId="51B16754" wp14:editId="7FC57DC3">
            <wp:extent cx="5122545" cy="3455670"/>
            <wp:effectExtent l="0" t="0" r="1905" b="0"/>
            <wp:docPr id="44" name="Wykres 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00000000-0008-0000-1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E94F6E" w14:textId="54F649FF" w:rsidR="00F82B68" w:rsidRPr="00E408D3" w:rsidRDefault="00E408D3" w:rsidP="00DC28C6">
      <w:pPr>
        <w:spacing w:before="360" w:line="240" w:lineRule="auto"/>
        <w:rPr>
          <w:spacing w:val="-2"/>
          <w:szCs w:val="19"/>
          <w:shd w:val="clear" w:color="auto" w:fill="FFFFFF"/>
          <w:lang w:val="en-GB"/>
        </w:rPr>
      </w:pPr>
      <w:r w:rsidRPr="000E442E">
        <w:rPr>
          <w:b/>
          <w:color w:val="001D77"/>
          <w:spacing w:val="-1"/>
          <w:szCs w:val="19"/>
          <w:shd w:val="clear" w:color="auto" w:fill="FFFFFF"/>
          <w:lang w:val="en-GB"/>
        </w:rPr>
        <w:t>Support granted by households to the inhabitants of Ukraine (in Poland and Ukraine)</w:t>
      </w:r>
    </w:p>
    <w:p w14:paraId="693A0BDC" w14:textId="4E016E9D" w:rsidR="000E442E" w:rsidRDefault="00C10E05" w:rsidP="0031787F">
      <w:pPr>
        <w:rPr>
          <w:spacing w:val="-2"/>
          <w:szCs w:val="19"/>
          <w:shd w:val="clear" w:color="auto" w:fill="FFFFFF"/>
          <w:lang w:val="en-GB"/>
        </w:rPr>
      </w:pPr>
      <w:r>
        <w:rPr>
          <w:spacing w:val="-2"/>
          <w:szCs w:val="19"/>
          <w:shd w:val="clear" w:color="auto" w:fill="FFFFFF"/>
          <w:lang w:val="en-GB"/>
        </w:rPr>
        <w:t>In 202</w:t>
      </w:r>
      <w:r w:rsidR="008F5346">
        <w:rPr>
          <w:spacing w:val="-2"/>
          <w:szCs w:val="19"/>
          <w:shd w:val="clear" w:color="auto" w:fill="FFFFFF"/>
          <w:lang w:val="en-GB"/>
        </w:rPr>
        <w:t>4</w:t>
      </w:r>
      <w:r w:rsidR="000E442E" w:rsidRPr="000E442E">
        <w:rPr>
          <w:spacing w:val="-2"/>
          <w:szCs w:val="19"/>
          <w:shd w:val="clear" w:color="auto" w:fill="FFFFFF"/>
          <w:lang w:val="en-GB"/>
        </w:rPr>
        <w:t xml:space="preserve"> households in Poland </w:t>
      </w:r>
      <w:r>
        <w:rPr>
          <w:spacing w:val="-2"/>
          <w:szCs w:val="19"/>
          <w:shd w:val="clear" w:color="auto" w:fill="FFFFFF"/>
          <w:lang w:val="en-GB"/>
        </w:rPr>
        <w:t>continued</w:t>
      </w:r>
      <w:r w:rsidR="00E826E4">
        <w:rPr>
          <w:spacing w:val="-2"/>
          <w:szCs w:val="19"/>
          <w:shd w:val="clear" w:color="auto" w:fill="FFFFFF"/>
          <w:lang w:val="en-GB"/>
        </w:rPr>
        <w:t>, although in the smaller scale,</w:t>
      </w:r>
      <w:r>
        <w:rPr>
          <w:spacing w:val="-2"/>
          <w:szCs w:val="19"/>
          <w:shd w:val="clear" w:color="auto" w:fill="FFFFFF"/>
          <w:lang w:val="en-GB"/>
        </w:rPr>
        <w:t xml:space="preserve"> </w:t>
      </w:r>
      <w:r w:rsidR="000E442E" w:rsidRPr="000E442E">
        <w:rPr>
          <w:spacing w:val="-2"/>
          <w:szCs w:val="19"/>
          <w:shd w:val="clear" w:color="auto" w:fill="FFFFFF"/>
          <w:lang w:val="en-GB"/>
        </w:rPr>
        <w:t>provid</w:t>
      </w:r>
      <w:r>
        <w:rPr>
          <w:spacing w:val="-2"/>
          <w:szCs w:val="19"/>
          <w:shd w:val="clear" w:color="auto" w:fill="FFFFFF"/>
          <w:lang w:val="en-GB"/>
        </w:rPr>
        <w:t>ing</w:t>
      </w:r>
      <w:r w:rsidR="000E442E" w:rsidRPr="000E442E">
        <w:rPr>
          <w:spacing w:val="-2"/>
          <w:szCs w:val="19"/>
          <w:shd w:val="clear" w:color="auto" w:fill="FFFFFF"/>
          <w:lang w:val="en-GB"/>
        </w:rPr>
        <w:t xml:space="preserve"> </w:t>
      </w:r>
      <w:r w:rsidR="000E442E">
        <w:rPr>
          <w:spacing w:val="-2"/>
          <w:szCs w:val="19"/>
          <w:shd w:val="clear" w:color="auto" w:fill="FFFFFF"/>
          <w:lang w:val="en-GB"/>
        </w:rPr>
        <w:t>aid</w:t>
      </w:r>
      <w:r w:rsidR="000E442E" w:rsidRPr="000E442E">
        <w:rPr>
          <w:spacing w:val="-2"/>
          <w:szCs w:val="19"/>
          <w:shd w:val="clear" w:color="auto" w:fill="FFFFFF"/>
          <w:lang w:val="en-GB"/>
        </w:rPr>
        <w:t xml:space="preserve"> to </w:t>
      </w:r>
      <w:r w:rsidR="000E442E">
        <w:rPr>
          <w:spacing w:val="-2"/>
          <w:szCs w:val="19"/>
          <w:shd w:val="clear" w:color="auto" w:fill="FFFFFF"/>
          <w:lang w:val="en-GB"/>
        </w:rPr>
        <w:t>inhabitants</w:t>
      </w:r>
      <w:r w:rsidR="000E442E" w:rsidRPr="000E442E">
        <w:rPr>
          <w:spacing w:val="-2"/>
          <w:szCs w:val="19"/>
          <w:shd w:val="clear" w:color="auto" w:fill="FFFFFF"/>
          <w:lang w:val="en-GB"/>
        </w:rPr>
        <w:t xml:space="preserve"> of </w:t>
      </w:r>
      <w:r w:rsidR="007B7481">
        <w:rPr>
          <w:spacing w:val="-2"/>
          <w:szCs w:val="19"/>
          <w:shd w:val="clear" w:color="auto" w:fill="FFFFFF"/>
          <w:lang w:val="en-GB"/>
        </w:rPr>
        <w:t xml:space="preserve">Ukraine </w:t>
      </w:r>
      <w:r w:rsidR="000E442E">
        <w:rPr>
          <w:spacing w:val="-2"/>
          <w:szCs w:val="19"/>
          <w:shd w:val="clear" w:color="auto" w:fill="FFFFFF"/>
          <w:lang w:val="en-GB"/>
        </w:rPr>
        <w:t xml:space="preserve">covered by the </w:t>
      </w:r>
      <w:r w:rsidR="000E442E" w:rsidRPr="000E442E">
        <w:rPr>
          <w:spacing w:val="-2"/>
          <w:szCs w:val="19"/>
          <w:shd w:val="clear" w:color="auto" w:fill="FFFFFF"/>
          <w:lang w:val="en-GB"/>
        </w:rPr>
        <w:t>war</w:t>
      </w:r>
      <w:r>
        <w:rPr>
          <w:spacing w:val="-2"/>
          <w:szCs w:val="19"/>
          <w:shd w:val="clear" w:color="auto" w:fill="FFFFFF"/>
          <w:lang w:val="en-GB"/>
        </w:rPr>
        <w:t>,</w:t>
      </w:r>
      <w:r w:rsidR="000E442E" w:rsidRPr="000E442E">
        <w:rPr>
          <w:spacing w:val="-2"/>
          <w:szCs w:val="19"/>
          <w:shd w:val="clear" w:color="auto" w:fill="FFFFFF"/>
          <w:lang w:val="en-GB"/>
        </w:rPr>
        <w:t xml:space="preserve"> </w:t>
      </w:r>
      <w:r w:rsidR="00EA0C45">
        <w:rPr>
          <w:spacing w:val="-2"/>
          <w:szCs w:val="19"/>
          <w:shd w:val="clear" w:color="auto" w:fill="FFFFFF"/>
          <w:lang w:val="en-GB"/>
        </w:rPr>
        <w:t>resulting from</w:t>
      </w:r>
      <w:r w:rsidR="000E442E" w:rsidRPr="000E442E">
        <w:rPr>
          <w:spacing w:val="-2"/>
          <w:szCs w:val="19"/>
          <w:shd w:val="clear" w:color="auto" w:fill="FFFFFF"/>
          <w:lang w:val="en-GB"/>
        </w:rPr>
        <w:t xml:space="preserve"> the Russian invasion.</w:t>
      </w:r>
      <w:r w:rsidR="00AE5B4E" w:rsidRPr="00AE5B4E">
        <w:rPr>
          <w:rStyle w:val="Odwoanieprzypisudolnego"/>
          <w:spacing w:val="-2"/>
          <w:lang w:val="en-GB"/>
        </w:rPr>
        <w:t xml:space="preserve"> </w:t>
      </w:r>
      <w:r w:rsidR="00AE5B4E" w:rsidRPr="0080589B">
        <w:rPr>
          <w:rStyle w:val="Odwoanieprzypisudolnego"/>
          <w:spacing w:val="-2"/>
        </w:rPr>
        <w:footnoteReference w:id="9"/>
      </w:r>
      <w:r w:rsidR="000E442E" w:rsidRPr="000E442E">
        <w:rPr>
          <w:spacing w:val="-2"/>
          <w:szCs w:val="19"/>
          <w:shd w:val="clear" w:color="auto" w:fill="FFFFFF"/>
          <w:lang w:val="en-GB"/>
        </w:rPr>
        <w:t xml:space="preserve"> In individual quarters of 2022</w:t>
      </w:r>
      <w:r w:rsidR="008F5346">
        <w:rPr>
          <w:spacing w:val="-2"/>
          <w:szCs w:val="19"/>
          <w:shd w:val="clear" w:color="auto" w:fill="FFFFFF"/>
          <w:lang w:val="en-GB"/>
        </w:rPr>
        <w:t>–</w:t>
      </w:r>
      <w:r>
        <w:rPr>
          <w:spacing w:val="-2"/>
          <w:szCs w:val="19"/>
          <w:shd w:val="clear" w:color="auto" w:fill="FFFFFF"/>
          <w:lang w:val="en-GB"/>
        </w:rPr>
        <w:t>202</w:t>
      </w:r>
      <w:r w:rsidR="008F5346">
        <w:rPr>
          <w:spacing w:val="-2"/>
          <w:szCs w:val="19"/>
          <w:shd w:val="clear" w:color="auto" w:fill="FFFFFF"/>
          <w:lang w:val="en-GB"/>
        </w:rPr>
        <w:t>4</w:t>
      </w:r>
      <w:r w:rsidR="000E442E" w:rsidRPr="000E442E">
        <w:rPr>
          <w:spacing w:val="-2"/>
          <w:szCs w:val="19"/>
          <w:shd w:val="clear" w:color="auto" w:fill="FFFFFF"/>
          <w:lang w:val="en-GB"/>
        </w:rPr>
        <w:t xml:space="preserve">, the scale of assistance provided by households to residents of Ukraine decreased from </w:t>
      </w:r>
      <w:r>
        <w:rPr>
          <w:spacing w:val="-2"/>
          <w:szCs w:val="19"/>
          <w:shd w:val="clear" w:color="auto" w:fill="FFFFFF"/>
          <w:lang w:val="en-GB"/>
        </w:rPr>
        <w:t>69</w:t>
      </w:r>
      <w:r w:rsidR="000E442E" w:rsidRPr="000E442E">
        <w:rPr>
          <w:spacing w:val="-2"/>
          <w:szCs w:val="19"/>
          <w:shd w:val="clear" w:color="auto" w:fill="FFFFFF"/>
          <w:lang w:val="en-GB"/>
        </w:rPr>
        <w:t xml:space="preserve">.3% in the first quarter </w:t>
      </w:r>
      <w:r>
        <w:rPr>
          <w:spacing w:val="-2"/>
          <w:szCs w:val="19"/>
          <w:shd w:val="clear" w:color="auto" w:fill="FFFFFF"/>
          <w:lang w:val="en-GB"/>
        </w:rPr>
        <w:t xml:space="preserve">of 2022 </w:t>
      </w:r>
      <w:r w:rsidR="000E442E" w:rsidRPr="000E442E">
        <w:rPr>
          <w:spacing w:val="-2"/>
          <w:szCs w:val="19"/>
          <w:shd w:val="clear" w:color="auto" w:fill="FFFFFF"/>
          <w:lang w:val="en-GB"/>
        </w:rPr>
        <w:t xml:space="preserve">to </w:t>
      </w:r>
      <w:r w:rsidR="008F5346">
        <w:rPr>
          <w:spacing w:val="-2"/>
          <w:szCs w:val="19"/>
          <w:shd w:val="clear" w:color="auto" w:fill="FFFFFF"/>
          <w:lang w:val="en-GB"/>
        </w:rPr>
        <w:t>6.0</w:t>
      </w:r>
      <w:r w:rsidR="000E442E" w:rsidRPr="000E442E">
        <w:rPr>
          <w:spacing w:val="-2"/>
          <w:szCs w:val="19"/>
          <w:shd w:val="clear" w:color="auto" w:fill="FFFFFF"/>
          <w:lang w:val="en-GB"/>
        </w:rPr>
        <w:t>% in the fourth quarter of 202</w:t>
      </w:r>
      <w:r w:rsidR="008F5346">
        <w:rPr>
          <w:spacing w:val="-2"/>
          <w:szCs w:val="19"/>
          <w:shd w:val="clear" w:color="auto" w:fill="FFFFFF"/>
          <w:lang w:val="en-GB"/>
        </w:rPr>
        <w:t>4</w:t>
      </w:r>
      <w:r w:rsidR="000E442E" w:rsidRPr="000E442E">
        <w:rPr>
          <w:spacing w:val="-2"/>
          <w:szCs w:val="19"/>
          <w:shd w:val="clear" w:color="auto" w:fill="FFFFFF"/>
          <w:lang w:val="en-GB"/>
        </w:rPr>
        <w:t>.</w:t>
      </w:r>
    </w:p>
    <w:p w14:paraId="0D85D985" w14:textId="35946A45" w:rsidR="000E442E" w:rsidRPr="008F5346" w:rsidRDefault="006D670B" w:rsidP="00DC28C6">
      <w:pPr>
        <w:spacing w:before="360" w:after="360" w:line="240" w:lineRule="auto"/>
        <w:rPr>
          <w:spacing w:val="-2"/>
          <w:szCs w:val="19"/>
          <w:shd w:val="clear" w:color="auto" w:fill="FFFFFF"/>
          <w:lang w:val="en-GB"/>
        </w:rPr>
      </w:pPr>
      <w:r w:rsidRPr="00797E60">
        <w:rPr>
          <w:b/>
          <w:noProof/>
          <w:spacing w:val="-1"/>
          <w:lang w:eastAsia="pl-PL"/>
        </w:rPr>
        <mc:AlternateContent>
          <mc:Choice Requires="wps">
            <w:drawing>
              <wp:anchor distT="45720" distB="45720" distL="114300" distR="114300" simplePos="0" relativeHeight="251849728" behindDoc="1" locked="0" layoutInCell="1" allowOverlap="1" wp14:anchorId="02C4D737" wp14:editId="767E4C0D">
                <wp:simplePos x="0" y="0"/>
                <wp:positionH relativeFrom="page">
                  <wp:posOffset>5677231</wp:posOffset>
                </wp:positionH>
                <wp:positionV relativeFrom="paragraph">
                  <wp:posOffset>-822794</wp:posOffset>
                </wp:positionV>
                <wp:extent cx="1725295" cy="1952625"/>
                <wp:effectExtent l="0" t="0" r="0" b="0"/>
                <wp:wrapTight wrapText="bothSides">
                  <wp:wrapPolygon edited="0">
                    <wp:start x="715" y="0"/>
                    <wp:lineTo x="715" y="21284"/>
                    <wp:lineTo x="20749" y="21284"/>
                    <wp:lineTo x="20749" y="0"/>
                    <wp:lineTo x="715" y="0"/>
                  </wp:wrapPolygon>
                </wp:wrapTight>
                <wp:docPr id="29" name="Pole tekstow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2625"/>
                        </a:xfrm>
                        <a:prstGeom prst="rect">
                          <a:avLst/>
                        </a:prstGeom>
                        <a:noFill/>
                        <a:ln w="9525">
                          <a:noFill/>
                          <a:miter lim="800000"/>
                          <a:headEnd/>
                          <a:tailEnd/>
                        </a:ln>
                      </wps:spPr>
                      <wps:txbx>
                        <w:txbxContent>
                          <w:p w14:paraId="602B6359" w14:textId="5B165AFA" w:rsidR="00882B10" w:rsidRPr="000E442E" w:rsidRDefault="00882B10" w:rsidP="000E442E">
                            <w:pPr>
                              <w:pStyle w:val="tekstzboku"/>
                              <w:rPr>
                                <w:bCs w:val="0"/>
                                <w:lang w:val="en-GB"/>
                              </w:rPr>
                            </w:pPr>
                            <w:r>
                              <w:rPr>
                                <w:bCs w:val="0"/>
                                <w:lang w:val="en-GB"/>
                              </w:rPr>
                              <w:t xml:space="preserve">In </w:t>
                            </w:r>
                            <w:r w:rsidRPr="000E442E">
                              <w:rPr>
                                <w:bCs w:val="0"/>
                                <w:lang w:val="en-GB"/>
                              </w:rPr>
                              <w:t>2022</w:t>
                            </w:r>
                            <w:r w:rsidR="008F5346">
                              <w:rPr>
                                <w:bCs w:val="0"/>
                                <w:lang w:val="en-GB"/>
                              </w:rPr>
                              <w:t>–</w:t>
                            </w:r>
                            <w:r>
                              <w:rPr>
                                <w:bCs w:val="0"/>
                                <w:lang w:val="en-GB"/>
                              </w:rPr>
                              <w:t>202</w:t>
                            </w:r>
                            <w:r w:rsidR="00CA37A4">
                              <w:rPr>
                                <w:bCs w:val="0"/>
                                <w:lang w:val="en-GB"/>
                              </w:rPr>
                              <w:t>4</w:t>
                            </w:r>
                            <w:r w:rsidRPr="000E442E">
                              <w:rPr>
                                <w:bCs w:val="0"/>
                                <w:lang w:val="en-GB"/>
                              </w:rPr>
                              <w:t xml:space="preserve">, households provided aid to inhabitants of </w:t>
                            </w:r>
                            <w:r w:rsidR="006D670B" w:rsidRPr="000E442E">
                              <w:rPr>
                                <w:bCs w:val="0"/>
                                <w:lang w:val="en-GB"/>
                              </w:rPr>
                              <w:t xml:space="preserve">Ukraine </w:t>
                            </w:r>
                            <w:r w:rsidRPr="000E442E">
                              <w:rPr>
                                <w:bCs w:val="0"/>
                                <w:lang w:val="en-GB"/>
                              </w:rPr>
                              <w:t>covered by the war (in Poland an</w:t>
                            </w:r>
                            <w:r>
                              <w:rPr>
                                <w:bCs w:val="0"/>
                                <w:lang w:val="en-GB"/>
                              </w:rPr>
                              <w:t xml:space="preserve">d </w:t>
                            </w:r>
                            <w:r w:rsidRPr="000E442E">
                              <w:rPr>
                                <w:bCs w:val="0"/>
                                <w:lang w:val="en-GB"/>
                              </w:rPr>
                              <w:t xml:space="preserve">Ukraine), </w:t>
                            </w:r>
                            <w:r>
                              <w:rPr>
                                <w:bCs w:val="0"/>
                                <w:lang w:val="en-GB"/>
                              </w:rPr>
                              <w:t>although the scale of this assistance was systematically decreasing from</w:t>
                            </w:r>
                            <w:r w:rsidRPr="000E442E">
                              <w:rPr>
                                <w:bCs w:val="0"/>
                                <w:lang w:val="en-GB"/>
                              </w:rPr>
                              <w:t xml:space="preserve"> </w:t>
                            </w:r>
                            <w:r>
                              <w:rPr>
                                <w:bCs w:val="0"/>
                                <w:lang w:val="en-GB"/>
                              </w:rPr>
                              <w:t>69.</w:t>
                            </w:r>
                            <w:r w:rsidRPr="000E442E">
                              <w:rPr>
                                <w:bCs w:val="0"/>
                                <w:lang w:val="en-GB"/>
                              </w:rPr>
                              <w:t>3%</w:t>
                            </w:r>
                            <w:r>
                              <w:rPr>
                                <w:bCs w:val="0"/>
                                <w:lang w:val="en-GB"/>
                              </w:rPr>
                              <w:t xml:space="preserve"> of households in total</w:t>
                            </w:r>
                            <w:r w:rsidRPr="000E442E">
                              <w:rPr>
                                <w:bCs w:val="0"/>
                                <w:lang w:val="en-GB"/>
                              </w:rPr>
                              <w:t xml:space="preserve"> </w:t>
                            </w:r>
                            <w:r>
                              <w:rPr>
                                <w:bCs w:val="0"/>
                                <w:lang w:val="en-GB"/>
                              </w:rPr>
                              <w:t>in the first quarter of 2022 to</w:t>
                            </w:r>
                            <w:r w:rsidRPr="000E442E">
                              <w:rPr>
                                <w:bCs w:val="0"/>
                                <w:lang w:val="en-GB"/>
                              </w:rPr>
                              <w:t xml:space="preserve"> </w:t>
                            </w:r>
                            <w:r w:rsidR="008F5346">
                              <w:rPr>
                                <w:bCs w:val="0"/>
                                <w:lang w:val="en-GB"/>
                              </w:rPr>
                              <w:t>6.0</w:t>
                            </w:r>
                            <w:r w:rsidRPr="000E442E">
                              <w:rPr>
                                <w:bCs w:val="0"/>
                                <w:lang w:val="en-GB"/>
                              </w:rPr>
                              <w:t xml:space="preserve">% </w:t>
                            </w:r>
                            <w:r>
                              <w:rPr>
                                <w:bCs w:val="0"/>
                                <w:lang w:val="en-GB"/>
                              </w:rPr>
                              <w:t>in the fourth quarter of</w:t>
                            </w:r>
                            <w:r w:rsidRPr="000E442E">
                              <w:rPr>
                                <w:bCs w:val="0"/>
                                <w:lang w:val="en-GB"/>
                              </w:rPr>
                              <w:t xml:space="preserve"> 202</w:t>
                            </w:r>
                            <w:r w:rsidR="008F5346">
                              <w:rPr>
                                <w:bCs w:val="0"/>
                                <w:lang w:val="en-G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2C4D737" id="Pole tekstowe 29" o:spid="_x0000_s1043" type="#_x0000_t202" style="position:absolute;margin-left:447.05pt;margin-top:-64.8pt;width:135.85pt;height:153.75pt;z-index:-251466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" filled="f" stroked="f">
                <v:textbox>
                  <w:txbxContent>
                    <w:p w14:paraId="602B6359" w14:textId="5B165AFA" w:rsidR="00882B10" w:rsidRPr="000E442E" w:rsidRDefault="00882B10" w:rsidP="000E442E">
                      <w:pPr>
                        <w:pStyle w:val="tekstzboku"/>
                        <w:rPr>
                          <w:bCs w:val="0"/>
                          <w:lang w:val="en-GB"/>
                        </w:rPr>
                      </w:pPr>
                      <w:r>
                        <w:rPr>
                          <w:bCs w:val="0"/>
                          <w:lang w:val="en-GB"/>
                        </w:rPr>
                        <w:t xml:space="preserve">In </w:t>
                      </w:r>
                      <w:r w:rsidRPr="000E442E">
                        <w:rPr>
                          <w:bCs w:val="0"/>
                          <w:lang w:val="en-GB"/>
                        </w:rPr>
                        <w:t>2022</w:t>
                      </w:r>
                      <w:r w:rsidR="008F5346">
                        <w:rPr>
                          <w:bCs w:val="0"/>
                          <w:lang w:val="en-GB"/>
                        </w:rPr>
                        <w:t>–</w:t>
                      </w:r>
                      <w:r>
                        <w:rPr>
                          <w:bCs w:val="0"/>
                          <w:lang w:val="en-GB"/>
                        </w:rPr>
                        <w:t>202</w:t>
                      </w:r>
                      <w:r w:rsidR="00CA37A4">
                        <w:rPr>
                          <w:bCs w:val="0"/>
                          <w:lang w:val="en-GB"/>
                        </w:rPr>
                        <w:t>4</w:t>
                      </w:r>
                      <w:r w:rsidRPr="000E442E">
                        <w:rPr>
                          <w:bCs w:val="0"/>
                          <w:lang w:val="en-GB"/>
                        </w:rPr>
                        <w:t xml:space="preserve">, households provided aid to inhabitants of </w:t>
                      </w:r>
                      <w:r w:rsidR="006D670B" w:rsidRPr="000E442E">
                        <w:rPr>
                          <w:bCs w:val="0"/>
                          <w:lang w:val="en-GB"/>
                        </w:rPr>
                        <w:t xml:space="preserve">Ukraine </w:t>
                      </w:r>
                      <w:r w:rsidRPr="000E442E">
                        <w:rPr>
                          <w:bCs w:val="0"/>
                          <w:lang w:val="en-GB"/>
                        </w:rPr>
                        <w:t>covered by the war (in Poland an</w:t>
                      </w:r>
                      <w:r>
                        <w:rPr>
                          <w:bCs w:val="0"/>
                          <w:lang w:val="en-GB"/>
                        </w:rPr>
                        <w:t xml:space="preserve">d </w:t>
                      </w:r>
                      <w:r w:rsidRPr="000E442E">
                        <w:rPr>
                          <w:bCs w:val="0"/>
                          <w:lang w:val="en-GB"/>
                        </w:rPr>
                        <w:t xml:space="preserve">Ukraine), </w:t>
                      </w:r>
                      <w:r>
                        <w:rPr>
                          <w:bCs w:val="0"/>
                          <w:lang w:val="en-GB"/>
                        </w:rPr>
                        <w:t>although the scale of this assistance was systematically decreasing from</w:t>
                      </w:r>
                      <w:r w:rsidRPr="000E442E">
                        <w:rPr>
                          <w:bCs w:val="0"/>
                          <w:lang w:val="en-GB"/>
                        </w:rPr>
                        <w:t xml:space="preserve"> </w:t>
                      </w:r>
                      <w:r>
                        <w:rPr>
                          <w:bCs w:val="0"/>
                          <w:lang w:val="en-GB"/>
                        </w:rPr>
                        <w:t>69.</w:t>
                      </w:r>
                      <w:r w:rsidRPr="000E442E">
                        <w:rPr>
                          <w:bCs w:val="0"/>
                          <w:lang w:val="en-GB"/>
                        </w:rPr>
                        <w:t>3%</w:t>
                      </w:r>
                      <w:r>
                        <w:rPr>
                          <w:bCs w:val="0"/>
                          <w:lang w:val="en-GB"/>
                        </w:rPr>
                        <w:t xml:space="preserve"> of households in total</w:t>
                      </w:r>
                      <w:r w:rsidRPr="000E442E">
                        <w:rPr>
                          <w:bCs w:val="0"/>
                          <w:lang w:val="en-GB"/>
                        </w:rPr>
                        <w:t xml:space="preserve"> </w:t>
                      </w:r>
                      <w:r>
                        <w:rPr>
                          <w:bCs w:val="0"/>
                          <w:lang w:val="en-GB"/>
                        </w:rPr>
                        <w:t>in the first quarter of 2022 to</w:t>
                      </w:r>
                      <w:r w:rsidRPr="000E442E">
                        <w:rPr>
                          <w:bCs w:val="0"/>
                          <w:lang w:val="en-GB"/>
                        </w:rPr>
                        <w:t xml:space="preserve"> </w:t>
                      </w:r>
                      <w:r w:rsidR="008F5346">
                        <w:rPr>
                          <w:bCs w:val="0"/>
                          <w:lang w:val="en-GB"/>
                        </w:rPr>
                        <w:t>6.0</w:t>
                      </w:r>
                      <w:r w:rsidRPr="000E442E">
                        <w:rPr>
                          <w:bCs w:val="0"/>
                          <w:lang w:val="en-GB"/>
                        </w:rPr>
                        <w:t xml:space="preserve">% </w:t>
                      </w:r>
                      <w:r>
                        <w:rPr>
                          <w:bCs w:val="0"/>
                          <w:lang w:val="en-GB"/>
                        </w:rPr>
                        <w:t>in the fourth quarter of</w:t>
                      </w:r>
                      <w:r w:rsidRPr="000E442E">
                        <w:rPr>
                          <w:bCs w:val="0"/>
                          <w:lang w:val="en-GB"/>
                        </w:rPr>
                        <w:t xml:space="preserve"> 202</w:t>
                      </w:r>
                      <w:r w:rsidR="008F5346">
                        <w:rPr>
                          <w:bCs w:val="0"/>
                          <w:lang w:val="en-GB"/>
                        </w:rPr>
                        <w:t>4</w:t>
                      </w:r>
                    </w:p>
                  </w:txbxContent>
                </v:textbox>
                <w10:wrap type="tight" anchorx="page"/>
              </v:shape>
            </w:pict>
          </mc:Fallback>
        </mc:AlternateContent>
      </w:r>
      <w:r w:rsidR="008F5346">
        <w:rPr>
          <w:noProof/>
          <w:lang w:eastAsia="pl-PL"/>
        </w:rPr>
        <w:drawing>
          <wp:inline distT="0" distB="0" distL="0" distR="0" wp14:anchorId="74EFD116" wp14:editId="7B9D3E9B">
            <wp:extent cx="5122545" cy="3240000"/>
            <wp:effectExtent l="0" t="0" r="1905" b="0"/>
            <wp:docPr id="35" name="Wykres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1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BCEC12" w14:textId="697BE03C" w:rsidR="00C2730E" w:rsidRDefault="004401C7" w:rsidP="00AE5B4E">
      <w:pPr>
        <w:rPr>
          <w:lang w:val="en-GB"/>
        </w:rPr>
      </w:pPr>
      <w:r w:rsidRPr="002E3797">
        <w:rPr>
          <w:lang w:val="en-GB"/>
        </w:rPr>
        <w:t xml:space="preserve">Among </w:t>
      </w:r>
      <w:r w:rsidR="006D670B" w:rsidRPr="002E3797">
        <w:rPr>
          <w:lang w:val="en-GB"/>
        </w:rPr>
        <w:t xml:space="preserve">households </w:t>
      </w:r>
      <w:r w:rsidRPr="002E3797">
        <w:rPr>
          <w:lang w:val="en-GB"/>
        </w:rPr>
        <w:t>helping</w:t>
      </w:r>
      <w:r w:rsidR="006D670B">
        <w:rPr>
          <w:lang w:val="en-GB"/>
        </w:rPr>
        <w:t xml:space="preserve"> persons from Ukraine</w:t>
      </w:r>
      <w:r w:rsidRPr="002E3797">
        <w:rPr>
          <w:lang w:val="en-GB"/>
        </w:rPr>
        <w:t xml:space="preserve">, the dominant forms of support </w:t>
      </w:r>
      <w:r w:rsidR="006D670B">
        <w:rPr>
          <w:lang w:val="en-GB"/>
        </w:rPr>
        <w:t xml:space="preserve">in 2022–2024 </w:t>
      </w:r>
      <w:r w:rsidRPr="002E3797">
        <w:rPr>
          <w:lang w:val="en-GB"/>
        </w:rPr>
        <w:t>were</w:t>
      </w:r>
      <w:r w:rsidR="006D670B">
        <w:rPr>
          <w:lang w:val="en-GB"/>
        </w:rPr>
        <w:t>:</w:t>
      </w:r>
      <w:r w:rsidRPr="002E3797">
        <w:rPr>
          <w:lang w:val="en-GB"/>
        </w:rPr>
        <w:t xml:space="preserve"> in-kind donations and financial support (directly o</w:t>
      </w:r>
      <w:r>
        <w:rPr>
          <w:lang w:val="en-GB"/>
        </w:rPr>
        <w:t>r</w:t>
      </w:r>
      <w:r w:rsidRPr="002E3797">
        <w:rPr>
          <w:lang w:val="en-GB"/>
        </w:rPr>
        <w:t xml:space="preserve"> through organizations). It is also worth noting that households provided assistance to refugees from Ukraine in Poland in finding a job, taking care of everyday matters or caring for relatives. </w:t>
      </w:r>
    </w:p>
    <w:p w14:paraId="6D31563D" w14:textId="19E3C54A" w:rsidR="00AE5B4E" w:rsidRPr="002E3797" w:rsidRDefault="001C0B4F" w:rsidP="00AE5B4E">
      <w:pPr>
        <w:rPr>
          <w:shd w:val="clear" w:color="auto" w:fill="FFFFFF"/>
          <w:lang w:val="en-GB"/>
        </w:rPr>
      </w:pPr>
      <w:r>
        <w:rPr>
          <w:shd w:val="clear" w:color="auto" w:fill="FFFFFF"/>
          <w:lang w:val="en-GB"/>
        </w:rPr>
        <w:br w:type="page"/>
      </w:r>
      <w:r w:rsidR="00AE5B4E" w:rsidRPr="002E3797">
        <w:rPr>
          <w:shd w:val="clear" w:color="auto" w:fill="FFFFFF"/>
          <w:lang w:val="en-GB"/>
        </w:rPr>
        <w:lastRenderedPageBreak/>
        <w:t>Th</w:t>
      </w:r>
      <w:r w:rsidR="00AE5B4E">
        <w:rPr>
          <w:shd w:val="clear" w:color="auto" w:fill="FFFFFF"/>
          <w:lang w:val="en-GB"/>
        </w:rPr>
        <w:t xml:space="preserve">e </w:t>
      </w:r>
      <w:r w:rsidR="00AE5B4E" w:rsidRPr="002E3797">
        <w:rPr>
          <w:shd w:val="clear" w:color="auto" w:fill="FFFFFF"/>
          <w:lang w:val="en-GB"/>
        </w:rPr>
        <w:t xml:space="preserve">highest share of households granting support to Ukrainian inhabitants </w:t>
      </w:r>
      <w:r w:rsidR="00273032">
        <w:rPr>
          <w:shd w:val="clear" w:color="auto" w:fill="FFFFFF"/>
          <w:lang w:val="en-GB"/>
        </w:rPr>
        <w:t>in all quarters of 202</w:t>
      </w:r>
      <w:r w:rsidR="008F5346">
        <w:rPr>
          <w:shd w:val="clear" w:color="auto" w:fill="FFFFFF"/>
          <w:lang w:val="en-GB"/>
        </w:rPr>
        <w:t>4</w:t>
      </w:r>
      <w:r w:rsidR="00273032">
        <w:rPr>
          <w:shd w:val="clear" w:color="auto" w:fill="FFFFFF"/>
          <w:lang w:val="en-GB"/>
        </w:rPr>
        <w:t xml:space="preserve"> </w:t>
      </w:r>
      <w:r w:rsidR="00AE5B4E" w:rsidRPr="002E3797">
        <w:rPr>
          <w:shd w:val="clear" w:color="auto" w:fill="FFFFFF"/>
          <w:lang w:val="en-GB"/>
        </w:rPr>
        <w:t xml:space="preserve">was among households of self-employed </w:t>
      </w:r>
      <w:r w:rsidR="00273032">
        <w:rPr>
          <w:shd w:val="clear" w:color="auto" w:fill="FFFFFF"/>
          <w:lang w:val="en-GB"/>
        </w:rPr>
        <w:t xml:space="preserve">(from </w:t>
      </w:r>
      <w:r w:rsidR="008F5346">
        <w:rPr>
          <w:shd w:val="clear" w:color="auto" w:fill="FFFFFF"/>
          <w:lang w:val="en-GB"/>
        </w:rPr>
        <w:t>12.9</w:t>
      </w:r>
      <w:r w:rsidR="00AE5B4E" w:rsidRPr="002E3797">
        <w:rPr>
          <w:shd w:val="clear" w:color="auto" w:fill="FFFFFF"/>
          <w:lang w:val="en-GB"/>
        </w:rPr>
        <w:t xml:space="preserve">% in the first quarter </w:t>
      </w:r>
      <w:r w:rsidR="00273032">
        <w:rPr>
          <w:shd w:val="clear" w:color="auto" w:fill="FFFFFF"/>
          <w:lang w:val="en-GB"/>
        </w:rPr>
        <w:t>to</w:t>
      </w:r>
      <w:r w:rsidR="00AE5B4E" w:rsidRPr="002E3797">
        <w:rPr>
          <w:shd w:val="clear" w:color="auto" w:fill="FFFFFF"/>
          <w:lang w:val="en-GB"/>
        </w:rPr>
        <w:t xml:space="preserve"> </w:t>
      </w:r>
      <w:r w:rsidR="008F5346">
        <w:rPr>
          <w:shd w:val="clear" w:color="auto" w:fill="FFFFFF"/>
          <w:lang w:val="en-GB"/>
        </w:rPr>
        <w:t>8.2</w:t>
      </w:r>
      <w:r w:rsidR="00AE5B4E" w:rsidRPr="002E3797">
        <w:rPr>
          <w:shd w:val="clear" w:color="auto" w:fill="FFFFFF"/>
          <w:lang w:val="en-GB"/>
        </w:rPr>
        <w:t xml:space="preserve">% in the </w:t>
      </w:r>
      <w:r w:rsidR="005734C2">
        <w:rPr>
          <w:shd w:val="clear" w:color="auto" w:fill="FFFFFF"/>
          <w:lang w:val="en-GB"/>
        </w:rPr>
        <w:t>fourth</w:t>
      </w:r>
      <w:r w:rsidR="00AE5B4E" w:rsidRPr="002E3797">
        <w:rPr>
          <w:shd w:val="clear" w:color="auto" w:fill="FFFFFF"/>
          <w:lang w:val="en-GB"/>
        </w:rPr>
        <w:t xml:space="preserve"> quarter</w:t>
      </w:r>
      <w:r w:rsidR="00273032">
        <w:rPr>
          <w:shd w:val="clear" w:color="auto" w:fill="FFFFFF"/>
          <w:lang w:val="en-GB"/>
        </w:rPr>
        <w:t>)</w:t>
      </w:r>
      <w:r w:rsidR="00AE5B4E" w:rsidRPr="002E3797">
        <w:rPr>
          <w:shd w:val="clear" w:color="auto" w:fill="FFFFFF"/>
          <w:lang w:val="en-GB"/>
        </w:rPr>
        <w:t>.</w:t>
      </w:r>
    </w:p>
    <w:p w14:paraId="13105335" w14:textId="5411BD6B" w:rsidR="00840304" w:rsidRDefault="00BD5E02" w:rsidP="00DC28C6">
      <w:pPr>
        <w:spacing w:before="360" w:after="360" w:line="240" w:lineRule="auto"/>
        <w:rPr>
          <w:spacing w:val="-2"/>
          <w:szCs w:val="19"/>
          <w:shd w:val="clear" w:color="auto" w:fill="FFFFFF"/>
          <w:lang w:val="en-GB"/>
        </w:rPr>
      </w:pPr>
      <w:r w:rsidRPr="003B49C8">
        <w:rPr>
          <w:b/>
          <w:noProof/>
          <w:spacing w:val="-2"/>
          <w:lang w:eastAsia="pl-PL"/>
        </w:rPr>
        <mc:AlternateContent>
          <mc:Choice Requires="wps">
            <w:drawing>
              <wp:anchor distT="45720" distB="45720" distL="114300" distR="114300" simplePos="0" relativeHeight="251851776" behindDoc="1" locked="0" layoutInCell="1" allowOverlap="1" wp14:anchorId="13A040DB" wp14:editId="1FA40753">
                <wp:simplePos x="0" y="0"/>
                <wp:positionH relativeFrom="column">
                  <wp:posOffset>5212080</wp:posOffset>
                </wp:positionH>
                <wp:positionV relativeFrom="paragraph">
                  <wp:posOffset>1068705</wp:posOffset>
                </wp:positionV>
                <wp:extent cx="1725295" cy="1414780"/>
                <wp:effectExtent l="0" t="0" r="0" b="0"/>
                <wp:wrapTight wrapText="bothSides">
                  <wp:wrapPolygon edited="0">
                    <wp:start x="715" y="0"/>
                    <wp:lineTo x="715" y="21232"/>
                    <wp:lineTo x="20749" y="21232"/>
                    <wp:lineTo x="20749" y="0"/>
                    <wp:lineTo x="715" y="0"/>
                  </wp:wrapPolygon>
                </wp:wrapTight>
                <wp:docPr id="32"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14780"/>
                        </a:xfrm>
                        <a:prstGeom prst="rect">
                          <a:avLst/>
                        </a:prstGeom>
                        <a:noFill/>
                        <a:ln w="9525">
                          <a:noFill/>
                          <a:miter lim="800000"/>
                          <a:headEnd/>
                          <a:tailEnd/>
                        </a:ln>
                      </wps:spPr>
                      <wps:txbx>
                        <w:txbxContent>
                          <w:p w14:paraId="3DA9AD52" w14:textId="5308638A" w:rsidR="00882B10" w:rsidRPr="00AE5B4E" w:rsidRDefault="00882B10" w:rsidP="00AE5B4E">
                            <w:pPr>
                              <w:pStyle w:val="tekstzboku"/>
                              <w:rPr>
                                <w:bCs w:val="0"/>
                                <w:lang w:val="en-GB"/>
                              </w:rPr>
                            </w:pPr>
                            <w:r w:rsidRPr="00AE5B4E">
                              <w:rPr>
                                <w:lang w:val="en-GB"/>
                              </w:rPr>
                              <w:t>In the following quarters of 202</w:t>
                            </w:r>
                            <w:r w:rsidR="008F5346">
                              <w:rPr>
                                <w:lang w:val="en-GB"/>
                              </w:rPr>
                              <w:t>4</w:t>
                            </w:r>
                            <w:r w:rsidRPr="00AE5B4E">
                              <w:rPr>
                                <w:lang w:val="en-GB"/>
                              </w:rPr>
                              <w:t xml:space="preserve">, </w:t>
                            </w:r>
                            <w:r>
                              <w:rPr>
                                <w:lang w:val="en-GB"/>
                              </w:rPr>
                              <w:t>among the</w:t>
                            </w:r>
                            <w:r w:rsidRPr="00AE5B4E">
                              <w:rPr>
                                <w:lang w:val="en-GB"/>
                              </w:rPr>
                              <w:t xml:space="preserve"> households </w:t>
                            </w:r>
                            <w:r>
                              <w:rPr>
                                <w:lang w:val="en-GB"/>
                              </w:rPr>
                              <w:t xml:space="preserve">of </w:t>
                            </w:r>
                            <w:r w:rsidRPr="00AE5B4E">
                              <w:rPr>
                                <w:lang w:val="en-GB"/>
                              </w:rPr>
                              <w:t xml:space="preserve">self-employed </w:t>
                            </w:r>
                            <w:r>
                              <w:rPr>
                                <w:lang w:val="en-GB"/>
                              </w:rPr>
                              <w:t xml:space="preserve">was recorded </w:t>
                            </w:r>
                            <w:r w:rsidRPr="00AE5B4E">
                              <w:rPr>
                                <w:lang w:val="en-GB"/>
                              </w:rPr>
                              <w:t xml:space="preserve">the highest percentage </w:t>
                            </w:r>
                            <w:r>
                              <w:rPr>
                                <w:lang w:val="en-GB"/>
                              </w:rPr>
                              <w:t xml:space="preserve">of those </w:t>
                            </w:r>
                            <w:r w:rsidRPr="00AE5B4E">
                              <w:rPr>
                                <w:lang w:val="en-GB"/>
                              </w:rPr>
                              <w:t>providing support to residents of Ukraine (in Poland and Ukraine)</w:t>
                            </w:r>
                            <w:r w:rsidRPr="00273032">
                              <w:rPr>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040DB" id="Pole tekstowe 32" o:spid="_x0000_s1044" type="#_x0000_t202" style="position:absolute;margin-left:410.4pt;margin-top:84.15pt;width:135.85pt;height:111.4pt;z-index:-25146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" filled="f" stroked="f">
                <v:textbox>
                  <w:txbxContent>
                    <w:p w14:paraId="3DA9AD52" w14:textId="5308638A" w:rsidR="00882B10" w:rsidRPr="00AE5B4E" w:rsidRDefault="00882B10" w:rsidP="00AE5B4E">
                      <w:pPr>
                        <w:pStyle w:val="tekstzboku"/>
                        <w:rPr>
                          <w:bCs w:val="0"/>
                          <w:lang w:val="en-GB"/>
                        </w:rPr>
                      </w:pPr>
                      <w:r w:rsidRPr="00AE5B4E">
                        <w:rPr>
                          <w:lang w:val="en-GB"/>
                        </w:rPr>
                        <w:t>In the following quarters of 202</w:t>
                      </w:r>
                      <w:r w:rsidR="008F5346">
                        <w:rPr>
                          <w:lang w:val="en-GB"/>
                        </w:rPr>
                        <w:t>4</w:t>
                      </w:r>
                      <w:r w:rsidRPr="00AE5B4E">
                        <w:rPr>
                          <w:lang w:val="en-GB"/>
                        </w:rPr>
                        <w:t xml:space="preserve">, </w:t>
                      </w:r>
                      <w:r>
                        <w:rPr>
                          <w:lang w:val="en-GB"/>
                        </w:rPr>
                        <w:t>among the</w:t>
                      </w:r>
                      <w:r w:rsidRPr="00AE5B4E">
                        <w:rPr>
                          <w:lang w:val="en-GB"/>
                        </w:rPr>
                        <w:t xml:space="preserve"> households </w:t>
                      </w:r>
                      <w:r>
                        <w:rPr>
                          <w:lang w:val="en-GB"/>
                        </w:rPr>
                        <w:t xml:space="preserve">of </w:t>
                      </w:r>
                      <w:r w:rsidRPr="00AE5B4E">
                        <w:rPr>
                          <w:lang w:val="en-GB"/>
                        </w:rPr>
                        <w:t xml:space="preserve">self-employed </w:t>
                      </w:r>
                      <w:r>
                        <w:rPr>
                          <w:lang w:val="en-GB"/>
                        </w:rPr>
                        <w:t xml:space="preserve">was recorded </w:t>
                      </w:r>
                      <w:r w:rsidRPr="00AE5B4E">
                        <w:rPr>
                          <w:lang w:val="en-GB"/>
                        </w:rPr>
                        <w:t xml:space="preserve">the highest percentage </w:t>
                      </w:r>
                      <w:r>
                        <w:rPr>
                          <w:lang w:val="en-GB"/>
                        </w:rPr>
                        <w:t xml:space="preserve">of those </w:t>
                      </w:r>
                      <w:r w:rsidRPr="00AE5B4E">
                        <w:rPr>
                          <w:lang w:val="en-GB"/>
                        </w:rPr>
                        <w:t>providing support to residents of Ukraine (in Poland and Ukraine)</w:t>
                      </w:r>
                      <w:r w:rsidRPr="00273032">
                        <w:rPr>
                          <w:lang w:val="en-GB"/>
                        </w:rPr>
                        <w:t xml:space="preserve"> </w:t>
                      </w:r>
                    </w:p>
                  </w:txbxContent>
                </v:textbox>
                <w10:wrap type="tight"/>
              </v:shape>
            </w:pict>
          </mc:Fallback>
        </mc:AlternateContent>
      </w:r>
      <w:r w:rsidR="008F5346">
        <w:rPr>
          <w:noProof/>
          <w:lang w:eastAsia="pl-PL"/>
        </w:rPr>
        <w:drawing>
          <wp:inline distT="0" distB="0" distL="0" distR="0" wp14:anchorId="479CA077" wp14:editId="68EAA06E">
            <wp:extent cx="5122545" cy="2735580"/>
            <wp:effectExtent l="0" t="0" r="1905" b="7620"/>
            <wp:docPr id="37" name="Wykres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1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D5A33C" w14:textId="36AEFC4B" w:rsidR="00273032" w:rsidRDefault="00F97368" w:rsidP="0031787F">
      <w:pPr>
        <w:rPr>
          <w:spacing w:val="-2"/>
          <w:szCs w:val="19"/>
          <w:shd w:val="clear" w:color="auto" w:fill="FFFFFF"/>
          <w:lang w:val="en-GB"/>
        </w:rPr>
      </w:pPr>
      <w:r>
        <w:rPr>
          <w:spacing w:val="-2"/>
          <w:szCs w:val="19"/>
          <w:shd w:val="clear" w:color="auto" w:fill="FFFFFF"/>
          <w:lang w:val="en-GB"/>
        </w:rPr>
        <w:t>In the following quarters of 202</w:t>
      </w:r>
      <w:r w:rsidR="008F5346">
        <w:rPr>
          <w:spacing w:val="-2"/>
          <w:szCs w:val="19"/>
          <w:shd w:val="clear" w:color="auto" w:fill="FFFFFF"/>
          <w:lang w:val="en-GB"/>
        </w:rPr>
        <w:t>4</w:t>
      </w:r>
      <w:r>
        <w:rPr>
          <w:spacing w:val="-2"/>
          <w:szCs w:val="19"/>
          <w:shd w:val="clear" w:color="auto" w:fill="FFFFFF"/>
          <w:lang w:val="en-GB"/>
        </w:rPr>
        <w:t>, households from 5th quintile group (</w:t>
      </w:r>
      <w:r w:rsidRPr="00F97368">
        <w:rPr>
          <w:spacing w:val="-2"/>
          <w:szCs w:val="19"/>
          <w:shd w:val="clear" w:color="auto" w:fill="FFFFFF"/>
          <w:lang w:val="en-GB"/>
        </w:rPr>
        <w:t xml:space="preserve">covering 20% of the wealthiest persons) were </w:t>
      </w:r>
      <w:r>
        <w:rPr>
          <w:spacing w:val="-2"/>
          <w:szCs w:val="19"/>
          <w:shd w:val="clear" w:color="auto" w:fill="FFFFFF"/>
          <w:lang w:val="en-GB"/>
        </w:rPr>
        <w:t xml:space="preserve">the most </w:t>
      </w:r>
      <w:r w:rsidRPr="00F97368">
        <w:rPr>
          <w:spacing w:val="-2"/>
          <w:szCs w:val="19"/>
          <w:shd w:val="clear" w:color="auto" w:fill="FFFFFF"/>
          <w:lang w:val="en-GB"/>
        </w:rPr>
        <w:t>engaged in the support to the inhabitants of Ukraine.</w:t>
      </w:r>
      <w:r>
        <w:rPr>
          <w:spacing w:val="-2"/>
          <w:szCs w:val="19"/>
          <w:shd w:val="clear" w:color="auto" w:fill="FFFFFF"/>
          <w:lang w:val="en-GB"/>
        </w:rPr>
        <w:t xml:space="preserve"> In this quintile group the percentage of helping households ranged from </w:t>
      </w:r>
      <w:r w:rsidR="008F5346">
        <w:rPr>
          <w:spacing w:val="-2"/>
          <w:szCs w:val="19"/>
          <w:shd w:val="clear" w:color="auto" w:fill="FFFFFF"/>
          <w:lang w:val="en-GB"/>
        </w:rPr>
        <w:t>11.5</w:t>
      </w:r>
      <w:r>
        <w:rPr>
          <w:spacing w:val="-2"/>
          <w:szCs w:val="19"/>
          <w:shd w:val="clear" w:color="auto" w:fill="FFFFFF"/>
          <w:lang w:val="en-GB"/>
        </w:rPr>
        <w:t xml:space="preserve">% in the </w:t>
      </w:r>
      <w:r w:rsidR="005734C2">
        <w:rPr>
          <w:spacing w:val="-2"/>
          <w:szCs w:val="19"/>
          <w:shd w:val="clear" w:color="auto" w:fill="FFFFFF"/>
          <w:lang w:val="en-GB"/>
        </w:rPr>
        <w:t>first</w:t>
      </w:r>
      <w:r>
        <w:rPr>
          <w:spacing w:val="-2"/>
          <w:szCs w:val="19"/>
          <w:shd w:val="clear" w:color="auto" w:fill="FFFFFF"/>
          <w:lang w:val="en-GB"/>
        </w:rPr>
        <w:t xml:space="preserve"> quarter </w:t>
      </w:r>
      <w:r w:rsidR="00D4488C">
        <w:rPr>
          <w:spacing w:val="-2"/>
          <w:szCs w:val="19"/>
          <w:shd w:val="clear" w:color="auto" w:fill="FFFFFF"/>
          <w:lang w:val="en-GB"/>
        </w:rPr>
        <w:t>(</w:t>
      </w:r>
      <w:r w:rsidR="00D4488C" w:rsidRPr="00D4488C">
        <w:rPr>
          <w:spacing w:val="-2"/>
          <w:szCs w:val="19"/>
          <w:shd w:val="clear" w:color="auto" w:fill="FFFFFF"/>
          <w:lang w:val="en-GB"/>
        </w:rPr>
        <w:t xml:space="preserve">in the same period of the previous year – </w:t>
      </w:r>
      <w:r w:rsidR="008F5346">
        <w:rPr>
          <w:spacing w:val="-2"/>
          <w:szCs w:val="19"/>
          <w:shd w:val="clear" w:color="auto" w:fill="FFFFFF"/>
          <w:lang w:val="en-GB"/>
        </w:rPr>
        <w:t>28.3</w:t>
      </w:r>
      <w:r w:rsidR="00D4488C" w:rsidRPr="00D4488C">
        <w:rPr>
          <w:spacing w:val="-2"/>
          <w:szCs w:val="19"/>
          <w:shd w:val="clear" w:color="auto" w:fill="FFFFFF"/>
          <w:lang w:val="en-GB"/>
        </w:rPr>
        <w:t>%</w:t>
      </w:r>
      <w:r w:rsidR="00D4488C">
        <w:rPr>
          <w:spacing w:val="-2"/>
          <w:szCs w:val="19"/>
          <w:shd w:val="clear" w:color="auto" w:fill="FFFFFF"/>
          <w:lang w:val="en-GB"/>
        </w:rPr>
        <w:t xml:space="preserve">) </w:t>
      </w:r>
      <w:r>
        <w:rPr>
          <w:spacing w:val="-2"/>
          <w:szCs w:val="19"/>
          <w:shd w:val="clear" w:color="auto" w:fill="FFFFFF"/>
          <w:lang w:val="en-GB"/>
        </w:rPr>
        <w:t xml:space="preserve">to </w:t>
      </w:r>
      <w:r w:rsidR="008F5346">
        <w:rPr>
          <w:spacing w:val="-2"/>
          <w:szCs w:val="19"/>
          <w:shd w:val="clear" w:color="auto" w:fill="FFFFFF"/>
          <w:lang w:val="en-GB"/>
        </w:rPr>
        <w:t>7.5</w:t>
      </w:r>
      <w:r>
        <w:rPr>
          <w:spacing w:val="-2"/>
          <w:szCs w:val="19"/>
          <w:shd w:val="clear" w:color="auto" w:fill="FFFFFF"/>
          <w:lang w:val="en-GB"/>
        </w:rPr>
        <w:t xml:space="preserve">% in the </w:t>
      </w:r>
      <w:r w:rsidR="005734C2">
        <w:rPr>
          <w:spacing w:val="-2"/>
          <w:szCs w:val="19"/>
          <w:shd w:val="clear" w:color="auto" w:fill="FFFFFF"/>
          <w:lang w:val="en-GB"/>
        </w:rPr>
        <w:t>fourth</w:t>
      </w:r>
      <w:r>
        <w:rPr>
          <w:spacing w:val="-2"/>
          <w:szCs w:val="19"/>
          <w:shd w:val="clear" w:color="auto" w:fill="FFFFFF"/>
          <w:lang w:val="en-GB"/>
        </w:rPr>
        <w:t xml:space="preserve"> quarter</w:t>
      </w:r>
      <w:r w:rsidR="00D4488C">
        <w:rPr>
          <w:spacing w:val="-2"/>
          <w:szCs w:val="19"/>
          <w:shd w:val="clear" w:color="auto" w:fill="FFFFFF"/>
          <w:lang w:val="en-GB"/>
        </w:rPr>
        <w:t xml:space="preserve"> (</w:t>
      </w:r>
      <w:r w:rsidR="00D4488C" w:rsidRPr="00D4488C">
        <w:rPr>
          <w:spacing w:val="-2"/>
          <w:szCs w:val="19"/>
          <w:shd w:val="clear" w:color="auto" w:fill="FFFFFF"/>
          <w:lang w:val="en-GB"/>
        </w:rPr>
        <w:t xml:space="preserve">in the same period of the previous year – </w:t>
      </w:r>
      <w:r w:rsidR="008F5346">
        <w:rPr>
          <w:spacing w:val="-2"/>
          <w:szCs w:val="19"/>
          <w:shd w:val="clear" w:color="auto" w:fill="FFFFFF"/>
          <w:lang w:val="en-GB"/>
        </w:rPr>
        <w:t>12.3</w:t>
      </w:r>
      <w:r w:rsidR="00D4488C" w:rsidRPr="00D4488C">
        <w:rPr>
          <w:spacing w:val="-2"/>
          <w:szCs w:val="19"/>
          <w:shd w:val="clear" w:color="auto" w:fill="FFFFFF"/>
          <w:lang w:val="en-GB"/>
        </w:rPr>
        <w:t>%</w:t>
      </w:r>
      <w:r w:rsidR="00D4488C">
        <w:rPr>
          <w:spacing w:val="-2"/>
          <w:szCs w:val="19"/>
          <w:shd w:val="clear" w:color="auto" w:fill="FFFFFF"/>
          <w:lang w:val="en-GB"/>
        </w:rPr>
        <w:t>)</w:t>
      </w:r>
      <w:r>
        <w:rPr>
          <w:spacing w:val="-2"/>
          <w:szCs w:val="19"/>
          <w:shd w:val="clear" w:color="auto" w:fill="FFFFFF"/>
          <w:lang w:val="en-GB"/>
        </w:rPr>
        <w:t>.</w:t>
      </w:r>
    </w:p>
    <w:p w14:paraId="7BA2747B" w14:textId="6F4FD81B" w:rsidR="00F97368" w:rsidRDefault="004420A9" w:rsidP="00DC28C6">
      <w:pPr>
        <w:spacing w:before="360" w:after="360" w:line="240" w:lineRule="auto"/>
        <w:rPr>
          <w:spacing w:val="-2"/>
          <w:szCs w:val="19"/>
          <w:shd w:val="clear" w:color="auto" w:fill="FFFFFF"/>
          <w:lang w:val="en-GB"/>
        </w:rPr>
      </w:pPr>
      <w:r>
        <w:rPr>
          <w:noProof/>
          <w:lang w:eastAsia="pl-PL"/>
        </w:rPr>
        <w:drawing>
          <wp:inline distT="0" distB="0" distL="0" distR="0" wp14:anchorId="65226CA2" wp14:editId="06DF5679">
            <wp:extent cx="5122545" cy="2699385"/>
            <wp:effectExtent l="0" t="0" r="1905" b="5715"/>
            <wp:docPr id="38" name="Wykres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1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4EC7703" w14:textId="4DC55499" w:rsidR="00F97368" w:rsidRDefault="00F97368" w:rsidP="0031787F">
      <w:pPr>
        <w:rPr>
          <w:spacing w:val="-2"/>
          <w:szCs w:val="19"/>
          <w:shd w:val="clear" w:color="auto" w:fill="FFFFFF"/>
          <w:lang w:val="en-GB"/>
        </w:rPr>
      </w:pPr>
      <w:r w:rsidRPr="00F97368">
        <w:rPr>
          <w:spacing w:val="-2"/>
          <w:szCs w:val="19"/>
          <w:shd w:val="clear" w:color="auto" w:fill="FFFFFF"/>
          <w:lang w:val="en-GB"/>
        </w:rPr>
        <w:t xml:space="preserve">Households declaring support to the inhabitants of Ukraine were numerous in all the classes of locality. </w:t>
      </w:r>
      <w:r>
        <w:rPr>
          <w:spacing w:val="-2"/>
          <w:szCs w:val="19"/>
          <w:shd w:val="clear" w:color="auto" w:fill="FFFFFF"/>
          <w:lang w:val="en-GB"/>
        </w:rPr>
        <w:t>In all quarters t</w:t>
      </w:r>
      <w:r w:rsidRPr="00F97368">
        <w:rPr>
          <w:spacing w:val="-2"/>
          <w:szCs w:val="19"/>
          <w:shd w:val="clear" w:color="auto" w:fill="FFFFFF"/>
          <w:lang w:val="en-GB"/>
        </w:rPr>
        <w:t xml:space="preserve">he highest percentage of households that provided assistance was in the cities with 500 thousand or more residents – </w:t>
      </w:r>
      <w:r w:rsidR="005734C2">
        <w:rPr>
          <w:spacing w:val="-2"/>
          <w:szCs w:val="19"/>
          <w:shd w:val="clear" w:color="auto" w:fill="FFFFFF"/>
          <w:lang w:val="en-GB"/>
        </w:rPr>
        <w:t xml:space="preserve">from </w:t>
      </w:r>
      <w:r w:rsidR="004420A9">
        <w:rPr>
          <w:spacing w:val="-2"/>
          <w:szCs w:val="19"/>
          <w:shd w:val="clear" w:color="auto" w:fill="FFFFFF"/>
          <w:lang w:val="en-GB"/>
        </w:rPr>
        <w:t>13.9</w:t>
      </w:r>
      <w:r w:rsidRPr="00F97368">
        <w:rPr>
          <w:spacing w:val="-2"/>
          <w:szCs w:val="19"/>
          <w:shd w:val="clear" w:color="auto" w:fill="FFFFFF"/>
          <w:lang w:val="en-GB"/>
        </w:rPr>
        <w:t xml:space="preserve">% in the first quarter </w:t>
      </w:r>
      <w:r w:rsidR="00D4488C">
        <w:rPr>
          <w:spacing w:val="-2"/>
          <w:szCs w:val="19"/>
          <w:shd w:val="clear" w:color="auto" w:fill="FFFFFF"/>
          <w:lang w:val="en-GB"/>
        </w:rPr>
        <w:t>(</w:t>
      </w:r>
      <w:r w:rsidR="00D4488C" w:rsidRPr="00D4488C">
        <w:rPr>
          <w:spacing w:val="-2"/>
          <w:szCs w:val="19"/>
          <w:shd w:val="clear" w:color="auto" w:fill="FFFFFF"/>
          <w:lang w:val="en-GB"/>
        </w:rPr>
        <w:t xml:space="preserve">in the same period of the previous year – </w:t>
      </w:r>
      <w:r w:rsidR="004420A9">
        <w:rPr>
          <w:spacing w:val="-2"/>
          <w:szCs w:val="19"/>
          <w:shd w:val="clear" w:color="auto" w:fill="FFFFFF"/>
          <w:lang w:val="en-GB"/>
        </w:rPr>
        <w:t>31.7</w:t>
      </w:r>
      <w:r w:rsidR="00D4488C" w:rsidRPr="00D4488C">
        <w:rPr>
          <w:spacing w:val="-2"/>
          <w:szCs w:val="19"/>
          <w:shd w:val="clear" w:color="auto" w:fill="FFFFFF"/>
          <w:lang w:val="en-GB"/>
        </w:rPr>
        <w:t>%</w:t>
      </w:r>
      <w:r w:rsidR="00D4488C">
        <w:rPr>
          <w:spacing w:val="-2"/>
          <w:szCs w:val="19"/>
          <w:shd w:val="clear" w:color="auto" w:fill="FFFFFF"/>
          <w:lang w:val="en-GB"/>
        </w:rPr>
        <w:t xml:space="preserve">) </w:t>
      </w:r>
      <w:r w:rsidR="005734C2">
        <w:rPr>
          <w:spacing w:val="-2"/>
          <w:szCs w:val="19"/>
          <w:shd w:val="clear" w:color="auto" w:fill="FFFFFF"/>
          <w:lang w:val="en-GB"/>
        </w:rPr>
        <w:t>to</w:t>
      </w:r>
      <w:r w:rsidRPr="00F97368">
        <w:rPr>
          <w:spacing w:val="-2"/>
          <w:szCs w:val="19"/>
          <w:shd w:val="clear" w:color="auto" w:fill="FFFFFF"/>
          <w:lang w:val="en-GB"/>
        </w:rPr>
        <w:t xml:space="preserve"> </w:t>
      </w:r>
      <w:r w:rsidR="004420A9">
        <w:rPr>
          <w:spacing w:val="-2"/>
          <w:szCs w:val="19"/>
          <w:shd w:val="clear" w:color="auto" w:fill="FFFFFF"/>
          <w:lang w:val="en-GB"/>
        </w:rPr>
        <w:t>8.4</w:t>
      </w:r>
      <w:r w:rsidRPr="00F97368">
        <w:rPr>
          <w:spacing w:val="-2"/>
          <w:szCs w:val="19"/>
          <w:shd w:val="clear" w:color="auto" w:fill="FFFFFF"/>
          <w:lang w:val="en-GB"/>
        </w:rPr>
        <w:t xml:space="preserve">% in the </w:t>
      </w:r>
      <w:r w:rsidR="005734C2">
        <w:rPr>
          <w:spacing w:val="-2"/>
          <w:szCs w:val="19"/>
          <w:shd w:val="clear" w:color="auto" w:fill="FFFFFF"/>
          <w:lang w:val="en-GB"/>
        </w:rPr>
        <w:t>fourth</w:t>
      </w:r>
      <w:r w:rsidRPr="00F97368">
        <w:rPr>
          <w:spacing w:val="-2"/>
          <w:szCs w:val="19"/>
          <w:shd w:val="clear" w:color="auto" w:fill="FFFFFF"/>
          <w:lang w:val="en-GB"/>
        </w:rPr>
        <w:t xml:space="preserve"> quarter</w:t>
      </w:r>
      <w:r w:rsidR="00D4488C">
        <w:rPr>
          <w:spacing w:val="-2"/>
          <w:szCs w:val="19"/>
          <w:shd w:val="clear" w:color="auto" w:fill="FFFFFF"/>
          <w:lang w:val="en-GB"/>
        </w:rPr>
        <w:t xml:space="preserve"> (</w:t>
      </w:r>
      <w:r w:rsidR="00D4488C" w:rsidRPr="00D4488C">
        <w:rPr>
          <w:spacing w:val="-2"/>
          <w:szCs w:val="19"/>
          <w:shd w:val="clear" w:color="auto" w:fill="FFFFFF"/>
          <w:lang w:val="en-GB"/>
        </w:rPr>
        <w:t xml:space="preserve">in the same period of the previous year – </w:t>
      </w:r>
      <w:r w:rsidR="004420A9">
        <w:rPr>
          <w:spacing w:val="-2"/>
          <w:szCs w:val="19"/>
          <w:shd w:val="clear" w:color="auto" w:fill="FFFFFF"/>
          <w:lang w:val="en-GB"/>
        </w:rPr>
        <w:t>19.0</w:t>
      </w:r>
      <w:r w:rsidR="00D4488C" w:rsidRPr="00D4488C">
        <w:rPr>
          <w:spacing w:val="-2"/>
          <w:szCs w:val="19"/>
          <w:shd w:val="clear" w:color="auto" w:fill="FFFFFF"/>
          <w:lang w:val="en-GB"/>
        </w:rPr>
        <w:t>%</w:t>
      </w:r>
      <w:r w:rsidR="00D4488C">
        <w:rPr>
          <w:spacing w:val="-2"/>
          <w:szCs w:val="19"/>
          <w:shd w:val="clear" w:color="auto" w:fill="FFFFFF"/>
          <w:lang w:val="en-GB"/>
        </w:rPr>
        <w:t>)</w:t>
      </w:r>
      <w:r w:rsidRPr="00F97368">
        <w:rPr>
          <w:spacing w:val="-2"/>
          <w:szCs w:val="19"/>
          <w:shd w:val="clear" w:color="auto" w:fill="FFFFFF"/>
          <w:lang w:val="en-GB"/>
        </w:rPr>
        <w:t>.</w:t>
      </w:r>
    </w:p>
    <w:p w14:paraId="5FF339C3" w14:textId="75B00C4E" w:rsidR="005734C2" w:rsidRDefault="006D670B" w:rsidP="00DC28C6">
      <w:pPr>
        <w:spacing w:before="360" w:after="360" w:line="240" w:lineRule="auto"/>
        <w:rPr>
          <w:spacing w:val="-2"/>
          <w:szCs w:val="19"/>
          <w:shd w:val="clear" w:color="auto" w:fill="FFFFFF"/>
          <w:lang w:val="en-GB"/>
        </w:rPr>
      </w:pPr>
      <w:r>
        <w:rPr>
          <w:i/>
          <w:noProof/>
          <w:lang w:eastAsia="pl-PL"/>
        </w:rPr>
        <w:lastRenderedPageBreak/>
        <mc:AlternateContent>
          <mc:Choice Requires="wps">
            <w:drawing>
              <wp:anchor distT="45720" distB="45720" distL="114300" distR="114300" simplePos="0" relativeHeight="251853824" behindDoc="1" locked="0" layoutInCell="1" allowOverlap="1" wp14:anchorId="6D293197" wp14:editId="65A41DBC">
                <wp:simplePos x="0" y="0"/>
                <wp:positionH relativeFrom="column">
                  <wp:posOffset>5213985</wp:posOffset>
                </wp:positionH>
                <wp:positionV relativeFrom="paragraph">
                  <wp:posOffset>869315</wp:posOffset>
                </wp:positionV>
                <wp:extent cx="1725295" cy="1304925"/>
                <wp:effectExtent l="0" t="0" r="0" b="0"/>
                <wp:wrapTight wrapText="bothSides">
                  <wp:wrapPolygon edited="0">
                    <wp:start x="715" y="0"/>
                    <wp:lineTo x="715" y="21127"/>
                    <wp:lineTo x="20749" y="21127"/>
                    <wp:lineTo x="20749" y="0"/>
                    <wp:lineTo x="715" y="0"/>
                  </wp:wrapPolygon>
                </wp:wrapTight>
                <wp:docPr id="36" name="Pole tekstow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04925"/>
                        </a:xfrm>
                        <a:prstGeom prst="rect">
                          <a:avLst/>
                        </a:prstGeom>
                        <a:noFill/>
                        <a:ln w="9525">
                          <a:noFill/>
                          <a:miter lim="800000"/>
                          <a:headEnd/>
                          <a:tailEnd/>
                        </a:ln>
                      </wps:spPr>
                      <wps:txbx>
                        <w:txbxContent>
                          <w:p w14:paraId="7781D07E" w14:textId="46C08845" w:rsidR="00882B10" w:rsidRPr="005734C2" w:rsidRDefault="00882B10" w:rsidP="005734C2">
                            <w:pPr>
                              <w:pStyle w:val="tekstzboku"/>
                              <w:rPr>
                                <w:bCs w:val="0"/>
                                <w:lang w:val="en-GB"/>
                              </w:rPr>
                            </w:pPr>
                            <w:r w:rsidRPr="005734C2">
                              <w:rPr>
                                <w:lang w:val="en-GB"/>
                              </w:rPr>
                              <w:t>In all quarters of 202</w:t>
                            </w:r>
                            <w:r w:rsidR="004420A9">
                              <w:rPr>
                                <w:lang w:val="en-GB"/>
                              </w:rPr>
                              <w:t>4</w:t>
                            </w:r>
                            <w:r w:rsidRPr="005734C2">
                              <w:rPr>
                                <w:lang w:val="en-GB"/>
                              </w:rPr>
                              <w:t>, the highest percentage of households helping residents of Ukraine was in</w:t>
                            </w:r>
                            <w:r>
                              <w:rPr>
                                <w:lang w:val="en-GB"/>
                              </w:rPr>
                              <w:t xml:space="preserve"> the</w:t>
                            </w:r>
                            <w:r w:rsidRPr="005734C2">
                              <w:rPr>
                                <w:lang w:val="en-GB"/>
                              </w:rPr>
                              <w:t xml:space="preserve"> cities with 50</w:t>
                            </w:r>
                            <w:r>
                              <w:rPr>
                                <w:lang w:val="en-GB"/>
                              </w:rPr>
                              <w:t>0 thousand</w:t>
                            </w:r>
                            <w:r w:rsidRPr="005734C2">
                              <w:rPr>
                                <w:lang w:val="en-GB"/>
                              </w:rPr>
                              <w:t xml:space="preserve"> or more </w:t>
                            </w:r>
                            <w:r>
                              <w:rPr>
                                <w:lang w:val="en-GB"/>
                              </w:rPr>
                              <w:t>residents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93197" id="Pole tekstowe 36" o:spid="_x0000_s1045" type="#_x0000_t202" style="position:absolute;margin-left:410.55pt;margin-top:68.45pt;width:135.85pt;height:102.75pt;z-index:-25146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" filled="f" stroked="f">
                <v:textbox>
                  <w:txbxContent>
                    <w:p w14:paraId="7781D07E" w14:textId="46C08845" w:rsidR="00882B10" w:rsidRPr="005734C2" w:rsidRDefault="00882B10" w:rsidP="005734C2">
                      <w:pPr>
                        <w:pStyle w:val="tekstzboku"/>
                        <w:rPr>
                          <w:bCs w:val="0"/>
                          <w:lang w:val="en-GB"/>
                        </w:rPr>
                      </w:pPr>
                      <w:r w:rsidRPr="005734C2">
                        <w:rPr>
                          <w:lang w:val="en-GB"/>
                        </w:rPr>
                        <w:t>In all quarters of 202</w:t>
                      </w:r>
                      <w:r w:rsidR="004420A9">
                        <w:rPr>
                          <w:lang w:val="en-GB"/>
                        </w:rPr>
                        <w:t>4</w:t>
                      </w:r>
                      <w:r w:rsidRPr="005734C2">
                        <w:rPr>
                          <w:lang w:val="en-GB"/>
                        </w:rPr>
                        <w:t>, the highest percentage of households helping residents of Ukraine was in</w:t>
                      </w:r>
                      <w:r>
                        <w:rPr>
                          <w:lang w:val="en-GB"/>
                        </w:rPr>
                        <w:t xml:space="preserve"> the</w:t>
                      </w:r>
                      <w:r w:rsidRPr="005734C2">
                        <w:rPr>
                          <w:lang w:val="en-GB"/>
                        </w:rPr>
                        <w:t xml:space="preserve"> cities with 50</w:t>
                      </w:r>
                      <w:r>
                        <w:rPr>
                          <w:lang w:val="en-GB"/>
                        </w:rPr>
                        <w:t>0 thousand</w:t>
                      </w:r>
                      <w:r w:rsidRPr="005734C2">
                        <w:rPr>
                          <w:lang w:val="en-GB"/>
                        </w:rPr>
                        <w:t xml:space="preserve"> or more </w:t>
                      </w:r>
                      <w:r>
                        <w:rPr>
                          <w:lang w:val="en-GB"/>
                        </w:rPr>
                        <w:t>residents</w:t>
                      </w:r>
                    </w:p>
                  </w:txbxContent>
                </v:textbox>
                <w10:wrap type="tight"/>
              </v:shape>
            </w:pict>
          </mc:Fallback>
        </mc:AlternateContent>
      </w:r>
      <w:r w:rsidR="004420A9">
        <w:rPr>
          <w:noProof/>
          <w:lang w:eastAsia="pl-PL"/>
        </w:rPr>
        <w:drawing>
          <wp:inline distT="0" distB="0" distL="0" distR="0" wp14:anchorId="14C6E19F" wp14:editId="1E41DD4A">
            <wp:extent cx="5122545" cy="2880000"/>
            <wp:effectExtent l="0" t="0" r="1905" b="0"/>
            <wp:docPr id="39" name="Wykres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1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2687DC9" w14:textId="77777777" w:rsidR="002B0436" w:rsidRDefault="005734C2" w:rsidP="002B0436">
      <w:pPr>
        <w:rPr>
          <w:spacing w:val="-2"/>
          <w:szCs w:val="19"/>
          <w:shd w:val="clear" w:color="auto" w:fill="FFFFFF"/>
          <w:lang w:val="en-GB"/>
        </w:rPr>
      </w:pPr>
      <w:r>
        <w:rPr>
          <w:spacing w:val="-2"/>
          <w:szCs w:val="19"/>
          <w:shd w:val="clear" w:color="auto" w:fill="FFFFFF"/>
          <w:lang w:val="en-GB"/>
        </w:rPr>
        <w:t>It is worth of emphasizing, that in 202</w:t>
      </w:r>
      <w:r w:rsidR="004420A9">
        <w:rPr>
          <w:spacing w:val="-2"/>
          <w:szCs w:val="19"/>
          <w:shd w:val="clear" w:color="auto" w:fill="FFFFFF"/>
          <w:lang w:val="en-GB"/>
        </w:rPr>
        <w:t>4</w:t>
      </w:r>
      <w:r>
        <w:rPr>
          <w:spacing w:val="-2"/>
          <w:szCs w:val="19"/>
          <w:shd w:val="clear" w:color="auto" w:fill="FFFFFF"/>
          <w:lang w:val="en-GB"/>
        </w:rPr>
        <w:t xml:space="preserve"> </w:t>
      </w:r>
      <w:r w:rsidR="00D4488C">
        <w:rPr>
          <w:spacing w:val="-2"/>
          <w:szCs w:val="19"/>
          <w:shd w:val="clear" w:color="auto" w:fill="FFFFFF"/>
          <w:lang w:val="en-GB"/>
        </w:rPr>
        <w:t xml:space="preserve">support granted to the inhabitants of Ukraine escaping from war to Poland or staying on the territory of covered by war Ukraine, </w:t>
      </w:r>
      <w:r w:rsidR="006D670B">
        <w:rPr>
          <w:spacing w:val="-2"/>
          <w:szCs w:val="19"/>
          <w:shd w:val="clear" w:color="auto" w:fill="FFFFFF"/>
          <w:lang w:val="en-GB"/>
        </w:rPr>
        <w:t xml:space="preserve">was continued </w:t>
      </w:r>
      <w:r w:rsidR="00D4488C">
        <w:rPr>
          <w:spacing w:val="-2"/>
          <w:szCs w:val="19"/>
          <w:shd w:val="clear" w:color="auto" w:fill="FFFFFF"/>
          <w:lang w:val="en-GB"/>
        </w:rPr>
        <w:t>d</w:t>
      </w:r>
      <w:r w:rsidR="008562A0">
        <w:rPr>
          <w:spacing w:val="-2"/>
          <w:szCs w:val="19"/>
          <w:shd w:val="clear" w:color="auto" w:fill="FFFFFF"/>
          <w:lang w:val="en-GB"/>
        </w:rPr>
        <w:t>espite the decline in the intensity of this assis</w:t>
      </w:r>
      <w:r w:rsidR="002B0436">
        <w:rPr>
          <w:spacing w:val="-2"/>
          <w:szCs w:val="19"/>
          <w:shd w:val="clear" w:color="auto" w:fill="FFFFFF"/>
          <w:lang w:val="en-GB"/>
        </w:rPr>
        <w:t>tance in the following quarters</w:t>
      </w:r>
      <w:r w:rsidR="008562A0">
        <w:rPr>
          <w:spacing w:val="-2"/>
          <w:szCs w:val="19"/>
          <w:shd w:val="clear" w:color="auto" w:fill="FFFFFF"/>
          <w:lang w:val="en-GB"/>
        </w:rPr>
        <w:t>.</w:t>
      </w:r>
    </w:p>
    <w:p w14:paraId="191D61F1" w14:textId="77777777" w:rsidR="002B0436" w:rsidRDefault="002B0436" w:rsidP="002B0436">
      <w:pPr>
        <w:rPr>
          <w:spacing w:val="-2"/>
          <w:szCs w:val="19"/>
          <w:shd w:val="clear" w:color="auto" w:fill="FFFFFF"/>
          <w:lang w:val="en-GB"/>
        </w:rPr>
      </w:pPr>
    </w:p>
    <w:p w14:paraId="627D2F24" w14:textId="6590BEC2" w:rsidR="002B0436" w:rsidRDefault="0031787F" w:rsidP="002B0436">
      <w:pPr>
        <w:rPr>
          <w:spacing w:val="-2"/>
          <w:szCs w:val="19"/>
          <w:shd w:val="clear" w:color="auto" w:fill="FFFFFF"/>
          <w:lang w:val="en-GB"/>
        </w:rPr>
      </w:pPr>
      <w:r w:rsidRPr="0031787F">
        <w:rPr>
          <w:spacing w:val="-2"/>
          <w:szCs w:val="19"/>
          <w:shd w:val="clear" w:color="auto" w:fill="FFFFFF"/>
          <w:lang w:val="en-GB"/>
        </w:rPr>
        <w:t>In case of quoting Statistics Poland data, please provide informati</w:t>
      </w:r>
      <w:r>
        <w:rPr>
          <w:spacing w:val="-2"/>
          <w:szCs w:val="19"/>
          <w:shd w:val="clear" w:color="auto" w:fill="FFFFFF"/>
          <w:lang w:val="en-GB"/>
        </w:rPr>
        <w:t xml:space="preserve">on: “Source of data: Statistics </w:t>
      </w:r>
      <w:r w:rsidRPr="0031787F">
        <w:rPr>
          <w:spacing w:val="-2"/>
          <w:szCs w:val="19"/>
          <w:shd w:val="clear" w:color="auto" w:fill="FFFFFF"/>
          <w:lang w:val="en-GB"/>
        </w:rPr>
        <w:t xml:space="preserve">Poland”, and in case of publishing calculations made on data </w:t>
      </w:r>
      <w:r>
        <w:rPr>
          <w:spacing w:val="-2"/>
          <w:szCs w:val="19"/>
          <w:shd w:val="clear" w:color="auto" w:fill="FFFFFF"/>
          <w:lang w:val="en-GB"/>
        </w:rPr>
        <w:t xml:space="preserve">published by Statistics Poland, </w:t>
      </w:r>
      <w:r w:rsidRPr="0031787F">
        <w:rPr>
          <w:spacing w:val="-2"/>
          <w:szCs w:val="19"/>
          <w:shd w:val="clear" w:color="auto" w:fill="FFFFFF"/>
          <w:lang w:val="en-GB"/>
        </w:rPr>
        <w:t>please include the following disclaimer: “Own study based on figures from Statistics Poland”.</w:t>
      </w:r>
    </w:p>
    <w:p w14:paraId="20E10392" w14:textId="77777777" w:rsidR="00161F41" w:rsidRDefault="00161F41" w:rsidP="002B0436">
      <w:pPr>
        <w:rPr>
          <w:spacing w:val="-2"/>
          <w:szCs w:val="19"/>
          <w:shd w:val="clear" w:color="auto" w:fill="FFFFFF"/>
          <w:lang w:val="en-GB"/>
        </w:rPr>
      </w:pPr>
    </w:p>
    <w:p w14:paraId="7352B135" w14:textId="7C9A570E" w:rsidR="00161F41" w:rsidRDefault="00161F41" w:rsidP="002B0436">
      <w:pPr>
        <w:rPr>
          <w:spacing w:val="-2"/>
          <w:szCs w:val="19"/>
          <w:shd w:val="clear" w:color="auto" w:fill="FFFFFF"/>
          <w:lang w:val="en-GB"/>
        </w:rPr>
      </w:pPr>
      <w:r>
        <w:rPr>
          <w:spacing w:val="-2"/>
          <w:szCs w:val="19"/>
          <w:shd w:val="clear" w:color="auto" w:fill="FFFFFF"/>
          <w:lang w:val="en-GB"/>
        </w:rPr>
        <w:br w:type="page"/>
      </w:r>
    </w:p>
    <w:p w14:paraId="480ABCAE" w14:textId="77777777" w:rsidR="00161F41" w:rsidRPr="002B0436" w:rsidRDefault="00161F41" w:rsidP="002B0436">
      <w:pPr>
        <w:rPr>
          <w:spacing w:val="-2"/>
          <w:szCs w:val="19"/>
          <w:shd w:val="clear" w:color="auto" w:fill="FFFFFF"/>
          <w:lang w:val="en-GB"/>
        </w:rPr>
        <w:sectPr w:rsidR="00161F41" w:rsidRPr="002B0436" w:rsidSect="00181548">
          <w:headerReference w:type="default" r:id="rId33"/>
          <w:footerReference w:type="default" r:id="rId34"/>
          <w:headerReference w:type="first" r:id="rId35"/>
          <w:footerReference w:type="first" r:id="rId36"/>
          <w:pgSz w:w="11906" w:h="16838"/>
          <w:pgMar w:top="720" w:right="3119" w:bottom="720" w:left="720" w:header="284" w:footer="397" w:gutter="0"/>
          <w:cols w:space="708"/>
          <w:titlePg/>
          <w:docGrid w:linePitch="360"/>
        </w:sectPr>
      </w:pPr>
    </w:p>
    <w:tbl>
      <w:tblPr>
        <w:tblStyle w:val="Tabela-Siatka"/>
        <w:tblW w:w="10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5234"/>
      </w:tblGrid>
      <w:tr w:rsidR="000E49B1" w:rsidRPr="0090339B" w14:paraId="77021768" w14:textId="77777777" w:rsidTr="0016281C">
        <w:trPr>
          <w:trHeight w:val="1626"/>
        </w:trPr>
        <w:tc>
          <w:tcPr>
            <w:tcW w:w="5233" w:type="dxa"/>
            <w:hideMark/>
          </w:tcPr>
          <w:p w14:paraId="04977DFA" w14:textId="77777777" w:rsidR="000E49B1" w:rsidRPr="002A3D2F" w:rsidRDefault="000E49B1" w:rsidP="002A3D2F">
            <w:pPr>
              <w:spacing w:before="0" w:after="0" w:line="276" w:lineRule="auto"/>
              <w:rPr>
                <w:rFonts w:cs="Arial"/>
                <w:color w:val="000000" w:themeColor="text1"/>
                <w:sz w:val="20"/>
                <w:szCs w:val="20"/>
                <w:lang w:val="en-GB"/>
              </w:rPr>
            </w:pPr>
            <w:r w:rsidRPr="002A3D2F">
              <w:rPr>
                <w:rFonts w:cs="Arial"/>
                <w:color w:val="000000" w:themeColor="text1"/>
                <w:sz w:val="20"/>
                <w:szCs w:val="20"/>
                <w:lang w:val="en-GB"/>
              </w:rPr>
              <w:lastRenderedPageBreak/>
              <w:t>Prepared by:</w:t>
            </w:r>
          </w:p>
          <w:p w14:paraId="42C8862F" w14:textId="07067FFB" w:rsidR="000E49B1" w:rsidRPr="002A3D2F" w:rsidRDefault="000E49B1" w:rsidP="002A3D2F">
            <w:pPr>
              <w:pStyle w:val="Nagwek3"/>
              <w:spacing w:before="0" w:after="120" w:line="276" w:lineRule="auto"/>
              <w:outlineLvl w:val="2"/>
              <w:rPr>
                <w:rFonts w:ascii="Fira Sans" w:eastAsiaTheme="minorHAnsi" w:hAnsi="Fira Sans" w:cs="Arial"/>
                <w:b/>
                <w:color w:val="000000" w:themeColor="text1"/>
                <w:sz w:val="20"/>
                <w:szCs w:val="20"/>
                <w:lang w:val="en-GB"/>
              </w:rPr>
            </w:pPr>
            <w:r w:rsidRPr="002A3D2F">
              <w:rPr>
                <w:rFonts w:ascii="Fira Sans" w:eastAsiaTheme="minorHAnsi" w:hAnsi="Fira Sans" w:cs="Arial"/>
                <w:b/>
                <w:color w:val="000000" w:themeColor="text1"/>
                <w:sz w:val="20"/>
                <w:szCs w:val="20"/>
                <w:lang w:val="en-GB"/>
              </w:rPr>
              <w:t xml:space="preserve">Social Surveys </w:t>
            </w:r>
            <w:r w:rsidR="00D4488C" w:rsidRPr="002A3D2F">
              <w:rPr>
                <w:rFonts w:ascii="Fira Sans" w:eastAsiaTheme="minorHAnsi" w:hAnsi="Fira Sans" w:cs="Arial"/>
                <w:b/>
                <w:color w:val="000000" w:themeColor="text1"/>
                <w:sz w:val="20"/>
                <w:szCs w:val="20"/>
                <w:lang w:val="en-GB"/>
              </w:rPr>
              <w:t xml:space="preserve">and Labour Market </w:t>
            </w:r>
            <w:r w:rsidRPr="002A3D2F">
              <w:rPr>
                <w:rFonts w:ascii="Fira Sans" w:eastAsiaTheme="minorHAnsi" w:hAnsi="Fira Sans" w:cs="Arial"/>
                <w:b/>
                <w:color w:val="000000" w:themeColor="text1"/>
                <w:sz w:val="20"/>
                <w:szCs w:val="20"/>
                <w:lang w:val="en-GB"/>
              </w:rPr>
              <w:t>Department</w:t>
            </w:r>
          </w:p>
          <w:p w14:paraId="02F6856B" w14:textId="77777777" w:rsidR="00D4488C" w:rsidRPr="002A3D2F" w:rsidRDefault="000E49B1" w:rsidP="002A3D2F">
            <w:pPr>
              <w:pStyle w:val="Nagwek3"/>
              <w:spacing w:before="120" w:line="276" w:lineRule="auto"/>
              <w:outlineLvl w:val="2"/>
              <w:rPr>
                <w:rFonts w:ascii="Fira Sans" w:hAnsi="Fira Sans" w:cs="Arial"/>
                <w:b/>
                <w:color w:val="000000" w:themeColor="text1"/>
                <w:sz w:val="20"/>
                <w:szCs w:val="20"/>
                <w:lang w:val="en-GB"/>
              </w:rPr>
            </w:pPr>
            <w:r w:rsidRPr="002A3D2F">
              <w:rPr>
                <w:rFonts w:ascii="Fira Sans" w:hAnsi="Fira Sans" w:cs="Arial"/>
                <w:b/>
                <w:color w:val="000000" w:themeColor="text1"/>
                <w:sz w:val="20"/>
                <w:szCs w:val="20"/>
                <w:lang w:val="en-GB"/>
              </w:rPr>
              <w:t xml:space="preserve">Director </w:t>
            </w:r>
          </w:p>
          <w:p w14:paraId="21D092EA" w14:textId="369F238E" w:rsidR="000E49B1" w:rsidRPr="002A3D2F" w:rsidRDefault="005E0D63" w:rsidP="002A3D2F">
            <w:pPr>
              <w:pStyle w:val="Nagwek3"/>
              <w:spacing w:before="0" w:line="276" w:lineRule="auto"/>
              <w:outlineLvl w:val="2"/>
              <w:rPr>
                <w:rFonts w:ascii="Fira Sans" w:hAnsi="Fira Sans" w:cs="Arial"/>
                <w:b/>
                <w:color w:val="000000" w:themeColor="text1"/>
                <w:sz w:val="20"/>
                <w:szCs w:val="20"/>
                <w:lang w:val="en-GB"/>
              </w:rPr>
            </w:pPr>
            <w:r w:rsidRPr="002A3D2F">
              <w:rPr>
                <w:rFonts w:ascii="Fira Sans" w:hAnsi="Fira Sans" w:cs="Arial"/>
                <w:b/>
                <w:color w:val="000000" w:themeColor="text1"/>
                <w:sz w:val="20"/>
                <w:szCs w:val="20"/>
                <w:lang w:val="en-GB"/>
              </w:rPr>
              <w:t>Agnieszka Zgierska</w:t>
            </w:r>
            <w:r w:rsidR="006A25DA" w:rsidRPr="002A3D2F">
              <w:rPr>
                <w:rFonts w:ascii="Fira Sans" w:hAnsi="Fira Sans" w:cs="Arial"/>
                <w:b/>
                <w:color w:val="000000" w:themeColor="text1"/>
                <w:sz w:val="20"/>
                <w:szCs w:val="20"/>
                <w:lang w:val="en-GB"/>
              </w:rPr>
              <w:t>, PhD</w:t>
            </w:r>
          </w:p>
          <w:p w14:paraId="503BE3BA" w14:textId="52D064BF" w:rsidR="000E49B1" w:rsidRPr="002A3D2F" w:rsidRDefault="000E49B1" w:rsidP="002A3D2F">
            <w:pPr>
              <w:pStyle w:val="Nagwek3"/>
              <w:spacing w:before="0" w:after="120" w:line="276" w:lineRule="auto"/>
              <w:outlineLvl w:val="2"/>
              <w:rPr>
                <w:rFonts w:ascii="Fira Sans" w:hAnsi="Fira Sans" w:cs="Arial"/>
                <w:color w:val="000000" w:themeColor="text1"/>
                <w:sz w:val="20"/>
                <w:szCs w:val="20"/>
                <w:lang w:val="fi-FI"/>
              </w:rPr>
            </w:pPr>
            <w:r w:rsidRPr="002A3D2F">
              <w:rPr>
                <w:rFonts w:ascii="Fira Sans" w:hAnsi="Fira Sans" w:cs="Arial"/>
                <w:color w:val="000000" w:themeColor="text1"/>
                <w:sz w:val="20"/>
                <w:szCs w:val="20"/>
                <w:lang w:val="en-GB"/>
              </w:rPr>
              <w:t xml:space="preserve">Office: tel. </w:t>
            </w:r>
            <w:r w:rsidRPr="002A3D2F">
              <w:rPr>
                <w:rFonts w:ascii="Fira Sans" w:hAnsi="Fira Sans" w:cs="Arial"/>
                <w:color w:val="auto"/>
                <w:sz w:val="20"/>
                <w:szCs w:val="20"/>
                <w:lang w:val="en-GB"/>
              </w:rPr>
              <w:t>(+ 48 22)</w:t>
            </w:r>
            <w:r w:rsidRPr="002A3D2F">
              <w:rPr>
                <w:rFonts w:ascii="Fira Sans" w:hAnsi="Fira Sans"/>
                <w:color w:val="auto"/>
                <w:sz w:val="20"/>
                <w:szCs w:val="20"/>
                <w:lang w:val="en-GB"/>
              </w:rPr>
              <w:t xml:space="preserve"> </w:t>
            </w:r>
            <w:r w:rsidRPr="002A3D2F">
              <w:rPr>
                <w:rFonts w:ascii="Fira Sans" w:hAnsi="Fira Sans" w:cs="Arial"/>
                <w:color w:val="auto"/>
                <w:sz w:val="20"/>
                <w:szCs w:val="20"/>
                <w:lang w:val="en-GB"/>
              </w:rPr>
              <w:t>608 31 22</w:t>
            </w:r>
          </w:p>
        </w:tc>
        <w:tc>
          <w:tcPr>
            <w:tcW w:w="5234" w:type="dxa"/>
          </w:tcPr>
          <w:p w14:paraId="38165267" w14:textId="77777777" w:rsidR="00D4488C" w:rsidRPr="002A3D2F" w:rsidRDefault="00D4488C" w:rsidP="002A3D2F">
            <w:pPr>
              <w:spacing w:before="0" w:after="0" w:line="276" w:lineRule="auto"/>
              <w:rPr>
                <w:rFonts w:ascii="Calibri" w:hAnsi="Calibri"/>
                <w:sz w:val="20"/>
                <w:szCs w:val="20"/>
                <w:lang w:val="en-GB"/>
              </w:rPr>
            </w:pPr>
            <w:r w:rsidRPr="002A3D2F">
              <w:rPr>
                <w:rFonts w:cs="Arial"/>
                <w:sz w:val="20"/>
                <w:szCs w:val="20"/>
                <w:lang w:val="en-GB"/>
              </w:rPr>
              <w:t>Issued by:</w:t>
            </w:r>
          </w:p>
          <w:p w14:paraId="4B641821" w14:textId="77777777" w:rsidR="00D4488C" w:rsidRPr="002A3D2F" w:rsidRDefault="00D4488C" w:rsidP="002A3D2F">
            <w:pPr>
              <w:spacing w:before="0" w:line="276" w:lineRule="auto"/>
              <w:rPr>
                <w:b/>
                <w:sz w:val="20"/>
                <w:szCs w:val="20"/>
                <w:lang w:val="en-GB"/>
              </w:rPr>
            </w:pPr>
            <w:r w:rsidRPr="002A3D2F">
              <w:rPr>
                <w:b/>
                <w:sz w:val="20"/>
                <w:szCs w:val="20"/>
                <w:lang w:val="en-GB"/>
              </w:rPr>
              <w:t>Press Office</w:t>
            </w:r>
          </w:p>
          <w:p w14:paraId="59FE743E" w14:textId="77777777" w:rsidR="00D4488C" w:rsidRPr="002A3D2F" w:rsidRDefault="00D4488C" w:rsidP="002A3D2F">
            <w:pPr>
              <w:spacing w:line="276" w:lineRule="auto"/>
              <w:rPr>
                <w:sz w:val="20"/>
                <w:szCs w:val="20"/>
                <w:lang w:val="en-GB"/>
              </w:rPr>
            </w:pPr>
            <w:r w:rsidRPr="002A3D2F">
              <w:rPr>
                <w:sz w:val="20"/>
                <w:szCs w:val="20"/>
                <w:lang w:val="en-GB"/>
              </w:rPr>
              <w:t>Mobile +48 695 255 032</w:t>
            </w:r>
          </w:p>
          <w:p w14:paraId="11BE4897" w14:textId="77777777" w:rsidR="00D4488C" w:rsidRPr="002A3D2F" w:rsidRDefault="00D4488C" w:rsidP="002A3D2F">
            <w:pPr>
              <w:spacing w:after="0" w:line="276" w:lineRule="auto"/>
              <w:rPr>
                <w:sz w:val="20"/>
                <w:szCs w:val="20"/>
                <w:lang w:val="fr-FR"/>
              </w:rPr>
            </w:pPr>
            <w:r w:rsidRPr="002A3D2F">
              <w:rPr>
                <w:sz w:val="20"/>
                <w:szCs w:val="20"/>
                <w:lang w:val="fr-FR"/>
              </w:rPr>
              <w:t xml:space="preserve">Phone +48 22 608 38 04, +48 22 449 41 45, </w:t>
            </w:r>
          </w:p>
          <w:p w14:paraId="4BF38912" w14:textId="77777777" w:rsidR="00D4488C" w:rsidRPr="002A3D2F" w:rsidRDefault="00D4488C" w:rsidP="002A3D2F">
            <w:pPr>
              <w:spacing w:before="0" w:line="276" w:lineRule="auto"/>
              <w:rPr>
                <w:sz w:val="20"/>
                <w:szCs w:val="20"/>
                <w:lang w:val="fr-FR"/>
              </w:rPr>
            </w:pPr>
            <w:r w:rsidRPr="002A3D2F">
              <w:rPr>
                <w:sz w:val="20"/>
                <w:szCs w:val="20"/>
                <w:lang w:val="fr-FR"/>
              </w:rPr>
              <w:t>+48 22 608 30 09</w:t>
            </w:r>
          </w:p>
          <w:p w14:paraId="60513864" w14:textId="58DE4490" w:rsidR="000E49B1" w:rsidRPr="002A3D2F" w:rsidRDefault="00D4488C" w:rsidP="002A3D2F">
            <w:pPr>
              <w:pStyle w:val="Nagwek3"/>
              <w:spacing w:before="0" w:after="120" w:line="276" w:lineRule="auto"/>
              <w:outlineLvl w:val="2"/>
              <w:rPr>
                <w:rFonts w:ascii="Fira Sans" w:hAnsi="Fira Sans" w:cs="Arial"/>
                <w:color w:val="000000" w:themeColor="text1"/>
                <w:sz w:val="20"/>
                <w:szCs w:val="20"/>
                <w:lang w:val="fi-FI"/>
              </w:rPr>
            </w:pPr>
            <w:r w:rsidRPr="002A3D2F">
              <w:rPr>
                <w:b/>
                <w:color w:val="1F4D78"/>
                <w:sz w:val="20"/>
                <w:szCs w:val="20"/>
                <w:lang w:val="fr-FR"/>
              </w:rPr>
              <w:t>e-mail:</w:t>
            </w:r>
            <w:r w:rsidRPr="002A3D2F">
              <w:rPr>
                <w:color w:val="475685" w:themeColor="accent3" w:themeShade="BF"/>
                <w:sz w:val="20"/>
                <w:szCs w:val="20"/>
                <w:lang w:val="fr-FR"/>
              </w:rPr>
              <w:t xml:space="preserve"> </w:t>
            </w:r>
            <w:hyperlink r:id="rId37" w:history="1">
              <w:r w:rsidRPr="002A3D2F">
                <w:rPr>
                  <w:rStyle w:val="Hipercze"/>
                  <w:rFonts w:cs="Arial"/>
                  <w:b/>
                  <w:color w:val="auto"/>
                  <w:sz w:val="20"/>
                  <w:szCs w:val="20"/>
                  <w:lang w:val="fr-FR"/>
                </w:rPr>
                <w:t>obslugaprasowa@stat.gov.pl</w:t>
              </w:r>
            </w:hyperlink>
          </w:p>
          <w:p w14:paraId="26ED41CD" w14:textId="77777777" w:rsidR="000E49B1" w:rsidRPr="002A3D2F" w:rsidRDefault="000E49B1" w:rsidP="0016281C">
            <w:pPr>
              <w:rPr>
                <w:sz w:val="20"/>
                <w:szCs w:val="20"/>
                <w:lang w:val="fr-FR"/>
              </w:rPr>
            </w:pPr>
          </w:p>
        </w:tc>
      </w:tr>
      <w:tr w:rsidR="000E49B1" w14:paraId="695F731D" w14:textId="77777777" w:rsidTr="0016281C">
        <w:trPr>
          <w:trHeight w:val="454"/>
        </w:trPr>
        <w:tc>
          <w:tcPr>
            <w:tcW w:w="5233" w:type="dxa"/>
            <w:vMerge w:val="restart"/>
          </w:tcPr>
          <w:p w14:paraId="0109975B" w14:textId="61F93E06" w:rsidR="000E49B1" w:rsidRPr="0060146F" w:rsidRDefault="000E49B1" w:rsidP="0016281C">
            <w:pPr>
              <w:spacing w:before="0" w:after="0"/>
              <w:rPr>
                <w:sz w:val="18"/>
                <w:lang w:val="fr-FR"/>
              </w:rPr>
            </w:pPr>
          </w:p>
        </w:tc>
        <w:tc>
          <w:tcPr>
            <w:tcW w:w="5234" w:type="dxa"/>
            <w:vAlign w:val="center"/>
            <w:hideMark/>
          </w:tcPr>
          <w:p w14:paraId="68002A30" w14:textId="4F80A78F" w:rsidR="000E49B1" w:rsidRDefault="000E49B1" w:rsidP="0016281C">
            <w:pPr>
              <w:spacing w:before="0" w:after="0"/>
              <w:ind w:firstLine="680"/>
              <w:rPr>
                <w:sz w:val="18"/>
              </w:rPr>
            </w:pPr>
            <w:r>
              <w:rPr>
                <w:noProof/>
                <w:lang w:eastAsia="pl-PL"/>
              </w:rPr>
              <w:drawing>
                <wp:anchor distT="0" distB="0" distL="114300" distR="114300" simplePos="0" relativeHeight="251842560" behindDoc="0" locked="0" layoutInCell="1" allowOverlap="1" wp14:anchorId="6ED776F1" wp14:editId="05028AF6">
                  <wp:simplePos x="0" y="0"/>
                  <wp:positionH relativeFrom="column">
                    <wp:posOffset>111125</wp:posOffset>
                  </wp:positionH>
                  <wp:positionV relativeFrom="paragraph">
                    <wp:posOffset>-45085</wp:posOffset>
                  </wp:positionV>
                  <wp:extent cx="251460" cy="251460"/>
                  <wp:effectExtent l="0" t="0" r="0" b="0"/>
                  <wp:wrapNone/>
                  <wp:docPr id="11" name="Obraz 1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Website ic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r>
              <w:rPr>
                <w:sz w:val="20"/>
              </w:rPr>
              <w:t>stat.gov.pl/en/</w:t>
            </w:r>
            <w:r>
              <w:rPr>
                <w:sz w:val="18"/>
              </w:rPr>
              <w:t xml:space="preserve">     </w:t>
            </w:r>
          </w:p>
        </w:tc>
      </w:tr>
      <w:tr w:rsidR="000E49B1" w14:paraId="488DB5A8" w14:textId="77777777" w:rsidTr="0016281C">
        <w:trPr>
          <w:trHeight w:val="454"/>
        </w:trPr>
        <w:tc>
          <w:tcPr>
            <w:tcW w:w="5233" w:type="dxa"/>
            <w:vMerge/>
            <w:vAlign w:val="center"/>
            <w:hideMark/>
          </w:tcPr>
          <w:p w14:paraId="0DD0189F" w14:textId="77777777" w:rsidR="000E49B1" w:rsidRDefault="000E49B1" w:rsidP="0016281C">
            <w:pPr>
              <w:spacing w:before="0" w:after="0"/>
              <w:rPr>
                <w:sz w:val="18"/>
                <w:lang w:val="en-US"/>
              </w:rPr>
            </w:pPr>
          </w:p>
        </w:tc>
        <w:tc>
          <w:tcPr>
            <w:tcW w:w="5234" w:type="dxa"/>
            <w:vAlign w:val="center"/>
            <w:hideMark/>
          </w:tcPr>
          <w:p w14:paraId="034D539F" w14:textId="7B030628" w:rsidR="000E49B1" w:rsidRDefault="000E49B1" w:rsidP="0016281C">
            <w:pPr>
              <w:spacing w:before="0" w:after="0"/>
              <w:ind w:firstLine="680"/>
              <w:rPr>
                <w:sz w:val="18"/>
              </w:rPr>
            </w:pPr>
            <w:r>
              <w:rPr>
                <w:noProof/>
                <w:lang w:eastAsia="pl-PL"/>
              </w:rPr>
              <w:drawing>
                <wp:anchor distT="0" distB="0" distL="114300" distR="114300" simplePos="0" relativeHeight="251843584" behindDoc="0" locked="0" layoutInCell="1" allowOverlap="1" wp14:anchorId="5AFAFAA1" wp14:editId="5EC8FC9B">
                  <wp:simplePos x="0" y="0"/>
                  <wp:positionH relativeFrom="column">
                    <wp:posOffset>111125</wp:posOffset>
                  </wp:positionH>
                  <wp:positionV relativeFrom="paragraph">
                    <wp:posOffset>-41275</wp:posOffset>
                  </wp:positionV>
                  <wp:extent cx="251460" cy="251460"/>
                  <wp:effectExtent l="0" t="0" r="0" b="0"/>
                  <wp:wrapNone/>
                  <wp:docPr id="8" name="Obraz 8"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Twitter ic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r>
              <w:rPr>
                <w:sz w:val="20"/>
              </w:rPr>
              <w:t>@</w:t>
            </w:r>
            <w:proofErr w:type="spellStart"/>
            <w:r>
              <w:rPr>
                <w:noProof/>
                <w:sz w:val="20"/>
                <w:lang w:eastAsia="pl-PL"/>
              </w:rPr>
              <w:t>StatPoland</w:t>
            </w:r>
            <w:proofErr w:type="spellEnd"/>
          </w:p>
        </w:tc>
      </w:tr>
      <w:tr w:rsidR="000E49B1" w14:paraId="334DC73D" w14:textId="77777777" w:rsidTr="0016281C">
        <w:trPr>
          <w:trHeight w:val="454"/>
        </w:trPr>
        <w:tc>
          <w:tcPr>
            <w:tcW w:w="5233" w:type="dxa"/>
            <w:vMerge/>
            <w:vAlign w:val="center"/>
            <w:hideMark/>
          </w:tcPr>
          <w:p w14:paraId="7F7EBF07" w14:textId="77777777" w:rsidR="000E49B1" w:rsidRDefault="000E49B1" w:rsidP="0016281C">
            <w:pPr>
              <w:spacing w:before="0" w:after="0"/>
              <w:rPr>
                <w:sz w:val="18"/>
                <w:lang w:val="en-US"/>
              </w:rPr>
            </w:pPr>
          </w:p>
        </w:tc>
        <w:tc>
          <w:tcPr>
            <w:tcW w:w="5234" w:type="dxa"/>
            <w:vAlign w:val="center"/>
            <w:hideMark/>
          </w:tcPr>
          <w:p w14:paraId="3C736DF3" w14:textId="3F1F3583" w:rsidR="000E49B1" w:rsidRDefault="000E49B1" w:rsidP="0016281C">
            <w:pPr>
              <w:spacing w:before="0" w:after="0"/>
              <w:ind w:firstLine="680"/>
              <w:rPr>
                <w:sz w:val="18"/>
              </w:rPr>
            </w:pPr>
            <w:r>
              <w:rPr>
                <w:noProof/>
                <w:lang w:eastAsia="pl-PL"/>
              </w:rPr>
              <w:drawing>
                <wp:anchor distT="0" distB="0" distL="114300" distR="114300" simplePos="0" relativeHeight="251844608" behindDoc="0" locked="0" layoutInCell="1" allowOverlap="1" wp14:anchorId="696DCEB9" wp14:editId="71667776">
                  <wp:simplePos x="0" y="0"/>
                  <wp:positionH relativeFrom="column">
                    <wp:posOffset>113665</wp:posOffset>
                  </wp:positionH>
                  <wp:positionV relativeFrom="paragraph">
                    <wp:posOffset>-40640</wp:posOffset>
                  </wp:positionV>
                  <wp:extent cx="251460" cy="251460"/>
                  <wp:effectExtent l="0" t="0" r="0" b="0"/>
                  <wp:wrapNone/>
                  <wp:docPr id="7" name="Obraz 7"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Facebook ic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r>
              <w:rPr>
                <w:sz w:val="20"/>
              </w:rPr>
              <w:t>@</w:t>
            </w:r>
            <w:proofErr w:type="spellStart"/>
            <w:r>
              <w:rPr>
                <w:sz w:val="20"/>
              </w:rPr>
              <w:t>GlownyUrzadStatystyczny</w:t>
            </w:r>
            <w:proofErr w:type="spellEnd"/>
            <w:r>
              <w:rPr>
                <w:noProof/>
                <w:sz w:val="20"/>
                <w:lang w:eastAsia="pl-PL"/>
              </w:rPr>
              <w:t xml:space="preserve"> </w:t>
            </w:r>
          </w:p>
        </w:tc>
      </w:tr>
      <w:tr w:rsidR="000E49B1" w14:paraId="102081FB" w14:textId="77777777" w:rsidTr="0016281C">
        <w:trPr>
          <w:trHeight w:val="454"/>
        </w:trPr>
        <w:tc>
          <w:tcPr>
            <w:tcW w:w="5233" w:type="dxa"/>
          </w:tcPr>
          <w:p w14:paraId="49E13F55" w14:textId="77777777" w:rsidR="000E49B1" w:rsidRDefault="000E49B1" w:rsidP="0016281C">
            <w:pPr>
              <w:spacing w:before="0" w:after="0"/>
              <w:rPr>
                <w:b/>
                <w:sz w:val="20"/>
              </w:rPr>
            </w:pPr>
          </w:p>
        </w:tc>
        <w:tc>
          <w:tcPr>
            <w:tcW w:w="5234" w:type="dxa"/>
            <w:vAlign w:val="center"/>
            <w:hideMark/>
          </w:tcPr>
          <w:p w14:paraId="6147875A" w14:textId="0C1FDFC8" w:rsidR="000E49B1" w:rsidRDefault="000E49B1" w:rsidP="0016281C">
            <w:pPr>
              <w:spacing w:before="0" w:after="0"/>
              <w:ind w:firstLine="680"/>
              <w:rPr>
                <w:sz w:val="20"/>
              </w:rPr>
            </w:pPr>
            <w:r>
              <w:rPr>
                <w:noProof/>
                <w:lang w:eastAsia="pl-PL"/>
              </w:rPr>
              <w:drawing>
                <wp:anchor distT="0" distB="0" distL="114300" distR="114300" simplePos="0" relativeHeight="251845632" behindDoc="0" locked="0" layoutInCell="1" allowOverlap="1" wp14:anchorId="34A0800D" wp14:editId="3F566756">
                  <wp:simplePos x="0" y="0"/>
                  <wp:positionH relativeFrom="column">
                    <wp:posOffset>113030</wp:posOffset>
                  </wp:positionH>
                  <wp:positionV relativeFrom="paragraph">
                    <wp:posOffset>-40640</wp:posOffset>
                  </wp:positionV>
                  <wp:extent cx="251460" cy="251460"/>
                  <wp:effectExtent l="0" t="0" r="0" b="0"/>
                  <wp:wrapNone/>
                  <wp:docPr id="6" name="Obraz 6"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Instagram ic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sz w:val="20"/>
              </w:rPr>
              <w:t>gus_stat</w:t>
            </w:r>
            <w:proofErr w:type="spellEnd"/>
          </w:p>
        </w:tc>
      </w:tr>
      <w:tr w:rsidR="000E49B1" w14:paraId="5700D313" w14:textId="77777777" w:rsidTr="0016281C">
        <w:trPr>
          <w:trHeight w:val="454"/>
        </w:trPr>
        <w:tc>
          <w:tcPr>
            <w:tcW w:w="5233" w:type="dxa"/>
          </w:tcPr>
          <w:p w14:paraId="4A273E71" w14:textId="77777777" w:rsidR="000E49B1" w:rsidRDefault="000E49B1" w:rsidP="0016281C">
            <w:pPr>
              <w:spacing w:before="0" w:after="0"/>
              <w:rPr>
                <w:b/>
                <w:sz w:val="20"/>
              </w:rPr>
            </w:pPr>
          </w:p>
        </w:tc>
        <w:tc>
          <w:tcPr>
            <w:tcW w:w="5234" w:type="dxa"/>
            <w:vAlign w:val="center"/>
            <w:hideMark/>
          </w:tcPr>
          <w:p w14:paraId="5E936119" w14:textId="46763972" w:rsidR="000E49B1" w:rsidRDefault="000E49B1" w:rsidP="0016281C">
            <w:pPr>
              <w:spacing w:before="0" w:after="0"/>
              <w:ind w:firstLine="680"/>
              <w:rPr>
                <w:sz w:val="20"/>
              </w:rPr>
            </w:pPr>
            <w:r>
              <w:rPr>
                <w:noProof/>
                <w:lang w:eastAsia="pl-PL"/>
              </w:rPr>
              <w:drawing>
                <wp:anchor distT="0" distB="0" distL="114300" distR="114300" simplePos="0" relativeHeight="251846656" behindDoc="0" locked="0" layoutInCell="1" allowOverlap="1" wp14:anchorId="0C5D3B55" wp14:editId="78EC0832">
                  <wp:simplePos x="0" y="0"/>
                  <wp:positionH relativeFrom="column">
                    <wp:posOffset>111125</wp:posOffset>
                  </wp:positionH>
                  <wp:positionV relativeFrom="paragraph">
                    <wp:posOffset>-41275</wp:posOffset>
                  </wp:positionV>
                  <wp:extent cx="251460" cy="251460"/>
                  <wp:effectExtent l="0" t="0" r="0" b="0"/>
                  <wp:wrapNone/>
                  <wp:docPr id="4" name="Obraz 4"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Youtube ic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sz w:val="20"/>
              </w:rPr>
              <w:t>glownyurzadstatystycznygus</w:t>
            </w:r>
            <w:proofErr w:type="spellEnd"/>
          </w:p>
        </w:tc>
      </w:tr>
      <w:tr w:rsidR="000E49B1" w14:paraId="1481E182" w14:textId="77777777" w:rsidTr="0016281C">
        <w:trPr>
          <w:trHeight w:val="454"/>
        </w:trPr>
        <w:tc>
          <w:tcPr>
            <w:tcW w:w="5233" w:type="dxa"/>
          </w:tcPr>
          <w:p w14:paraId="55AE5552" w14:textId="12AFEB81" w:rsidR="000E49B1" w:rsidRDefault="000E49B1" w:rsidP="0016281C">
            <w:pPr>
              <w:spacing w:before="0" w:after="0"/>
              <w:rPr>
                <w:b/>
                <w:sz w:val="20"/>
              </w:rPr>
            </w:pPr>
          </w:p>
        </w:tc>
        <w:tc>
          <w:tcPr>
            <w:tcW w:w="5234" w:type="dxa"/>
            <w:vAlign w:val="center"/>
            <w:hideMark/>
          </w:tcPr>
          <w:p w14:paraId="1C0C0754" w14:textId="66A9BED4" w:rsidR="000E49B1" w:rsidRDefault="008179EE" w:rsidP="0016281C">
            <w:pPr>
              <w:spacing w:before="0" w:after="0"/>
              <w:ind w:firstLine="680"/>
              <w:rPr>
                <w:sz w:val="20"/>
              </w:rPr>
            </w:pPr>
            <w:r>
              <w:rPr>
                <w:noProof/>
                <w:lang w:eastAsia="pl-PL"/>
              </w:rPr>
              <w:drawing>
                <wp:anchor distT="0" distB="0" distL="114300" distR="114300" simplePos="0" relativeHeight="251847680" behindDoc="0" locked="0" layoutInCell="1" allowOverlap="1" wp14:anchorId="6FB9DFBA" wp14:editId="18B66475">
                  <wp:simplePos x="0" y="0"/>
                  <wp:positionH relativeFrom="column">
                    <wp:posOffset>114300</wp:posOffset>
                  </wp:positionH>
                  <wp:positionV relativeFrom="paragraph">
                    <wp:posOffset>-41275</wp:posOffset>
                  </wp:positionV>
                  <wp:extent cx="251460" cy="251460"/>
                  <wp:effectExtent l="0" t="0" r="0" b="0"/>
                  <wp:wrapNone/>
                  <wp:docPr id="3" name="Obraz 3"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Linkedin ic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r w:rsidR="000E49B1">
              <w:rPr>
                <w:noProof/>
                <w:sz w:val="20"/>
                <w:lang w:eastAsia="pl-PL"/>
              </w:rPr>
              <w:t>glownyurzadstatystyczny</w:t>
            </w:r>
          </w:p>
        </w:tc>
      </w:tr>
    </w:tbl>
    <w:p w14:paraId="7EE94F8F" w14:textId="387478FC" w:rsidR="00474A3A" w:rsidRPr="003B33FE" w:rsidRDefault="0094652D" w:rsidP="0016281C">
      <w:pPr>
        <w:spacing w:before="0" w:after="0"/>
        <w:rPr>
          <w:i/>
          <w:lang w:val="en-US"/>
        </w:rPr>
      </w:pPr>
      <w:r>
        <w:rPr>
          <w:noProof/>
          <w:sz w:val="18"/>
          <w:lang w:eastAsia="pl-PL"/>
        </w:rPr>
        <mc:AlternateContent>
          <mc:Choice Requires="wps">
            <w:drawing>
              <wp:anchor distT="45720" distB="45720" distL="114300" distR="114300" simplePos="0" relativeHeight="251661312" behindDoc="0" locked="0" layoutInCell="1" allowOverlap="1" wp14:anchorId="7EE94FE0" wp14:editId="012AC5E6">
                <wp:simplePos x="0" y="0"/>
                <wp:positionH relativeFrom="page">
                  <wp:align>center</wp:align>
                </wp:positionH>
                <wp:positionV relativeFrom="paragraph">
                  <wp:posOffset>294640</wp:posOffset>
                </wp:positionV>
                <wp:extent cx="6645275" cy="5400675"/>
                <wp:effectExtent l="0" t="0" r="22225" b="28575"/>
                <wp:wrapSquare wrapText="bothSides"/>
                <wp:docPr id="4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400675"/>
                        </a:xfrm>
                        <a:prstGeom prst="rect">
                          <a:avLst/>
                        </a:prstGeom>
                        <a:solidFill>
                          <a:schemeClr val="bg1">
                            <a:lumMod val="95000"/>
                          </a:schemeClr>
                        </a:solidFill>
                        <a:ln w="9525">
                          <a:solidFill>
                            <a:schemeClr val="bg1"/>
                          </a:solidFill>
                          <a:miter lim="800000"/>
                          <a:headEnd/>
                          <a:tailEnd/>
                        </a:ln>
                      </wps:spPr>
                      <wps:txbx>
                        <w:txbxContent>
                          <w:p w14:paraId="7EE95025" w14:textId="77777777" w:rsidR="00882B10" w:rsidRPr="009577AD" w:rsidRDefault="00882B10" w:rsidP="009F6AA2">
                            <w:pPr>
                              <w:rPr>
                                <w:b/>
                                <w:lang w:val="en-GB"/>
                              </w:rPr>
                            </w:pPr>
                            <w:r w:rsidRPr="009577AD">
                              <w:rPr>
                                <w:b/>
                                <w:lang w:val="en-GB"/>
                              </w:rPr>
                              <w:t>Related information</w:t>
                            </w:r>
                          </w:p>
                          <w:p w14:paraId="7EE95026" w14:textId="1C491C72" w:rsidR="00882B10" w:rsidRDefault="006D20DC" w:rsidP="009F6AA2">
                            <w:pPr>
                              <w:rPr>
                                <w:rStyle w:val="Hipercze"/>
                                <w:rFonts w:cs="Arial"/>
                                <w:color w:val="001D77"/>
                                <w:sz w:val="18"/>
                                <w:szCs w:val="30"/>
                                <w:shd w:val="clear" w:color="auto" w:fill="F0F0F0"/>
                                <w:lang w:val="en-GB"/>
                              </w:rPr>
                            </w:pPr>
                            <w:hyperlink r:id="rId44" w:history="1">
                              <w:r w:rsidR="00216E87" w:rsidRPr="00216E87">
                                <w:rPr>
                                  <w:rStyle w:val="Hipercze"/>
                                  <w:rFonts w:cs="Arial"/>
                                  <w:color w:val="001D77"/>
                                  <w:sz w:val="18"/>
                                  <w:szCs w:val="30"/>
                                  <w:shd w:val="clear" w:color="auto" w:fill="F0F0F0"/>
                                  <w:lang w:val="en-GB"/>
                                </w:rPr>
                                <w:t>Household Budget Survey in 2023</w:t>
                              </w:r>
                            </w:hyperlink>
                          </w:p>
                          <w:p w14:paraId="3BD4FEEE" w14:textId="3DF998CE" w:rsidR="00216E87" w:rsidRPr="00216E87" w:rsidRDefault="006D20DC" w:rsidP="009F6AA2">
                            <w:pPr>
                              <w:rPr>
                                <w:rStyle w:val="Hipercze"/>
                                <w:rFonts w:cs="Arial"/>
                                <w:color w:val="001D77"/>
                                <w:sz w:val="18"/>
                                <w:szCs w:val="30"/>
                                <w:shd w:val="clear" w:color="auto" w:fill="F0F0F0"/>
                                <w:lang w:val="en-GB"/>
                              </w:rPr>
                            </w:pPr>
                            <w:hyperlink r:id="rId45" w:history="1">
                              <w:r w:rsidR="00216E87" w:rsidRPr="00216E87">
                                <w:rPr>
                                  <w:rStyle w:val="Hipercze"/>
                                  <w:rFonts w:cs="Arial"/>
                                  <w:color w:val="001D77"/>
                                  <w:sz w:val="18"/>
                                  <w:szCs w:val="30"/>
                                  <w:shd w:val="clear" w:color="auto" w:fill="F0F0F0"/>
                                  <w:lang w:val="en-GB"/>
                                </w:rPr>
                                <w:t>The situation of households in 2023 on the basis of results of the Household Budget Survey</w:t>
                              </w:r>
                            </w:hyperlink>
                          </w:p>
                          <w:p w14:paraId="365559C9" w14:textId="505CBAB8" w:rsidR="00882B10" w:rsidRPr="00216E87" w:rsidRDefault="00882B10" w:rsidP="009F6AA2">
                            <w:pPr>
                              <w:rPr>
                                <w:rStyle w:val="Hipercze"/>
                                <w:rFonts w:cs="Arial"/>
                                <w:color w:val="001D77"/>
                                <w:sz w:val="18"/>
                                <w:szCs w:val="30"/>
                                <w:shd w:val="clear" w:color="auto" w:fill="F0F0F0"/>
                                <w:lang w:val="en-GB"/>
                              </w:rPr>
                            </w:pPr>
                            <w:r w:rsidRPr="00FE1BC1">
                              <w:rPr>
                                <w:rStyle w:val="Hipercze"/>
                                <w:rFonts w:cs="Arial"/>
                                <w:color w:val="001D77"/>
                                <w:sz w:val="18"/>
                                <w:szCs w:val="30"/>
                                <w:shd w:val="clear" w:color="auto" w:fill="F0F0F0"/>
                                <w:lang w:val="en-GB"/>
                              </w:rPr>
                              <w:fldChar w:fldCharType="begin"/>
                            </w:r>
                            <w:r w:rsidRPr="00FE1BC1">
                              <w:rPr>
                                <w:rStyle w:val="Hipercze"/>
                                <w:rFonts w:cs="Arial"/>
                                <w:color w:val="001D77"/>
                                <w:sz w:val="18"/>
                                <w:szCs w:val="30"/>
                                <w:shd w:val="clear" w:color="auto" w:fill="F0F0F0"/>
                                <w:lang w:val="en-GB"/>
                              </w:rPr>
                              <w:instrText xml:space="preserve"> HYPERLINK "https://stat.gov.pl/en/topics/living-conditions/living-conditions/support-granted-by-households-to-the-inhabitants-of-ukraine-in-the-first-half-of-2022-on-the-basis-of-results-of-the-household-budget-survey,15,1.html" </w:instrText>
                            </w:r>
                            <w:r w:rsidRPr="00FE1BC1">
                              <w:rPr>
                                <w:rStyle w:val="Hipercze"/>
                                <w:rFonts w:cs="Arial"/>
                                <w:color w:val="001D77"/>
                                <w:sz w:val="18"/>
                                <w:szCs w:val="30"/>
                                <w:shd w:val="clear" w:color="auto" w:fill="F0F0F0"/>
                                <w:lang w:val="en-GB"/>
                              </w:rPr>
                              <w:fldChar w:fldCharType="separate"/>
                            </w:r>
                            <w:r w:rsidRPr="00216E87">
                              <w:rPr>
                                <w:rStyle w:val="Hipercze"/>
                                <w:rFonts w:cs="Arial"/>
                                <w:color w:val="001D77"/>
                                <w:sz w:val="18"/>
                                <w:szCs w:val="30"/>
                                <w:shd w:val="clear" w:color="auto" w:fill="F0F0F0"/>
                                <w:lang w:val="en-GB"/>
                              </w:rPr>
                              <w:t>Support granted by households to the inhabitants of Ukraine in the first half of 2022 on the basis of results of the Household Budget Survey</w:t>
                            </w:r>
                          </w:p>
                          <w:p w14:paraId="7EE95027" w14:textId="5ADA70EF" w:rsidR="00882B10" w:rsidRPr="00D6231E" w:rsidRDefault="00882B10" w:rsidP="009F6AA2">
                            <w:pPr>
                              <w:rPr>
                                <w:b/>
                                <w:color w:val="000000" w:themeColor="text1"/>
                                <w:szCs w:val="24"/>
                                <w:lang w:val="en-GB"/>
                              </w:rPr>
                            </w:pPr>
                            <w:r w:rsidRPr="00FE1BC1">
                              <w:rPr>
                                <w:rStyle w:val="Hipercze"/>
                                <w:rFonts w:cs="Arial"/>
                                <w:color w:val="001D77"/>
                                <w:sz w:val="18"/>
                                <w:szCs w:val="30"/>
                                <w:shd w:val="clear" w:color="auto" w:fill="F0F0F0"/>
                                <w:lang w:val="en-GB"/>
                              </w:rPr>
                              <w:fldChar w:fldCharType="end"/>
                            </w:r>
                          </w:p>
                          <w:p w14:paraId="7EE95028" w14:textId="77777777" w:rsidR="00882B10" w:rsidRPr="00D6231E" w:rsidRDefault="00882B10" w:rsidP="009F6AA2">
                            <w:pPr>
                              <w:rPr>
                                <w:b/>
                                <w:color w:val="000000" w:themeColor="text1"/>
                                <w:szCs w:val="24"/>
                                <w:lang w:val="en-GB"/>
                              </w:rPr>
                            </w:pPr>
                            <w:r w:rsidRPr="00D6231E">
                              <w:rPr>
                                <w:b/>
                                <w:color w:val="000000" w:themeColor="text1"/>
                                <w:szCs w:val="24"/>
                                <w:lang w:val="en-GB"/>
                              </w:rPr>
                              <w:t>Data available in databases</w:t>
                            </w:r>
                          </w:p>
                          <w:p w14:paraId="7EE95029" w14:textId="4647FB5A" w:rsidR="00882B10" w:rsidRPr="001C0B84" w:rsidRDefault="006D20DC" w:rsidP="009F6AA2">
                            <w:pPr>
                              <w:rPr>
                                <w:rStyle w:val="Hipercze"/>
                                <w:rFonts w:cs="Arial"/>
                                <w:color w:val="001D77"/>
                                <w:sz w:val="18"/>
                                <w:szCs w:val="30"/>
                                <w:shd w:val="clear" w:color="auto" w:fill="F0F0F0"/>
                                <w:lang w:val="en-GB"/>
                              </w:rPr>
                            </w:pPr>
                            <w:hyperlink r:id="rId46" w:history="1">
                              <w:r w:rsidR="00882B10" w:rsidRPr="001C0B84">
                                <w:rPr>
                                  <w:rStyle w:val="Hipercze"/>
                                  <w:rFonts w:cs="Arial"/>
                                  <w:color w:val="001D77"/>
                                  <w:sz w:val="18"/>
                                  <w:szCs w:val="30"/>
                                  <w:shd w:val="clear" w:color="auto" w:fill="F0F0F0"/>
                                  <w:lang w:val="en-GB"/>
                                </w:rPr>
                                <w:t>LOCAL DATA BANK private households</w:t>
                              </w:r>
                            </w:hyperlink>
                          </w:p>
                          <w:p w14:paraId="7EE9502A" w14:textId="4F2D288D" w:rsidR="00882B10" w:rsidRPr="000506EC" w:rsidRDefault="006D20DC" w:rsidP="009F6AA2">
                            <w:pPr>
                              <w:rPr>
                                <w:rStyle w:val="Hipercze"/>
                                <w:rFonts w:cs="Arial"/>
                                <w:color w:val="001D77"/>
                                <w:sz w:val="18"/>
                                <w:szCs w:val="30"/>
                                <w:shd w:val="clear" w:color="auto" w:fill="F0F0F0"/>
                                <w:lang w:val="en-GB"/>
                              </w:rPr>
                            </w:pPr>
                            <w:hyperlink r:id="rId47" w:history="1">
                              <w:r w:rsidR="000506EC" w:rsidRPr="000506EC">
                                <w:rPr>
                                  <w:rStyle w:val="Hipercze"/>
                                  <w:rFonts w:cs="Arial"/>
                                  <w:color w:val="001D77"/>
                                  <w:sz w:val="18"/>
                                  <w:szCs w:val="30"/>
                                  <w:shd w:val="clear" w:color="auto" w:fill="F0F0F0"/>
                                  <w:lang w:val="en-GB"/>
                                </w:rPr>
                                <w:t>KNOWLEDGE DATABASES Living conditions of the population</w:t>
                              </w:r>
                            </w:hyperlink>
                          </w:p>
                          <w:p w14:paraId="7EE9502D" w14:textId="77777777" w:rsidR="00882B10" w:rsidRPr="001C0B84" w:rsidRDefault="00882B10" w:rsidP="009F6AA2">
                            <w:pPr>
                              <w:rPr>
                                <w:color w:val="001D77"/>
                                <w:szCs w:val="24"/>
                                <w:lang w:val="en-GB"/>
                              </w:rPr>
                            </w:pPr>
                          </w:p>
                          <w:p w14:paraId="7EE9502E" w14:textId="77777777" w:rsidR="00882B10" w:rsidRPr="001C0B84" w:rsidRDefault="00882B10" w:rsidP="009F6AA2">
                            <w:pPr>
                              <w:rPr>
                                <w:b/>
                                <w:color w:val="000000" w:themeColor="text1"/>
                                <w:szCs w:val="24"/>
                                <w:lang w:val="en-GB"/>
                              </w:rPr>
                            </w:pPr>
                            <w:r w:rsidRPr="001C0B84">
                              <w:rPr>
                                <w:b/>
                                <w:color w:val="000000" w:themeColor="text1"/>
                                <w:szCs w:val="24"/>
                                <w:lang w:val="en-GB"/>
                              </w:rPr>
                              <w:t>Terms used in official statistics</w:t>
                            </w:r>
                          </w:p>
                          <w:p w14:paraId="7EE9502F" w14:textId="77777777" w:rsidR="00882B10" w:rsidRPr="001C0B84" w:rsidRDefault="006D20DC" w:rsidP="009F6AA2">
                            <w:pPr>
                              <w:rPr>
                                <w:rStyle w:val="Hipercze"/>
                                <w:rFonts w:cs="Arial"/>
                                <w:color w:val="001D77"/>
                                <w:sz w:val="18"/>
                                <w:szCs w:val="30"/>
                                <w:shd w:val="clear" w:color="auto" w:fill="F0F0F0"/>
                                <w:lang w:val="en-GB"/>
                              </w:rPr>
                            </w:pPr>
                            <w:hyperlink r:id="rId48" w:history="1">
                              <w:r w:rsidR="00882B10" w:rsidRPr="001C0B84">
                                <w:rPr>
                                  <w:rStyle w:val="Hipercze"/>
                                  <w:rFonts w:cs="Arial"/>
                                  <w:color w:val="001D77"/>
                                  <w:sz w:val="18"/>
                                  <w:szCs w:val="30"/>
                                  <w:shd w:val="clear" w:color="auto" w:fill="F0F0F0"/>
                                  <w:lang w:val="en-GB"/>
                                </w:rPr>
                                <w:t>Household's budget</w:t>
                              </w:r>
                            </w:hyperlink>
                          </w:p>
                          <w:p w14:paraId="7EE95030" w14:textId="77777777" w:rsidR="00882B10" w:rsidRPr="001C0B84" w:rsidRDefault="006D20DC" w:rsidP="009F6AA2">
                            <w:pPr>
                              <w:rPr>
                                <w:rStyle w:val="Hipercze"/>
                                <w:rFonts w:cs="Arial"/>
                                <w:color w:val="001D77"/>
                                <w:sz w:val="18"/>
                                <w:szCs w:val="30"/>
                                <w:shd w:val="clear" w:color="auto" w:fill="F0F0F0"/>
                                <w:lang w:val="en-GB"/>
                              </w:rPr>
                            </w:pPr>
                            <w:hyperlink r:id="rId49" w:history="1">
                              <w:r w:rsidR="00882B10" w:rsidRPr="001C0B84">
                                <w:rPr>
                                  <w:rStyle w:val="Hipercze"/>
                                  <w:rFonts w:cs="Arial"/>
                                  <w:color w:val="001D77"/>
                                  <w:sz w:val="18"/>
                                  <w:szCs w:val="30"/>
                                  <w:shd w:val="clear" w:color="auto" w:fill="F0F0F0"/>
                                  <w:lang w:val="en-GB"/>
                                </w:rPr>
                                <w:t>Disposable income</w:t>
                              </w:r>
                            </w:hyperlink>
                          </w:p>
                          <w:p w14:paraId="7EE95031" w14:textId="77777777" w:rsidR="00882B10" w:rsidRPr="001C0B84" w:rsidRDefault="006D20DC" w:rsidP="009F6AA2">
                            <w:pPr>
                              <w:rPr>
                                <w:rStyle w:val="Hipercze"/>
                                <w:rFonts w:cs="Arial"/>
                                <w:color w:val="001D77"/>
                                <w:sz w:val="18"/>
                                <w:szCs w:val="30"/>
                                <w:shd w:val="clear" w:color="auto" w:fill="F0F0F0"/>
                                <w:lang w:val="en-GB"/>
                              </w:rPr>
                            </w:pPr>
                            <w:hyperlink r:id="rId50" w:history="1">
                              <w:r w:rsidR="00882B10" w:rsidRPr="001C0B84">
                                <w:rPr>
                                  <w:rStyle w:val="Hipercze"/>
                                  <w:rFonts w:cs="Arial"/>
                                  <w:color w:val="001D77"/>
                                  <w:sz w:val="18"/>
                                  <w:szCs w:val="30"/>
                                  <w:shd w:val="clear" w:color="auto" w:fill="F0F0F0"/>
                                  <w:lang w:val="en-GB"/>
                                </w:rPr>
                                <w:t>Household's available income</w:t>
                              </w:r>
                            </w:hyperlink>
                          </w:p>
                          <w:p w14:paraId="7EE95032" w14:textId="77777777" w:rsidR="00882B10" w:rsidRPr="001C0B84" w:rsidRDefault="006D20DC" w:rsidP="009F6AA2">
                            <w:pPr>
                              <w:rPr>
                                <w:rStyle w:val="Hipercze"/>
                                <w:rFonts w:cs="Arial"/>
                                <w:color w:val="001D77"/>
                                <w:sz w:val="18"/>
                                <w:szCs w:val="30"/>
                                <w:shd w:val="clear" w:color="auto" w:fill="F0F0F0"/>
                                <w:lang w:val="en-GB"/>
                              </w:rPr>
                            </w:pPr>
                            <w:hyperlink r:id="rId51" w:history="1">
                              <w:r w:rsidR="00882B10" w:rsidRPr="001C0B84">
                                <w:rPr>
                                  <w:rStyle w:val="Hipercze"/>
                                  <w:rFonts w:cs="Arial"/>
                                  <w:color w:val="001D77"/>
                                  <w:sz w:val="18"/>
                                  <w:szCs w:val="30"/>
                                  <w:shd w:val="clear" w:color="auto" w:fill="F0F0F0"/>
                                  <w:lang w:val="en-GB"/>
                                </w:rPr>
                                <w:t>Private household</w:t>
                              </w:r>
                            </w:hyperlink>
                          </w:p>
                          <w:p w14:paraId="7EE95033" w14:textId="77777777" w:rsidR="00882B10" w:rsidRPr="00E55686" w:rsidRDefault="006D20DC" w:rsidP="009F6AA2">
                            <w:pPr>
                              <w:rPr>
                                <w:rStyle w:val="Hipercze"/>
                                <w:rFonts w:cs="Arial"/>
                                <w:color w:val="001D77"/>
                                <w:sz w:val="18"/>
                                <w:szCs w:val="30"/>
                                <w:shd w:val="clear" w:color="auto" w:fill="F0F0F0"/>
                                <w:lang w:val="en-GB"/>
                              </w:rPr>
                            </w:pPr>
                            <w:hyperlink r:id="rId52" w:history="1">
                              <w:r w:rsidR="00882B10" w:rsidRPr="00E55686">
                                <w:rPr>
                                  <w:rStyle w:val="Hipercze"/>
                                  <w:rFonts w:cs="Arial"/>
                                  <w:color w:val="001D77"/>
                                  <w:sz w:val="18"/>
                                  <w:szCs w:val="30"/>
                                  <w:shd w:val="clear" w:color="auto" w:fill="F0F0F0"/>
                                  <w:lang w:val="en-GB"/>
                                </w:rPr>
                                <w:t>Net household's receipts</w:t>
                              </w:r>
                            </w:hyperlink>
                          </w:p>
                          <w:p w14:paraId="7EE95034" w14:textId="77777777" w:rsidR="00882B10" w:rsidRPr="00E55686" w:rsidRDefault="006D20DC" w:rsidP="009F6AA2">
                            <w:pPr>
                              <w:rPr>
                                <w:rStyle w:val="Hipercze"/>
                                <w:rFonts w:cs="Arial"/>
                                <w:color w:val="001D77"/>
                                <w:sz w:val="18"/>
                                <w:szCs w:val="30"/>
                                <w:shd w:val="clear" w:color="auto" w:fill="F0F0F0"/>
                                <w:lang w:val="en-GB"/>
                              </w:rPr>
                            </w:pPr>
                            <w:hyperlink r:id="rId53" w:history="1">
                              <w:r w:rsidR="00882B10" w:rsidRPr="00E55686">
                                <w:rPr>
                                  <w:rStyle w:val="Hipercze"/>
                                  <w:rFonts w:cs="Arial"/>
                                  <w:color w:val="001D77"/>
                                  <w:sz w:val="18"/>
                                  <w:szCs w:val="30"/>
                                  <w:shd w:val="clear" w:color="auto" w:fill="F0F0F0"/>
                                  <w:lang w:val="en-GB"/>
                                </w:rPr>
                                <w:t>Net household's outgoings</w:t>
                              </w:r>
                            </w:hyperlink>
                          </w:p>
                          <w:p w14:paraId="7EE95035" w14:textId="77777777" w:rsidR="00882B10" w:rsidRPr="00E55686" w:rsidRDefault="006D20DC" w:rsidP="009F6AA2">
                            <w:pPr>
                              <w:rPr>
                                <w:rStyle w:val="Hipercze"/>
                                <w:rFonts w:cs="Arial"/>
                                <w:color w:val="001D77"/>
                                <w:sz w:val="18"/>
                                <w:szCs w:val="30"/>
                                <w:shd w:val="clear" w:color="auto" w:fill="F0F0F0"/>
                                <w:lang w:val="en-GB"/>
                              </w:rPr>
                            </w:pPr>
                            <w:hyperlink r:id="rId54" w:history="1">
                              <w:r w:rsidR="00882B10" w:rsidRPr="00E55686">
                                <w:rPr>
                                  <w:rStyle w:val="Hipercze"/>
                                  <w:rFonts w:cs="Arial"/>
                                  <w:color w:val="001D77"/>
                                  <w:sz w:val="18"/>
                                  <w:szCs w:val="30"/>
                                  <w:shd w:val="clear" w:color="auto" w:fill="F0F0F0"/>
                                  <w:lang w:val="en-GB"/>
                                </w:rPr>
                                <w:t>Quantitative consumption of foodstuffs in households per person</w:t>
                              </w:r>
                            </w:hyperlink>
                          </w:p>
                          <w:p w14:paraId="7EE95036" w14:textId="77777777" w:rsidR="00882B10" w:rsidRPr="006A6986" w:rsidRDefault="006D20DC" w:rsidP="009F6AA2">
                            <w:pPr>
                              <w:rPr>
                                <w:rStyle w:val="Hipercze"/>
                                <w:rFonts w:cs="Arial"/>
                                <w:color w:val="001D77"/>
                                <w:sz w:val="18"/>
                                <w:szCs w:val="30"/>
                                <w:shd w:val="clear" w:color="auto" w:fill="F0F0F0"/>
                                <w:lang w:val="en-GB"/>
                              </w:rPr>
                            </w:pPr>
                            <w:hyperlink r:id="rId55" w:history="1">
                              <w:r w:rsidR="00882B10" w:rsidRPr="006A6986">
                                <w:rPr>
                                  <w:rStyle w:val="Hipercze"/>
                                  <w:rFonts w:cs="Arial"/>
                                  <w:color w:val="001D77"/>
                                  <w:sz w:val="18"/>
                                  <w:szCs w:val="30"/>
                                  <w:shd w:val="clear" w:color="auto" w:fill="F0F0F0"/>
                                  <w:lang w:val="en-GB"/>
                                </w:rPr>
                                <w:t>Subjective evaluation of material situation</w:t>
                              </w:r>
                            </w:hyperlink>
                          </w:p>
                          <w:p w14:paraId="7EE95037" w14:textId="77777777" w:rsidR="00882B10" w:rsidRPr="006A6986" w:rsidRDefault="006D20DC" w:rsidP="009F6AA2">
                            <w:pPr>
                              <w:rPr>
                                <w:rStyle w:val="Hipercze"/>
                                <w:rFonts w:cs="Arial"/>
                                <w:color w:val="001D77"/>
                                <w:sz w:val="18"/>
                                <w:szCs w:val="30"/>
                                <w:shd w:val="clear" w:color="auto" w:fill="F0F0F0"/>
                                <w:lang w:val="en-GB"/>
                              </w:rPr>
                            </w:pPr>
                            <w:hyperlink r:id="rId56" w:history="1">
                              <w:r w:rsidR="00882B10" w:rsidRPr="006A6986">
                                <w:rPr>
                                  <w:rStyle w:val="Hipercze"/>
                                  <w:rFonts w:cs="Arial"/>
                                  <w:color w:val="001D77"/>
                                  <w:sz w:val="18"/>
                                  <w:szCs w:val="30"/>
                                  <w:shd w:val="clear" w:color="auto" w:fill="F0F0F0"/>
                                  <w:lang w:val="en-GB"/>
                                </w:rPr>
                                <w:t>Housing conditions</w:t>
                              </w:r>
                            </w:hyperlink>
                          </w:p>
                          <w:p w14:paraId="7EE95038" w14:textId="77777777" w:rsidR="00882B10" w:rsidRDefault="006D20DC" w:rsidP="009F6AA2">
                            <w:pPr>
                              <w:rPr>
                                <w:rStyle w:val="Hipercze"/>
                                <w:rFonts w:cs="Arial"/>
                                <w:color w:val="001D77"/>
                                <w:sz w:val="18"/>
                                <w:szCs w:val="30"/>
                                <w:shd w:val="clear" w:color="auto" w:fill="F0F0F0"/>
                                <w:lang w:val="en-GB"/>
                              </w:rPr>
                            </w:pPr>
                            <w:hyperlink r:id="rId57" w:history="1">
                              <w:r w:rsidR="00882B10" w:rsidRPr="006A6986">
                                <w:rPr>
                                  <w:rStyle w:val="Hipercze"/>
                                  <w:rFonts w:cs="Arial"/>
                                  <w:color w:val="001D77"/>
                                  <w:sz w:val="18"/>
                                  <w:szCs w:val="30"/>
                                  <w:shd w:val="clear" w:color="auto" w:fill="F0F0F0"/>
                                  <w:lang w:val="en-GB"/>
                                </w:rPr>
                                <w:t>Expenditures of a household</w:t>
                              </w:r>
                            </w:hyperlink>
                          </w:p>
                          <w:p w14:paraId="60801A8A" w14:textId="15C145EB" w:rsidR="00E10714" w:rsidRPr="00E10714" w:rsidRDefault="006D20DC" w:rsidP="009F6AA2">
                            <w:pPr>
                              <w:rPr>
                                <w:rStyle w:val="Hipercze"/>
                                <w:rFonts w:cs="Arial"/>
                                <w:color w:val="001D77"/>
                                <w:sz w:val="18"/>
                                <w:szCs w:val="30"/>
                                <w:shd w:val="clear" w:color="auto" w:fill="F0F0F0"/>
                                <w:lang w:val="en-GB"/>
                              </w:rPr>
                            </w:pPr>
                            <w:hyperlink r:id="rId58" w:history="1">
                              <w:r w:rsidR="00E10714" w:rsidRPr="00E10714">
                                <w:rPr>
                                  <w:rStyle w:val="Hipercze"/>
                                  <w:rFonts w:cs="Arial"/>
                                  <w:color w:val="001D77"/>
                                  <w:sz w:val="18"/>
                                  <w:szCs w:val="30"/>
                                  <w:shd w:val="clear" w:color="auto" w:fill="F0F0F0"/>
                                  <w:lang w:val="en-GB"/>
                                </w:rPr>
                                <w:t>Expenditures on consumer goods and services</w:t>
                              </w:r>
                            </w:hyperlink>
                          </w:p>
                          <w:p w14:paraId="4B919DBB" w14:textId="77777777" w:rsidR="00882B10" w:rsidRPr="00941240" w:rsidRDefault="006D20DC" w:rsidP="00FE1BC1">
                            <w:pPr>
                              <w:rPr>
                                <w:rStyle w:val="Hipercze"/>
                                <w:rFonts w:cs="Arial"/>
                                <w:color w:val="001D77"/>
                                <w:sz w:val="18"/>
                                <w:szCs w:val="30"/>
                                <w:shd w:val="clear" w:color="auto" w:fill="F0F0F0"/>
                                <w:lang w:val="en-GB"/>
                              </w:rPr>
                            </w:pPr>
                            <w:hyperlink r:id="rId59" w:history="1">
                              <w:r w:rsidR="00882B10" w:rsidRPr="00941240">
                                <w:rPr>
                                  <w:rStyle w:val="Hipercze"/>
                                  <w:rFonts w:cs="Arial"/>
                                  <w:color w:val="001D77"/>
                                  <w:sz w:val="18"/>
                                  <w:szCs w:val="30"/>
                                  <w:shd w:val="clear" w:color="auto" w:fill="F0F0F0"/>
                                  <w:lang w:val="en-GB"/>
                                </w:rPr>
                                <w:t>Household's equipment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E94FE0" id="_x0000_t202" coordsize="21600,21600" o:spt="202" path="m,l,21600r21600,l21600,xe">
                <v:stroke joinstyle="miter"/>
                <v:path gradientshapeok="t" o:connecttype="rect"/>
              </v:shapetype>
              <v:shape id="Pole tekstowe 2" o:spid="_x0000_s1046" type="#_x0000_t202" style="position:absolute;margin-left:0;margin-top:23.2pt;width:523.25pt;height:425.25pt;z-index:25166131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" fillcolor="#f2f2f2 [3052]" strokecolor="white [3212]">
                <v:textbox>
                  <w:txbxContent>
                    <w:p w14:paraId="7EE95025" w14:textId="77777777" w:rsidR="00882B10" w:rsidRPr="009577AD" w:rsidRDefault="00882B10" w:rsidP="009F6AA2">
                      <w:pPr>
                        <w:rPr>
                          <w:b/>
                          <w:lang w:val="en-GB"/>
                        </w:rPr>
                      </w:pPr>
                      <w:r w:rsidRPr="009577AD">
                        <w:rPr>
                          <w:b/>
                          <w:lang w:val="en-GB"/>
                        </w:rPr>
                        <w:t>Related information</w:t>
                      </w:r>
                    </w:p>
                    <w:p w14:paraId="7EE95026" w14:textId="1C491C72" w:rsidR="00882B10" w:rsidRDefault="00784644" w:rsidP="009F6AA2">
                      <w:pPr>
                        <w:rPr>
                          <w:rStyle w:val="Hipercze"/>
                          <w:rFonts w:cs="Arial"/>
                          <w:color w:val="001D77"/>
                          <w:sz w:val="18"/>
                          <w:szCs w:val="30"/>
                          <w:shd w:val="clear" w:color="auto" w:fill="F0F0F0"/>
                          <w:lang w:val="en-GB"/>
                        </w:rPr>
                      </w:pPr>
                      <w:hyperlink r:id="rId60" w:history="1">
                        <w:r w:rsidR="00216E87" w:rsidRPr="00216E87">
                          <w:rPr>
                            <w:rStyle w:val="Hipercze"/>
                            <w:rFonts w:cs="Arial"/>
                            <w:color w:val="001D77"/>
                            <w:sz w:val="18"/>
                            <w:szCs w:val="30"/>
                            <w:shd w:val="clear" w:color="auto" w:fill="F0F0F0"/>
                            <w:lang w:val="en-GB"/>
                          </w:rPr>
                          <w:t>Household Budget Survey in 2023</w:t>
                        </w:r>
                      </w:hyperlink>
                    </w:p>
                    <w:p w14:paraId="3BD4FEEE" w14:textId="3DF998CE" w:rsidR="00216E87" w:rsidRPr="00216E87" w:rsidRDefault="00784644" w:rsidP="009F6AA2">
                      <w:pPr>
                        <w:rPr>
                          <w:rStyle w:val="Hipercze"/>
                          <w:rFonts w:cs="Arial"/>
                          <w:color w:val="001D77"/>
                          <w:sz w:val="18"/>
                          <w:szCs w:val="30"/>
                          <w:shd w:val="clear" w:color="auto" w:fill="F0F0F0"/>
                          <w:lang w:val="en-GB"/>
                        </w:rPr>
                      </w:pPr>
                      <w:hyperlink r:id="rId61" w:history="1">
                        <w:r w:rsidR="00216E87" w:rsidRPr="00216E87">
                          <w:rPr>
                            <w:rStyle w:val="Hipercze"/>
                            <w:rFonts w:cs="Arial"/>
                            <w:color w:val="001D77"/>
                            <w:sz w:val="18"/>
                            <w:szCs w:val="30"/>
                            <w:shd w:val="clear" w:color="auto" w:fill="F0F0F0"/>
                            <w:lang w:val="en-GB"/>
                          </w:rPr>
                          <w:t>The situation of households in 2023 on the basis of results of the Household Budget Survey</w:t>
                        </w:r>
                      </w:hyperlink>
                    </w:p>
                    <w:p w14:paraId="365559C9" w14:textId="505CBAB8" w:rsidR="00882B10" w:rsidRPr="00216E87" w:rsidRDefault="00882B10" w:rsidP="009F6AA2">
                      <w:pPr>
                        <w:rPr>
                          <w:rStyle w:val="Hipercze"/>
                          <w:rFonts w:cs="Arial"/>
                          <w:color w:val="001D77"/>
                          <w:sz w:val="18"/>
                          <w:szCs w:val="30"/>
                          <w:shd w:val="clear" w:color="auto" w:fill="F0F0F0"/>
                          <w:lang w:val="en-GB"/>
                        </w:rPr>
                      </w:pPr>
                      <w:r w:rsidRPr="00FE1BC1">
                        <w:rPr>
                          <w:rStyle w:val="Hipercze"/>
                          <w:rFonts w:cs="Arial"/>
                          <w:color w:val="001D77"/>
                          <w:sz w:val="18"/>
                          <w:szCs w:val="30"/>
                          <w:shd w:val="clear" w:color="auto" w:fill="F0F0F0"/>
                          <w:lang w:val="en-GB"/>
                        </w:rPr>
                        <w:fldChar w:fldCharType="begin"/>
                      </w:r>
                      <w:r w:rsidRPr="00FE1BC1">
                        <w:rPr>
                          <w:rStyle w:val="Hipercze"/>
                          <w:rFonts w:cs="Arial"/>
                          <w:color w:val="001D77"/>
                          <w:sz w:val="18"/>
                          <w:szCs w:val="30"/>
                          <w:shd w:val="clear" w:color="auto" w:fill="F0F0F0"/>
                          <w:lang w:val="en-GB"/>
                        </w:rPr>
                        <w:instrText xml:space="preserve"> HYPERLINK "https://stat.gov.pl/en/topics/living-conditions/living-conditions/support-granted-by-households-to-the-inhabitants-of-ukraine-in-the-first-half-of-2022-on-the-basis-of-results-of-the-household-budget-survey,15,1.html" </w:instrText>
                      </w:r>
                      <w:r w:rsidRPr="00FE1BC1">
                        <w:rPr>
                          <w:rStyle w:val="Hipercze"/>
                          <w:rFonts w:cs="Arial"/>
                          <w:color w:val="001D77"/>
                          <w:sz w:val="18"/>
                          <w:szCs w:val="30"/>
                          <w:shd w:val="clear" w:color="auto" w:fill="F0F0F0"/>
                          <w:lang w:val="en-GB"/>
                        </w:rPr>
                        <w:fldChar w:fldCharType="separate"/>
                      </w:r>
                      <w:r w:rsidRPr="00216E87">
                        <w:rPr>
                          <w:rStyle w:val="Hipercze"/>
                          <w:rFonts w:cs="Arial"/>
                          <w:color w:val="001D77"/>
                          <w:sz w:val="18"/>
                          <w:szCs w:val="30"/>
                          <w:shd w:val="clear" w:color="auto" w:fill="F0F0F0"/>
                          <w:lang w:val="en-GB"/>
                        </w:rPr>
                        <w:t>Support granted by households to the inhabitants of Ukraine in the first half of 2022 on the basis of results of the Household Budget Survey</w:t>
                      </w:r>
                    </w:p>
                    <w:p w14:paraId="7EE95027" w14:textId="5ADA70EF" w:rsidR="00882B10" w:rsidRPr="00D6231E" w:rsidRDefault="00882B10" w:rsidP="009F6AA2">
                      <w:pPr>
                        <w:rPr>
                          <w:b/>
                          <w:color w:val="000000" w:themeColor="text1"/>
                          <w:szCs w:val="24"/>
                          <w:lang w:val="en-GB"/>
                        </w:rPr>
                      </w:pPr>
                      <w:r w:rsidRPr="00FE1BC1">
                        <w:rPr>
                          <w:rStyle w:val="Hipercze"/>
                          <w:rFonts w:cs="Arial"/>
                          <w:color w:val="001D77"/>
                          <w:sz w:val="18"/>
                          <w:szCs w:val="30"/>
                          <w:shd w:val="clear" w:color="auto" w:fill="F0F0F0"/>
                          <w:lang w:val="en-GB"/>
                        </w:rPr>
                        <w:fldChar w:fldCharType="end"/>
                      </w:r>
                    </w:p>
                    <w:p w14:paraId="7EE95028" w14:textId="77777777" w:rsidR="00882B10" w:rsidRPr="00D6231E" w:rsidRDefault="00882B10" w:rsidP="009F6AA2">
                      <w:pPr>
                        <w:rPr>
                          <w:b/>
                          <w:color w:val="000000" w:themeColor="text1"/>
                          <w:szCs w:val="24"/>
                          <w:lang w:val="en-GB"/>
                        </w:rPr>
                      </w:pPr>
                      <w:r w:rsidRPr="00D6231E">
                        <w:rPr>
                          <w:b/>
                          <w:color w:val="000000" w:themeColor="text1"/>
                          <w:szCs w:val="24"/>
                          <w:lang w:val="en-GB"/>
                        </w:rPr>
                        <w:t>Data available in databases</w:t>
                      </w:r>
                    </w:p>
                    <w:p w14:paraId="7EE95029" w14:textId="4647FB5A" w:rsidR="00882B10" w:rsidRPr="001C0B84" w:rsidRDefault="00784644" w:rsidP="009F6AA2">
                      <w:pPr>
                        <w:rPr>
                          <w:rStyle w:val="Hipercze"/>
                          <w:rFonts w:cs="Arial"/>
                          <w:color w:val="001D77"/>
                          <w:sz w:val="18"/>
                          <w:szCs w:val="30"/>
                          <w:shd w:val="clear" w:color="auto" w:fill="F0F0F0"/>
                          <w:lang w:val="en-GB"/>
                        </w:rPr>
                      </w:pPr>
                      <w:hyperlink r:id="rId62" w:history="1">
                        <w:r w:rsidR="00882B10" w:rsidRPr="001C0B84">
                          <w:rPr>
                            <w:rStyle w:val="Hipercze"/>
                            <w:rFonts w:cs="Arial"/>
                            <w:color w:val="001D77"/>
                            <w:sz w:val="18"/>
                            <w:szCs w:val="30"/>
                            <w:shd w:val="clear" w:color="auto" w:fill="F0F0F0"/>
                            <w:lang w:val="en-GB"/>
                          </w:rPr>
                          <w:t>LOCAL DATA BANK private households</w:t>
                        </w:r>
                      </w:hyperlink>
                    </w:p>
                    <w:p w14:paraId="7EE9502A" w14:textId="4F2D288D" w:rsidR="00882B10" w:rsidRPr="000506EC" w:rsidRDefault="00784644" w:rsidP="009F6AA2">
                      <w:pPr>
                        <w:rPr>
                          <w:rStyle w:val="Hipercze"/>
                          <w:rFonts w:cs="Arial"/>
                          <w:color w:val="001D77"/>
                          <w:sz w:val="18"/>
                          <w:szCs w:val="30"/>
                          <w:shd w:val="clear" w:color="auto" w:fill="F0F0F0"/>
                          <w:lang w:val="en-GB"/>
                        </w:rPr>
                      </w:pPr>
                      <w:hyperlink r:id="rId63" w:history="1">
                        <w:r w:rsidR="000506EC" w:rsidRPr="000506EC">
                          <w:rPr>
                            <w:rStyle w:val="Hipercze"/>
                            <w:rFonts w:cs="Arial"/>
                            <w:color w:val="001D77"/>
                            <w:sz w:val="18"/>
                            <w:szCs w:val="30"/>
                            <w:shd w:val="clear" w:color="auto" w:fill="F0F0F0"/>
                            <w:lang w:val="en-GB"/>
                          </w:rPr>
                          <w:t>KNOWLEDGE DATABASES Living conditions of the population</w:t>
                        </w:r>
                      </w:hyperlink>
                    </w:p>
                    <w:p w14:paraId="7EE9502D" w14:textId="77777777" w:rsidR="00882B10" w:rsidRPr="001C0B84" w:rsidRDefault="00882B10" w:rsidP="009F6AA2">
                      <w:pPr>
                        <w:rPr>
                          <w:color w:val="001D77"/>
                          <w:szCs w:val="24"/>
                          <w:lang w:val="en-GB"/>
                        </w:rPr>
                      </w:pPr>
                    </w:p>
                    <w:p w14:paraId="7EE9502E" w14:textId="77777777" w:rsidR="00882B10" w:rsidRPr="001C0B84" w:rsidRDefault="00882B10" w:rsidP="009F6AA2">
                      <w:pPr>
                        <w:rPr>
                          <w:b/>
                          <w:color w:val="000000" w:themeColor="text1"/>
                          <w:szCs w:val="24"/>
                          <w:lang w:val="en-GB"/>
                        </w:rPr>
                      </w:pPr>
                      <w:r w:rsidRPr="001C0B84">
                        <w:rPr>
                          <w:b/>
                          <w:color w:val="000000" w:themeColor="text1"/>
                          <w:szCs w:val="24"/>
                          <w:lang w:val="en-GB"/>
                        </w:rPr>
                        <w:t>Terms used in official statistics</w:t>
                      </w:r>
                    </w:p>
                    <w:p w14:paraId="7EE9502F" w14:textId="77777777" w:rsidR="00882B10" w:rsidRPr="001C0B84" w:rsidRDefault="00784644" w:rsidP="009F6AA2">
                      <w:pPr>
                        <w:rPr>
                          <w:rStyle w:val="Hipercze"/>
                          <w:rFonts w:cs="Arial"/>
                          <w:color w:val="001D77"/>
                          <w:sz w:val="18"/>
                          <w:szCs w:val="30"/>
                          <w:shd w:val="clear" w:color="auto" w:fill="F0F0F0"/>
                          <w:lang w:val="en-GB"/>
                        </w:rPr>
                      </w:pPr>
                      <w:hyperlink r:id="rId64" w:history="1">
                        <w:r w:rsidR="00882B10" w:rsidRPr="001C0B84">
                          <w:rPr>
                            <w:rStyle w:val="Hipercze"/>
                            <w:rFonts w:cs="Arial"/>
                            <w:color w:val="001D77"/>
                            <w:sz w:val="18"/>
                            <w:szCs w:val="30"/>
                            <w:shd w:val="clear" w:color="auto" w:fill="F0F0F0"/>
                            <w:lang w:val="en-GB"/>
                          </w:rPr>
                          <w:t>Household's budget</w:t>
                        </w:r>
                      </w:hyperlink>
                    </w:p>
                    <w:p w14:paraId="7EE95030" w14:textId="77777777" w:rsidR="00882B10" w:rsidRPr="001C0B84" w:rsidRDefault="00784644" w:rsidP="009F6AA2">
                      <w:pPr>
                        <w:rPr>
                          <w:rStyle w:val="Hipercze"/>
                          <w:rFonts w:cs="Arial"/>
                          <w:color w:val="001D77"/>
                          <w:sz w:val="18"/>
                          <w:szCs w:val="30"/>
                          <w:shd w:val="clear" w:color="auto" w:fill="F0F0F0"/>
                          <w:lang w:val="en-GB"/>
                        </w:rPr>
                      </w:pPr>
                      <w:hyperlink r:id="rId65" w:history="1">
                        <w:r w:rsidR="00882B10" w:rsidRPr="001C0B84">
                          <w:rPr>
                            <w:rStyle w:val="Hipercze"/>
                            <w:rFonts w:cs="Arial"/>
                            <w:color w:val="001D77"/>
                            <w:sz w:val="18"/>
                            <w:szCs w:val="30"/>
                            <w:shd w:val="clear" w:color="auto" w:fill="F0F0F0"/>
                            <w:lang w:val="en-GB"/>
                          </w:rPr>
                          <w:t>Disposable income</w:t>
                        </w:r>
                      </w:hyperlink>
                    </w:p>
                    <w:p w14:paraId="7EE95031" w14:textId="77777777" w:rsidR="00882B10" w:rsidRPr="001C0B84" w:rsidRDefault="00784644" w:rsidP="009F6AA2">
                      <w:pPr>
                        <w:rPr>
                          <w:rStyle w:val="Hipercze"/>
                          <w:rFonts w:cs="Arial"/>
                          <w:color w:val="001D77"/>
                          <w:sz w:val="18"/>
                          <w:szCs w:val="30"/>
                          <w:shd w:val="clear" w:color="auto" w:fill="F0F0F0"/>
                          <w:lang w:val="en-GB"/>
                        </w:rPr>
                      </w:pPr>
                      <w:hyperlink r:id="rId66" w:history="1">
                        <w:r w:rsidR="00882B10" w:rsidRPr="001C0B84">
                          <w:rPr>
                            <w:rStyle w:val="Hipercze"/>
                            <w:rFonts w:cs="Arial"/>
                            <w:color w:val="001D77"/>
                            <w:sz w:val="18"/>
                            <w:szCs w:val="30"/>
                            <w:shd w:val="clear" w:color="auto" w:fill="F0F0F0"/>
                            <w:lang w:val="en-GB"/>
                          </w:rPr>
                          <w:t>Household's available income</w:t>
                        </w:r>
                      </w:hyperlink>
                    </w:p>
                    <w:p w14:paraId="7EE95032" w14:textId="77777777" w:rsidR="00882B10" w:rsidRPr="001C0B84" w:rsidRDefault="00784644" w:rsidP="009F6AA2">
                      <w:pPr>
                        <w:rPr>
                          <w:rStyle w:val="Hipercze"/>
                          <w:rFonts w:cs="Arial"/>
                          <w:color w:val="001D77"/>
                          <w:sz w:val="18"/>
                          <w:szCs w:val="30"/>
                          <w:shd w:val="clear" w:color="auto" w:fill="F0F0F0"/>
                          <w:lang w:val="en-GB"/>
                        </w:rPr>
                      </w:pPr>
                      <w:hyperlink r:id="rId67" w:history="1">
                        <w:r w:rsidR="00882B10" w:rsidRPr="001C0B84">
                          <w:rPr>
                            <w:rStyle w:val="Hipercze"/>
                            <w:rFonts w:cs="Arial"/>
                            <w:color w:val="001D77"/>
                            <w:sz w:val="18"/>
                            <w:szCs w:val="30"/>
                            <w:shd w:val="clear" w:color="auto" w:fill="F0F0F0"/>
                            <w:lang w:val="en-GB"/>
                          </w:rPr>
                          <w:t>Private household</w:t>
                        </w:r>
                      </w:hyperlink>
                    </w:p>
                    <w:p w14:paraId="7EE95033" w14:textId="77777777" w:rsidR="00882B10" w:rsidRPr="00E55686" w:rsidRDefault="00784644" w:rsidP="009F6AA2">
                      <w:pPr>
                        <w:rPr>
                          <w:rStyle w:val="Hipercze"/>
                          <w:rFonts w:cs="Arial"/>
                          <w:color w:val="001D77"/>
                          <w:sz w:val="18"/>
                          <w:szCs w:val="30"/>
                          <w:shd w:val="clear" w:color="auto" w:fill="F0F0F0"/>
                          <w:lang w:val="en-GB"/>
                        </w:rPr>
                      </w:pPr>
                      <w:hyperlink r:id="rId68" w:history="1">
                        <w:r w:rsidR="00882B10" w:rsidRPr="00E55686">
                          <w:rPr>
                            <w:rStyle w:val="Hipercze"/>
                            <w:rFonts w:cs="Arial"/>
                            <w:color w:val="001D77"/>
                            <w:sz w:val="18"/>
                            <w:szCs w:val="30"/>
                            <w:shd w:val="clear" w:color="auto" w:fill="F0F0F0"/>
                            <w:lang w:val="en-GB"/>
                          </w:rPr>
                          <w:t>Net household's receipts</w:t>
                        </w:r>
                      </w:hyperlink>
                    </w:p>
                    <w:p w14:paraId="7EE95034" w14:textId="77777777" w:rsidR="00882B10" w:rsidRPr="00E55686" w:rsidRDefault="00784644" w:rsidP="009F6AA2">
                      <w:pPr>
                        <w:rPr>
                          <w:rStyle w:val="Hipercze"/>
                          <w:rFonts w:cs="Arial"/>
                          <w:color w:val="001D77"/>
                          <w:sz w:val="18"/>
                          <w:szCs w:val="30"/>
                          <w:shd w:val="clear" w:color="auto" w:fill="F0F0F0"/>
                          <w:lang w:val="en-GB"/>
                        </w:rPr>
                      </w:pPr>
                      <w:hyperlink r:id="rId69" w:history="1">
                        <w:r w:rsidR="00882B10" w:rsidRPr="00E55686">
                          <w:rPr>
                            <w:rStyle w:val="Hipercze"/>
                            <w:rFonts w:cs="Arial"/>
                            <w:color w:val="001D77"/>
                            <w:sz w:val="18"/>
                            <w:szCs w:val="30"/>
                            <w:shd w:val="clear" w:color="auto" w:fill="F0F0F0"/>
                            <w:lang w:val="en-GB"/>
                          </w:rPr>
                          <w:t>Net household's outgoings</w:t>
                        </w:r>
                      </w:hyperlink>
                    </w:p>
                    <w:p w14:paraId="7EE95035" w14:textId="77777777" w:rsidR="00882B10" w:rsidRPr="00E55686" w:rsidRDefault="00784644" w:rsidP="009F6AA2">
                      <w:pPr>
                        <w:rPr>
                          <w:rStyle w:val="Hipercze"/>
                          <w:rFonts w:cs="Arial"/>
                          <w:color w:val="001D77"/>
                          <w:sz w:val="18"/>
                          <w:szCs w:val="30"/>
                          <w:shd w:val="clear" w:color="auto" w:fill="F0F0F0"/>
                          <w:lang w:val="en-GB"/>
                        </w:rPr>
                      </w:pPr>
                      <w:hyperlink r:id="rId70" w:history="1">
                        <w:r w:rsidR="00882B10" w:rsidRPr="00E55686">
                          <w:rPr>
                            <w:rStyle w:val="Hipercze"/>
                            <w:rFonts w:cs="Arial"/>
                            <w:color w:val="001D77"/>
                            <w:sz w:val="18"/>
                            <w:szCs w:val="30"/>
                            <w:shd w:val="clear" w:color="auto" w:fill="F0F0F0"/>
                            <w:lang w:val="en-GB"/>
                          </w:rPr>
                          <w:t>Quantitative consumption of foodstuffs in households per person</w:t>
                        </w:r>
                      </w:hyperlink>
                    </w:p>
                    <w:p w14:paraId="7EE95036" w14:textId="77777777" w:rsidR="00882B10" w:rsidRPr="006A6986" w:rsidRDefault="00784644" w:rsidP="009F6AA2">
                      <w:pPr>
                        <w:rPr>
                          <w:rStyle w:val="Hipercze"/>
                          <w:rFonts w:cs="Arial"/>
                          <w:color w:val="001D77"/>
                          <w:sz w:val="18"/>
                          <w:szCs w:val="30"/>
                          <w:shd w:val="clear" w:color="auto" w:fill="F0F0F0"/>
                          <w:lang w:val="en-GB"/>
                        </w:rPr>
                      </w:pPr>
                      <w:hyperlink r:id="rId71" w:history="1">
                        <w:r w:rsidR="00882B10" w:rsidRPr="006A6986">
                          <w:rPr>
                            <w:rStyle w:val="Hipercze"/>
                            <w:rFonts w:cs="Arial"/>
                            <w:color w:val="001D77"/>
                            <w:sz w:val="18"/>
                            <w:szCs w:val="30"/>
                            <w:shd w:val="clear" w:color="auto" w:fill="F0F0F0"/>
                            <w:lang w:val="en-GB"/>
                          </w:rPr>
                          <w:t>Subjective evaluation of material situation</w:t>
                        </w:r>
                      </w:hyperlink>
                    </w:p>
                    <w:p w14:paraId="7EE95037" w14:textId="77777777" w:rsidR="00882B10" w:rsidRPr="006A6986" w:rsidRDefault="00784644" w:rsidP="009F6AA2">
                      <w:pPr>
                        <w:rPr>
                          <w:rStyle w:val="Hipercze"/>
                          <w:rFonts w:cs="Arial"/>
                          <w:color w:val="001D77"/>
                          <w:sz w:val="18"/>
                          <w:szCs w:val="30"/>
                          <w:shd w:val="clear" w:color="auto" w:fill="F0F0F0"/>
                          <w:lang w:val="en-GB"/>
                        </w:rPr>
                      </w:pPr>
                      <w:hyperlink r:id="rId72" w:history="1">
                        <w:r w:rsidR="00882B10" w:rsidRPr="006A6986">
                          <w:rPr>
                            <w:rStyle w:val="Hipercze"/>
                            <w:rFonts w:cs="Arial"/>
                            <w:color w:val="001D77"/>
                            <w:sz w:val="18"/>
                            <w:szCs w:val="30"/>
                            <w:shd w:val="clear" w:color="auto" w:fill="F0F0F0"/>
                            <w:lang w:val="en-GB"/>
                          </w:rPr>
                          <w:t>Housing conditions</w:t>
                        </w:r>
                      </w:hyperlink>
                    </w:p>
                    <w:p w14:paraId="7EE95038" w14:textId="77777777" w:rsidR="00882B10" w:rsidRDefault="00784644" w:rsidP="009F6AA2">
                      <w:pPr>
                        <w:rPr>
                          <w:rStyle w:val="Hipercze"/>
                          <w:rFonts w:cs="Arial"/>
                          <w:color w:val="001D77"/>
                          <w:sz w:val="18"/>
                          <w:szCs w:val="30"/>
                          <w:shd w:val="clear" w:color="auto" w:fill="F0F0F0"/>
                          <w:lang w:val="en-GB"/>
                        </w:rPr>
                      </w:pPr>
                      <w:hyperlink r:id="rId73" w:history="1">
                        <w:r w:rsidR="00882B10" w:rsidRPr="006A6986">
                          <w:rPr>
                            <w:rStyle w:val="Hipercze"/>
                            <w:rFonts w:cs="Arial"/>
                            <w:color w:val="001D77"/>
                            <w:sz w:val="18"/>
                            <w:szCs w:val="30"/>
                            <w:shd w:val="clear" w:color="auto" w:fill="F0F0F0"/>
                            <w:lang w:val="en-GB"/>
                          </w:rPr>
                          <w:t>Expenditures of a household</w:t>
                        </w:r>
                      </w:hyperlink>
                    </w:p>
                    <w:p w14:paraId="60801A8A" w14:textId="15C145EB" w:rsidR="00E10714" w:rsidRPr="00E10714" w:rsidRDefault="00784644" w:rsidP="009F6AA2">
                      <w:pPr>
                        <w:rPr>
                          <w:rStyle w:val="Hipercze"/>
                          <w:rFonts w:cs="Arial"/>
                          <w:color w:val="001D77"/>
                          <w:sz w:val="18"/>
                          <w:szCs w:val="30"/>
                          <w:shd w:val="clear" w:color="auto" w:fill="F0F0F0"/>
                          <w:lang w:val="en-GB"/>
                        </w:rPr>
                      </w:pPr>
                      <w:hyperlink r:id="rId74" w:history="1">
                        <w:r w:rsidR="00E10714" w:rsidRPr="00E10714">
                          <w:rPr>
                            <w:rStyle w:val="Hipercze"/>
                            <w:rFonts w:cs="Arial"/>
                            <w:color w:val="001D77"/>
                            <w:sz w:val="18"/>
                            <w:szCs w:val="30"/>
                            <w:shd w:val="clear" w:color="auto" w:fill="F0F0F0"/>
                            <w:lang w:val="en-GB"/>
                          </w:rPr>
                          <w:t>Expenditures on consumer goods and services</w:t>
                        </w:r>
                      </w:hyperlink>
                    </w:p>
                    <w:p w14:paraId="4B919DBB" w14:textId="77777777" w:rsidR="00882B10" w:rsidRPr="00941240" w:rsidRDefault="00784644" w:rsidP="00FE1BC1">
                      <w:pPr>
                        <w:rPr>
                          <w:rStyle w:val="Hipercze"/>
                          <w:rFonts w:cs="Arial"/>
                          <w:color w:val="001D77"/>
                          <w:sz w:val="18"/>
                          <w:szCs w:val="30"/>
                          <w:shd w:val="clear" w:color="auto" w:fill="F0F0F0"/>
                          <w:lang w:val="en-GB"/>
                        </w:rPr>
                      </w:pPr>
                      <w:hyperlink r:id="rId75" w:history="1">
                        <w:r w:rsidR="00882B10" w:rsidRPr="00941240">
                          <w:rPr>
                            <w:rStyle w:val="Hipercze"/>
                            <w:rFonts w:cs="Arial"/>
                            <w:color w:val="001D77"/>
                            <w:sz w:val="18"/>
                            <w:szCs w:val="30"/>
                            <w:shd w:val="clear" w:color="auto" w:fill="F0F0F0"/>
                            <w:lang w:val="en-GB"/>
                          </w:rPr>
                          <w:t>Household's equipment</w:t>
                        </w:r>
                      </w:hyperlink>
                    </w:p>
                  </w:txbxContent>
                </v:textbox>
                <w10:wrap type="square" anchorx="page"/>
              </v:shape>
            </w:pict>
          </mc:Fallback>
        </mc:AlternateContent>
      </w:r>
    </w:p>
    <w:sectPr w:rsidR="00474A3A" w:rsidRPr="003B33FE" w:rsidSect="00E240FE">
      <w:headerReference w:type="default" r:id="rId76"/>
      <w:footerReference w:type="default" r:id="rId77"/>
      <w:pgSz w:w="11906" w:h="16838"/>
      <w:pgMar w:top="720" w:right="3119" w:bottom="720" w:left="720" w:header="17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B19565" w14:textId="77777777" w:rsidR="004F13A9" w:rsidRDefault="004F13A9" w:rsidP="000662E2">
      <w:pPr>
        <w:spacing w:after="0" w:line="240" w:lineRule="auto"/>
      </w:pPr>
      <w:r>
        <w:separator/>
      </w:r>
    </w:p>
  </w:endnote>
  <w:endnote w:type="continuationSeparator" w:id="0">
    <w:p w14:paraId="502F151C" w14:textId="77777777" w:rsidR="004F13A9" w:rsidRDefault="004F13A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34FA49FA-2310-41A6-A811-9851E1EC65F6}"/>
    <w:embedBold r:id="rId2" w:fontKey="{11630AF1-0F36-46A6-8DFC-DBF436BB62B5}"/>
    <w:embedItalic r:id="rId3" w:fontKey="{2D5401ED-501A-4D3A-B1B6-D6A9FA8A2A09}"/>
    <w:embedBoldItalic r:id="rId4" w:fontKey="{E39979BF-799B-4528-B761-13358FD6705E}"/>
  </w:font>
  <w:font w:name="Fira Sans">
    <w:panose1 w:val="020B0503050000020004"/>
    <w:charset w:val="EE"/>
    <w:family w:val="swiss"/>
    <w:pitch w:val="variable"/>
    <w:sig w:usb0="600002FF" w:usb1="02000001" w:usb2="00000000" w:usb3="00000000" w:csb0="0000019F" w:csb1="00000000"/>
    <w:embedRegular r:id="rId5" w:fontKey="{E20C1A9B-FCB8-4039-B29F-A26FFCC4B22A}"/>
    <w:embedBold r:id="rId6" w:fontKey="{99021ACD-505B-4CBB-BE15-AB335D0A1A42}"/>
    <w:embedItalic r:id="rId7" w:fontKey="{D5990E10-EB77-47B6-8E6B-964D6F7F113A}"/>
    <w:embedBoldItalic r:id="rId8" w:fontKey="{E92992B1-C17D-40DA-97EE-9A828ADBA33F}"/>
  </w:font>
  <w:font w:name="Fira Sans SemiBold">
    <w:panose1 w:val="020B0603050000020004"/>
    <w:charset w:val="EE"/>
    <w:family w:val="swiss"/>
    <w:pitch w:val="variable"/>
    <w:sig w:usb0="600002FF" w:usb1="02000001" w:usb2="00000000" w:usb3="00000000" w:csb0="0000019F" w:csb1="00000000"/>
    <w:embedRegular r:id="rId9" w:fontKey="{C0FBF476-C4B8-4A01-88A3-7ECF77701E4E}"/>
  </w:font>
  <w:font w:name="Fira Sans Medium">
    <w:panose1 w:val="020B0603050000020004"/>
    <w:charset w:val="EE"/>
    <w:family w:val="swiss"/>
    <w:pitch w:val="variable"/>
    <w:sig w:usb0="600002FF" w:usb1="02000001" w:usb2="00000000" w:usb3="00000000" w:csb0="0000019F" w:csb1="00000000"/>
    <w:embedRegular r:id="rId10" w:fontKey="{3CBE428B-084E-4EF0-B13A-B0A98B85E4A7}"/>
    <w:embedBold r:id="rId11" w:fontKey="{CC913CF4-0364-4E66-BC09-BB259E33F6E9}"/>
    <w:embedItalic r:id="rId12" w:fontKey="{EF454042-47EF-427F-9576-3A14B9618108}"/>
  </w:font>
  <w:font w:name="Segoe UI">
    <w:panose1 w:val="020B0502040204020203"/>
    <w:charset w:val="EE"/>
    <w:family w:val="swiss"/>
    <w:pitch w:val="variable"/>
    <w:sig w:usb0="E4002EFF" w:usb1="C000E47F" w:usb2="00000009" w:usb3="00000000" w:csb0="000001FF" w:csb1="00000000"/>
    <w:embedRegular r:id="rId13" w:fontKey="{729C3A5B-BABE-4DCE-BA21-933568B5B6CC}"/>
  </w:font>
  <w:font w:name="Fira Sans Extra Condensed SemiB">
    <w:panose1 w:val="020B0603050000020004"/>
    <w:charset w:val="EE"/>
    <w:family w:val="swiss"/>
    <w:pitch w:val="variable"/>
    <w:sig w:usb0="600002FF" w:usb1="00000001" w:usb2="00000000" w:usb3="00000000" w:csb0="0000019F" w:csb1="00000000"/>
    <w:embedRegular r:id="rId14" w:fontKey="{D573715D-0F38-4EDD-AB0B-8947A973CCD9}"/>
    <w:embedItalic r:id="rId15" w:fontKey="{D193CF61-23DB-4B72-BE80-1EFA552E7DDF}"/>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6" w:fontKey="{07759B63-4127-41EF-A6D0-3EF1811484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510229"/>
      <w:docPartObj>
        <w:docPartGallery w:val="Page Numbers (Bottom of Page)"/>
        <w:docPartUnique/>
      </w:docPartObj>
    </w:sdtPr>
    <w:sdtEndPr/>
    <w:sdtContent>
      <w:p w14:paraId="7EE94FED" w14:textId="77777777" w:rsidR="00882B10" w:rsidRDefault="00882B10" w:rsidP="003B18B6">
        <w:pPr>
          <w:pStyle w:val="Stopka"/>
          <w:jc w:val="center"/>
        </w:pPr>
        <w:r>
          <w:rPr>
            <w:noProof/>
          </w:rPr>
          <w:fldChar w:fldCharType="begin"/>
        </w:r>
        <w:r>
          <w:rPr>
            <w:noProof/>
          </w:rPr>
          <w:instrText>PAGE   \* MERGEFORMAT</w:instrText>
        </w:r>
        <w:r>
          <w:rPr>
            <w:noProof/>
          </w:rPr>
          <w:fldChar w:fldCharType="separate"/>
        </w:r>
        <w:r w:rsidR="006D20DC">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1728881"/>
      <w:docPartObj>
        <w:docPartGallery w:val="Page Numbers (Bottom of Page)"/>
        <w:docPartUnique/>
      </w:docPartObj>
    </w:sdtPr>
    <w:sdtEndPr/>
    <w:sdtContent>
      <w:p w14:paraId="7EE94FF0" w14:textId="77777777" w:rsidR="00882B10" w:rsidRDefault="00882B10" w:rsidP="003B18B6">
        <w:pPr>
          <w:pStyle w:val="Stopka"/>
          <w:jc w:val="center"/>
        </w:pPr>
        <w:r>
          <w:rPr>
            <w:noProof/>
          </w:rPr>
          <w:fldChar w:fldCharType="begin"/>
        </w:r>
        <w:r>
          <w:rPr>
            <w:noProof/>
          </w:rPr>
          <w:instrText>PAGE   \* MERGEFORMAT</w:instrText>
        </w:r>
        <w:r>
          <w:rPr>
            <w:noProof/>
          </w:rPr>
          <w:fldChar w:fldCharType="separate"/>
        </w:r>
        <w:r w:rsidR="006D20DC">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7EE94FF2" w14:textId="77777777" w:rsidR="00882B10" w:rsidRDefault="00882B10" w:rsidP="003B18B6">
        <w:pPr>
          <w:pStyle w:val="Stopka"/>
          <w:jc w:val="center"/>
        </w:pPr>
        <w:r>
          <w:rPr>
            <w:noProof/>
          </w:rPr>
          <w:fldChar w:fldCharType="begin"/>
        </w:r>
        <w:r>
          <w:rPr>
            <w:noProof/>
          </w:rPr>
          <w:instrText>PAGE   \* MERGEFORMAT</w:instrText>
        </w:r>
        <w:r>
          <w:rPr>
            <w:noProof/>
          </w:rPr>
          <w:fldChar w:fldCharType="separate"/>
        </w:r>
        <w:r w:rsidR="006D20DC">
          <w:rPr>
            <w:noProof/>
          </w:rPr>
          <w:t>17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34089" w14:textId="77777777" w:rsidR="004F13A9" w:rsidRDefault="004F13A9" w:rsidP="000662E2">
      <w:pPr>
        <w:spacing w:after="0" w:line="240" w:lineRule="auto"/>
      </w:pPr>
      <w:r>
        <w:separator/>
      </w:r>
    </w:p>
  </w:footnote>
  <w:footnote w:type="continuationSeparator" w:id="0">
    <w:p w14:paraId="6F9D98C5" w14:textId="77777777" w:rsidR="004F13A9" w:rsidRDefault="004F13A9" w:rsidP="000662E2">
      <w:pPr>
        <w:spacing w:after="0" w:line="240" w:lineRule="auto"/>
      </w:pPr>
      <w:r>
        <w:continuationSeparator/>
      </w:r>
    </w:p>
  </w:footnote>
  <w:footnote w:id="1">
    <w:p w14:paraId="1162EDA2" w14:textId="28DBFE8B" w:rsidR="00D01E6C" w:rsidRPr="00D01E6C" w:rsidRDefault="00D01E6C" w:rsidP="005D5B8E">
      <w:pPr>
        <w:pStyle w:val="Tekstprzypisudolnego"/>
        <w:spacing w:after="120"/>
        <w:rPr>
          <w:sz w:val="16"/>
          <w:szCs w:val="16"/>
          <w:lang w:val="en-GB"/>
        </w:rPr>
      </w:pPr>
      <w:r w:rsidRPr="00D01E6C">
        <w:rPr>
          <w:rStyle w:val="Odwoanieprzypisudolnego"/>
          <w:sz w:val="16"/>
          <w:szCs w:val="16"/>
          <w:lang w:val="en-GB"/>
        </w:rPr>
        <w:footnoteRef/>
      </w:r>
      <w:r w:rsidRPr="00D01E6C">
        <w:rPr>
          <w:sz w:val="16"/>
          <w:szCs w:val="16"/>
          <w:lang w:val="en-GB"/>
        </w:rPr>
        <w:t xml:space="preserve"> Values in </w:t>
      </w:r>
      <w:r>
        <w:rPr>
          <w:sz w:val="16"/>
          <w:szCs w:val="16"/>
          <w:lang w:val="en-GB"/>
        </w:rPr>
        <w:t xml:space="preserve">the </w:t>
      </w:r>
      <w:r w:rsidRPr="00D01E6C">
        <w:rPr>
          <w:sz w:val="16"/>
          <w:szCs w:val="16"/>
          <w:lang w:val="en-GB"/>
        </w:rPr>
        <w:t>news releases are presented rounded up to 1 PLN</w:t>
      </w:r>
      <w:r>
        <w:rPr>
          <w:sz w:val="16"/>
          <w:szCs w:val="16"/>
          <w:lang w:val="en-GB"/>
        </w:rPr>
        <w:t>.</w:t>
      </w:r>
    </w:p>
  </w:footnote>
  <w:footnote w:id="2">
    <w:p w14:paraId="006DB8CB" w14:textId="7041450F" w:rsidR="000B4D50" w:rsidRPr="00BC721A" w:rsidRDefault="000B4D50" w:rsidP="005D5B8E">
      <w:pPr>
        <w:pStyle w:val="Tekstprzypisudolnego"/>
        <w:spacing w:after="120"/>
        <w:ind w:left="113" w:hanging="113"/>
        <w:rPr>
          <w:lang w:val="en-GB"/>
        </w:rPr>
      </w:pPr>
      <w:r w:rsidRPr="00AC06CA">
        <w:rPr>
          <w:rStyle w:val="Odwoanieprzypisudolnego"/>
          <w:sz w:val="16"/>
        </w:rPr>
        <w:footnoteRef/>
      </w:r>
      <w:r w:rsidRPr="00BC721A">
        <w:rPr>
          <w:sz w:val="16"/>
          <w:lang w:val="en-GB"/>
        </w:rPr>
        <w:t xml:space="preserve"> </w:t>
      </w:r>
      <w:r w:rsidRPr="006416F7">
        <w:rPr>
          <w:rFonts w:cs="Arial"/>
          <w:sz w:val="16"/>
          <w:lang w:val="en-US"/>
        </w:rPr>
        <w:t>Due to the introduction of a new classification of individual consumption by purpose in 2013, based on harmonized COICOP</w:t>
      </w:r>
      <w:r>
        <w:rPr>
          <w:rFonts w:cs="Arial"/>
          <w:sz w:val="16"/>
          <w:lang w:val="en-US"/>
        </w:rPr>
        <w:t xml:space="preserve"> classification</w:t>
      </w:r>
      <w:r w:rsidRPr="006416F7">
        <w:rPr>
          <w:rFonts w:cs="Arial"/>
          <w:sz w:val="16"/>
          <w:lang w:val="en-US"/>
        </w:rPr>
        <w:t xml:space="preserve"> for all surveys of the European Statistical System, the results for 20</w:t>
      </w:r>
      <w:r>
        <w:rPr>
          <w:rFonts w:cs="Arial"/>
          <w:sz w:val="16"/>
          <w:lang w:val="en-US"/>
        </w:rPr>
        <w:t>11</w:t>
      </w:r>
      <w:r w:rsidRPr="006416F7">
        <w:rPr>
          <w:rFonts w:cs="Arial"/>
          <w:sz w:val="16"/>
          <w:lang w:val="en-US"/>
        </w:rPr>
        <w:t>–20</w:t>
      </w:r>
      <w:r>
        <w:rPr>
          <w:rFonts w:cs="Arial"/>
          <w:sz w:val="16"/>
          <w:lang w:val="en-US"/>
        </w:rPr>
        <w:t>24</w:t>
      </w:r>
      <w:r w:rsidRPr="006416F7">
        <w:rPr>
          <w:rFonts w:cs="Arial"/>
          <w:sz w:val="16"/>
          <w:lang w:val="en-US"/>
        </w:rPr>
        <w:t xml:space="preserve"> are presented in comparable conditions – each “expenditure” item from 20</w:t>
      </w:r>
      <w:r>
        <w:rPr>
          <w:rFonts w:cs="Arial"/>
          <w:sz w:val="16"/>
          <w:lang w:val="en-US"/>
        </w:rPr>
        <w:t>11</w:t>
      </w:r>
      <w:r w:rsidRPr="006416F7">
        <w:rPr>
          <w:rFonts w:cs="Arial"/>
          <w:sz w:val="16"/>
          <w:lang w:val="en-US"/>
        </w:rPr>
        <w:t>–2012 was supplemented by the “life-insurance contributions” item.</w:t>
      </w:r>
    </w:p>
  </w:footnote>
  <w:footnote w:id="3">
    <w:p w14:paraId="271D6A70" w14:textId="5ACAF055" w:rsidR="00882B10" w:rsidRPr="0059067C" w:rsidRDefault="00882B10" w:rsidP="005D5B8E">
      <w:pPr>
        <w:pStyle w:val="Tekstprzypisudolnego"/>
        <w:spacing w:before="240" w:after="120"/>
        <w:ind w:left="113" w:hanging="113"/>
        <w:rPr>
          <w:sz w:val="16"/>
          <w:szCs w:val="16"/>
          <w:lang w:val="en-GB"/>
        </w:rPr>
      </w:pPr>
      <w:r w:rsidRPr="00ED605D">
        <w:rPr>
          <w:rStyle w:val="Odwoanieprzypisudolnego"/>
          <w:sz w:val="16"/>
          <w:szCs w:val="16"/>
        </w:rPr>
        <w:footnoteRef/>
      </w:r>
      <w:r w:rsidRPr="0059067C">
        <w:rPr>
          <w:sz w:val="16"/>
          <w:szCs w:val="16"/>
          <w:lang w:val="en-GB"/>
        </w:rPr>
        <w:t xml:space="preserve"> The average monthly income </w:t>
      </w:r>
      <w:r>
        <w:rPr>
          <w:sz w:val="16"/>
          <w:szCs w:val="16"/>
          <w:lang w:val="en-GB"/>
        </w:rPr>
        <w:t>indicator</w:t>
      </w:r>
      <w:r w:rsidRPr="0059067C">
        <w:rPr>
          <w:sz w:val="16"/>
          <w:szCs w:val="16"/>
          <w:lang w:val="en-GB"/>
        </w:rPr>
        <w:t xml:space="preserve"> is equal to the quotient of the average monthly income per capita in the surveyed group by the average monthly income per capita for the whole Poland.</w:t>
      </w:r>
    </w:p>
  </w:footnote>
  <w:footnote w:id="4">
    <w:p w14:paraId="0644F497" w14:textId="49E8A5A1" w:rsidR="00882B10" w:rsidRPr="00A571DC" w:rsidRDefault="00882B10" w:rsidP="005D5B8E">
      <w:pPr>
        <w:pStyle w:val="Tekstprzypisudolnego"/>
        <w:spacing w:after="120"/>
        <w:ind w:left="113" w:hanging="113"/>
        <w:rPr>
          <w:sz w:val="16"/>
          <w:szCs w:val="16"/>
          <w:lang w:val="en-GB"/>
        </w:rPr>
      </w:pPr>
      <w:r>
        <w:rPr>
          <w:rStyle w:val="Odwoanieprzypisudolnego"/>
          <w:sz w:val="16"/>
          <w:szCs w:val="16"/>
        </w:rPr>
        <w:footnoteRef/>
      </w:r>
      <w:r w:rsidRPr="00A571DC">
        <w:rPr>
          <w:sz w:val="16"/>
          <w:szCs w:val="16"/>
          <w:lang w:val="en-GB"/>
        </w:rPr>
        <w:t xml:space="preserve"> </w:t>
      </w:r>
      <w:r w:rsidRPr="0059067C">
        <w:rPr>
          <w:sz w:val="16"/>
          <w:szCs w:val="16"/>
          <w:lang w:val="en-GB"/>
        </w:rPr>
        <w:t xml:space="preserve">The average monthly </w:t>
      </w:r>
      <w:r>
        <w:rPr>
          <w:sz w:val="16"/>
          <w:szCs w:val="16"/>
          <w:lang w:val="en-GB"/>
        </w:rPr>
        <w:t>expenditure</w:t>
      </w:r>
      <w:r w:rsidRPr="0059067C">
        <w:rPr>
          <w:sz w:val="16"/>
          <w:szCs w:val="16"/>
          <w:lang w:val="en-GB"/>
        </w:rPr>
        <w:t xml:space="preserve"> </w:t>
      </w:r>
      <w:r>
        <w:rPr>
          <w:sz w:val="16"/>
          <w:szCs w:val="16"/>
          <w:lang w:val="en-GB"/>
        </w:rPr>
        <w:t>indicator</w:t>
      </w:r>
      <w:r w:rsidRPr="0059067C">
        <w:rPr>
          <w:sz w:val="16"/>
          <w:szCs w:val="16"/>
          <w:lang w:val="en-GB"/>
        </w:rPr>
        <w:t xml:space="preserve"> is equal to the quotient of the average monthly </w:t>
      </w:r>
      <w:r>
        <w:rPr>
          <w:sz w:val="16"/>
          <w:szCs w:val="16"/>
          <w:lang w:val="en-GB"/>
        </w:rPr>
        <w:t>expenditure</w:t>
      </w:r>
      <w:r w:rsidRPr="0059067C">
        <w:rPr>
          <w:sz w:val="16"/>
          <w:szCs w:val="16"/>
          <w:lang w:val="en-GB"/>
        </w:rPr>
        <w:t xml:space="preserve"> per capita in the surveyed group by the average monthly </w:t>
      </w:r>
      <w:r>
        <w:rPr>
          <w:sz w:val="16"/>
          <w:szCs w:val="16"/>
          <w:lang w:val="en-GB"/>
        </w:rPr>
        <w:t>expenditure</w:t>
      </w:r>
      <w:r w:rsidRPr="0059067C">
        <w:rPr>
          <w:sz w:val="16"/>
          <w:szCs w:val="16"/>
          <w:lang w:val="en-GB"/>
        </w:rPr>
        <w:t xml:space="preserve"> per capita for the whole Poland.</w:t>
      </w:r>
    </w:p>
  </w:footnote>
  <w:footnote w:id="5">
    <w:p w14:paraId="78BB2479" w14:textId="3BC28643" w:rsidR="00882B10" w:rsidRPr="0053773B" w:rsidRDefault="00882B10" w:rsidP="006D20DC">
      <w:pPr>
        <w:spacing w:before="240"/>
        <w:rPr>
          <w:sz w:val="16"/>
          <w:szCs w:val="16"/>
          <w:lang w:val="en-GB"/>
        </w:rPr>
      </w:pPr>
      <w:r w:rsidRPr="00211F7F">
        <w:rPr>
          <w:rStyle w:val="Odwoanieprzypisudolnego"/>
          <w:sz w:val="16"/>
          <w:szCs w:val="16"/>
        </w:rPr>
        <w:footnoteRef/>
      </w:r>
      <w:r w:rsidRPr="0053773B">
        <w:rPr>
          <w:sz w:val="16"/>
          <w:szCs w:val="16"/>
          <w:lang w:val="en-GB"/>
        </w:rPr>
        <w:t xml:space="preserve"> In 20</w:t>
      </w:r>
      <w:r>
        <w:rPr>
          <w:sz w:val="16"/>
          <w:szCs w:val="16"/>
          <w:lang w:val="en-GB"/>
        </w:rPr>
        <w:t>2</w:t>
      </w:r>
      <w:r w:rsidR="007103FC">
        <w:rPr>
          <w:sz w:val="16"/>
          <w:szCs w:val="16"/>
          <w:lang w:val="en-GB"/>
        </w:rPr>
        <w:t>4</w:t>
      </w:r>
      <w:r w:rsidRPr="0053773B">
        <w:rPr>
          <w:sz w:val="16"/>
          <w:szCs w:val="16"/>
          <w:lang w:val="en-GB"/>
        </w:rPr>
        <w:t xml:space="preserve"> the average number of persons in urban households was 2.</w:t>
      </w:r>
      <w:r>
        <w:rPr>
          <w:sz w:val="16"/>
          <w:szCs w:val="16"/>
          <w:lang w:val="en-GB"/>
        </w:rPr>
        <w:t>56,</w:t>
      </w:r>
      <w:r w:rsidRPr="0053773B">
        <w:rPr>
          <w:sz w:val="16"/>
          <w:szCs w:val="16"/>
          <w:lang w:val="en-GB"/>
        </w:rPr>
        <w:t xml:space="preserve"> while in rural households </w:t>
      </w:r>
      <w:r>
        <w:rPr>
          <w:sz w:val="16"/>
          <w:szCs w:val="16"/>
          <w:lang w:val="en-GB"/>
        </w:rPr>
        <w:t>– 3.4</w:t>
      </w:r>
      <w:r w:rsidR="007103FC">
        <w:rPr>
          <w:sz w:val="16"/>
          <w:szCs w:val="16"/>
          <w:lang w:val="en-GB"/>
        </w:rPr>
        <w:t>4</w:t>
      </w:r>
      <w:r>
        <w:rPr>
          <w:sz w:val="16"/>
          <w:szCs w:val="16"/>
          <w:lang w:val="en-GB"/>
        </w:rPr>
        <w:t>.</w:t>
      </w:r>
    </w:p>
  </w:footnote>
  <w:footnote w:id="6">
    <w:p w14:paraId="5EF7F98E" w14:textId="3FD57FDE" w:rsidR="00882B10" w:rsidRPr="00FF0D37" w:rsidRDefault="00882B10" w:rsidP="006D20DC">
      <w:pPr>
        <w:pStyle w:val="Tekstprzypisudolnego"/>
        <w:spacing w:before="240" w:after="120"/>
        <w:ind w:left="113" w:hanging="113"/>
        <w:rPr>
          <w:lang w:val="en-GB"/>
        </w:rPr>
      </w:pPr>
      <w:r w:rsidRPr="00FF0D37">
        <w:rPr>
          <w:rStyle w:val="Odwoanieprzypisudolnego"/>
          <w:sz w:val="16"/>
          <w:lang w:val="en-GB"/>
        </w:rPr>
        <w:footnoteRef/>
      </w:r>
      <w:r w:rsidRPr="00FF0D37">
        <w:rPr>
          <w:sz w:val="16"/>
          <w:lang w:val="en-GB"/>
        </w:rPr>
        <w:t xml:space="preserve"> </w:t>
      </w:r>
      <w:r>
        <w:rPr>
          <w:sz w:val="16"/>
          <w:lang w:val="en-GB"/>
        </w:rPr>
        <w:t>The category of “new generation goods”</w:t>
      </w:r>
      <w:r w:rsidRPr="00FF0D37">
        <w:rPr>
          <w:sz w:val="16"/>
          <w:lang w:val="en-GB"/>
        </w:rPr>
        <w:t xml:space="preserve"> i</w:t>
      </w:r>
      <w:r>
        <w:rPr>
          <w:sz w:val="16"/>
          <w:lang w:val="en-GB"/>
        </w:rPr>
        <w:t>ncludes:</w:t>
      </w:r>
      <w:r w:rsidRPr="00FF0D37">
        <w:rPr>
          <w:sz w:val="16"/>
          <w:lang w:val="en-GB"/>
        </w:rPr>
        <w:t xml:space="preserve"> </w:t>
      </w:r>
      <w:r>
        <w:rPr>
          <w:sz w:val="16"/>
          <w:lang w:val="en-GB"/>
        </w:rPr>
        <w:t>access to the Internet, smartphone, plasma or LCD TV set, dishwasher and</w:t>
      </w:r>
      <w:r w:rsidRPr="00FF0D37">
        <w:rPr>
          <w:sz w:val="16"/>
          <w:lang w:val="en-GB"/>
        </w:rPr>
        <w:t xml:space="preserve"> passenger car.</w:t>
      </w:r>
    </w:p>
  </w:footnote>
  <w:footnote w:id="7">
    <w:p w14:paraId="7EE95004" w14:textId="1F56CD61" w:rsidR="00882B10" w:rsidRPr="006E1C16" w:rsidRDefault="00882B10" w:rsidP="006D20DC">
      <w:pPr>
        <w:pStyle w:val="Tekstprzypisudolnego"/>
        <w:spacing w:after="120"/>
        <w:ind w:left="113" w:hanging="113"/>
        <w:rPr>
          <w:sz w:val="12"/>
          <w:lang w:val="en-US"/>
        </w:rPr>
      </w:pPr>
      <w:r w:rsidRPr="006E1C16">
        <w:rPr>
          <w:rStyle w:val="Odwoanieprzypisudolnego"/>
          <w:sz w:val="16"/>
        </w:rPr>
        <w:footnoteRef/>
      </w:r>
      <w:r w:rsidRPr="006E1C16">
        <w:rPr>
          <w:sz w:val="16"/>
          <w:lang w:val="en-US"/>
        </w:rPr>
        <w:t xml:space="preserve"> </w:t>
      </w:r>
      <w:r w:rsidRPr="00BB40E7">
        <w:rPr>
          <w:rStyle w:val="tlid-translation"/>
          <w:sz w:val="16"/>
          <w:lang w:val="en-GB"/>
        </w:rPr>
        <w:t xml:space="preserve">This category includes </w:t>
      </w:r>
      <w:r>
        <w:rPr>
          <w:rStyle w:val="tlid-translation"/>
          <w:sz w:val="16"/>
          <w:lang w:val="en-GB"/>
        </w:rPr>
        <w:t>access</w:t>
      </w:r>
      <w:r w:rsidRPr="00BB40E7">
        <w:rPr>
          <w:rStyle w:val="tlid-translation"/>
          <w:sz w:val="16"/>
          <w:lang w:val="en-GB"/>
        </w:rPr>
        <w:t xml:space="preserve"> to the Internet, regardless of the type of Internet connection and </w:t>
      </w:r>
      <w:r>
        <w:rPr>
          <w:rStyle w:val="tlid-translation"/>
          <w:sz w:val="16"/>
          <w:lang w:val="en-GB"/>
        </w:rPr>
        <w:t xml:space="preserve">the </w:t>
      </w:r>
      <w:r w:rsidRPr="00BB40E7">
        <w:rPr>
          <w:rStyle w:val="tlid-translation"/>
          <w:sz w:val="16"/>
          <w:lang w:val="en-GB"/>
        </w:rPr>
        <w:t>type of device (e.g. desktop computer, laptop, tablet, TV set, smartphone).</w:t>
      </w:r>
    </w:p>
  </w:footnote>
  <w:footnote w:id="8">
    <w:p w14:paraId="7EE95006" w14:textId="30A755B0" w:rsidR="00882B10" w:rsidRPr="0013230E" w:rsidRDefault="00882B10" w:rsidP="006D20DC">
      <w:pPr>
        <w:pStyle w:val="Tekstprzypisudolnego"/>
        <w:spacing w:before="240" w:after="120"/>
        <w:rPr>
          <w:rFonts w:cs="Arial"/>
          <w:b/>
          <w:bCs/>
          <w:sz w:val="18"/>
          <w:lang w:val="en-GB"/>
        </w:rPr>
      </w:pPr>
      <w:r w:rsidRPr="006E1C16">
        <w:rPr>
          <w:rStyle w:val="Odwoanieprzypisudolnego"/>
          <w:rFonts w:cs="Arial"/>
          <w:sz w:val="16"/>
          <w:lang w:val="en-GB"/>
        </w:rPr>
        <w:footnoteRef/>
      </w:r>
      <w:r w:rsidRPr="006E1C16">
        <w:rPr>
          <w:rFonts w:cs="Arial"/>
          <w:bCs/>
          <w:sz w:val="16"/>
          <w:lang w:val="en-GB"/>
        </w:rPr>
        <w:t xml:space="preserve"> The average number of persons in 1st qu</w:t>
      </w:r>
      <w:r>
        <w:rPr>
          <w:rFonts w:cs="Arial"/>
          <w:bCs/>
          <w:sz w:val="16"/>
          <w:lang w:val="en-GB"/>
        </w:rPr>
        <w:t>intile group of households was 3.6</w:t>
      </w:r>
      <w:r w:rsidR="00785882">
        <w:rPr>
          <w:rFonts w:cs="Arial"/>
          <w:bCs/>
          <w:sz w:val="16"/>
          <w:lang w:val="en-GB"/>
        </w:rPr>
        <w:t>0</w:t>
      </w:r>
      <w:r w:rsidRPr="006E1C16">
        <w:rPr>
          <w:rFonts w:cs="Arial"/>
          <w:bCs/>
          <w:sz w:val="16"/>
          <w:lang w:val="en-GB"/>
        </w:rPr>
        <w:t>,</w:t>
      </w:r>
      <w:r>
        <w:rPr>
          <w:rFonts w:cs="Arial"/>
          <w:bCs/>
          <w:sz w:val="16"/>
          <w:lang w:val="en-GB"/>
        </w:rPr>
        <w:t xml:space="preserve"> and in 5th quintile group – 2.1</w:t>
      </w:r>
      <w:r w:rsidR="00785882">
        <w:rPr>
          <w:rFonts w:cs="Arial"/>
          <w:bCs/>
          <w:sz w:val="16"/>
          <w:lang w:val="en-GB"/>
        </w:rPr>
        <w:t>2</w:t>
      </w:r>
      <w:r w:rsidRPr="006E1C16">
        <w:rPr>
          <w:rFonts w:cs="Arial"/>
          <w:bCs/>
          <w:sz w:val="16"/>
          <w:lang w:val="en-GB"/>
        </w:rPr>
        <w:t>.</w:t>
      </w:r>
    </w:p>
  </w:footnote>
  <w:footnote w:id="9">
    <w:p w14:paraId="7D83090D" w14:textId="689E3998" w:rsidR="00882B10" w:rsidRPr="00273032" w:rsidRDefault="00882B10" w:rsidP="006D20DC">
      <w:pPr>
        <w:pStyle w:val="Tekstprzypisudolnego"/>
        <w:spacing w:before="240" w:after="120"/>
        <w:ind w:left="113" w:hanging="113"/>
        <w:rPr>
          <w:spacing w:val="-2"/>
          <w:sz w:val="16"/>
          <w:lang w:val="en-GB"/>
        </w:rPr>
      </w:pPr>
      <w:r w:rsidRPr="0026658F">
        <w:rPr>
          <w:rStyle w:val="Odwoanieprzypisudolnego"/>
          <w:sz w:val="16"/>
        </w:rPr>
        <w:footnoteRef/>
      </w:r>
      <w:r w:rsidRPr="00273032">
        <w:rPr>
          <w:sz w:val="16"/>
          <w:lang w:val="en-GB"/>
        </w:rPr>
        <w:t xml:space="preserve"> </w:t>
      </w:r>
      <w:r w:rsidRPr="00273032">
        <w:rPr>
          <w:spacing w:val="-2"/>
          <w:sz w:val="16"/>
          <w:lang w:val="en-GB"/>
        </w:rPr>
        <w:t xml:space="preserve">Concerns the provision of assistance due to warfare - regardless of its form and scope (covers both </w:t>
      </w:r>
      <w:r>
        <w:rPr>
          <w:spacing w:val="-2"/>
          <w:sz w:val="16"/>
          <w:lang w:val="en-GB"/>
        </w:rPr>
        <w:t>support</w:t>
      </w:r>
      <w:r w:rsidRPr="00273032">
        <w:rPr>
          <w:spacing w:val="-2"/>
          <w:sz w:val="16"/>
          <w:lang w:val="en-GB"/>
        </w:rPr>
        <w:t xml:space="preserve"> provided in Poland and directed to persons remaining in Ukraine) at least once in the period from</w:t>
      </w:r>
      <w:r>
        <w:rPr>
          <w:spacing w:val="-2"/>
          <w:sz w:val="16"/>
          <w:lang w:val="en-GB"/>
        </w:rPr>
        <w:t xml:space="preserve"> 24th</w:t>
      </w:r>
      <w:r w:rsidRPr="00273032">
        <w:rPr>
          <w:spacing w:val="-2"/>
          <w:sz w:val="16"/>
          <w:lang w:val="en-GB"/>
        </w:rPr>
        <w:t xml:space="preserve"> February 2022 to the end of the </w:t>
      </w:r>
      <w:r>
        <w:rPr>
          <w:spacing w:val="-2"/>
          <w:sz w:val="16"/>
          <w:lang w:val="en-GB"/>
        </w:rPr>
        <w:t xml:space="preserve">first </w:t>
      </w:r>
      <w:r w:rsidRPr="00273032">
        <w:rPr>
          <w:spacing w:val="-2"/>
          <w:sz w:val="16"/>
          <w:lang w:val="en-GB"/>
        </w:rPr>
        <w:t xml:space="preserve">quarter </w:t>
      </w:r>
      <w:r>
        <w:rPr>
          <w:spacing w:val="-2"/>
          <w:sz w:val="16"/>
          <w:lang w:val="en-GB"/>
        </w:rPr>
        <w:t xml:space="preserve">or in the quarter, </w:t>
      </w:r>
      <w:r w:rsidRPr="00273032">
        <w:rPr>
          <w:spacing w:val="-2"/>
          <w:sz w:val="16"/>
          <w:lang w:val="en-GB"/>
        </w:rPr>
        <w:t xml:space="preserve">in which the household participated in the </w:t>
      </w:r>
      <w:r>
        <w:rPr>
          <w:spacing w:val="-2"/>
          <w:sz w:val="16"/>
          <w:lang w:val="en-GB"/>
        </w:rPr>
        <w:t>survey</w:t>
      </w:r>
      <w:r w:rsidRPr="00273032">
        <w:rPr>
          <w:spacing w:val="-2"/>
          <w:sz w:val="16"/>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94FEC" w14:textId="77777777" w:rsidR="00882B10" w:rsidRDefault="00882B10">
    <w:pPr>
      <w:pStyle w:val="Nagwek"/>
    </w:pPr>
    <w:r>
      <w:rPr>
        <w:noProof/>
        <w:lang w:eastAsia="pl-PL"/>
      </w:rPr>
      <mc:AlternateContent>
        <mc:Choice Requires="wps">
          <w:drawing>
            <wp:anchor distT="0" distB="0" distL="114300" distR="114300" simplePos="0" relativeHeight="251662336" behindDoc="1" locked="0" layoutInCell="1" allowOverlap="1" wp14:anchorId="7EE94FF3" wp14:editId="7EE94FF4">
              <wp:simplePos x="0" y="0"/>
              <wp:positionH relativeFrom="column">
                <wp:posOffset>5214620</wp:posOffset>
              </wp:positionH>
              <wp:positionV relativeFrom="paragraph">
                <wp:posOffset>-178435</wp:posOffset>
              </wp:positionV>
              <wp:extent cx="1874520" cy="22680295"/>
              <wp:effectExtent l="0" t="0" r="0" b="0"/>
              <wp:wrapNone/>
              <wp:docPr id="48"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0773321"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m0sg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" fillcolor="#f2f2f2 [3052]" stroked="f"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94FEE" w14:textId="77777777" w:rsidR="00882B10" w:rsidRDefault="00882B10">
    <w:pPr>
      <w:pStyle w:val="Nagwek"/>
      <w:rPr>
        <w:noProof/>
        <w:lang w:eastAsia="pl-PL"/>
      </w:rPr>
    </w:pPr>
    <w:r>
      <w:rPr>
        <w:noProof/>
        <w:lang w:eastAsia="pl-PL"/>
      </w:rPr>
      <w:drawing>
        <wp:anchor distT="0" distB="0" distL="114300" distR="114300" simplePos="0" relativeHeight="251658752" behindDoc="0" locked="0" layoutInCell="1" allowOverlap="1" wp14:anchorId="7EE94FF5" wp14:editId="7EE94FF6">
          <wp:simplePos x="0" y="0"/>
          <wp:positionH relativeFrom="column">
            <wp:posOffset>0</wp:posOffset>
          </wp:positionH>
          <wp:positionV relativeFrom="paragraph">
            <wp:posOffset>82509</wp:posOffset>
          </wp:positionV>
          <wp:extent cx="1955800" cy="744855"/>
          <wp:effectExtent l="0" t="0" r="0" b="0"/>
          <wp:wrapSquare wrapText="bothSides"/>
          <wp:docPr id="14" name="Obraz 14" descr="C:\Users\zawistowskaB\AppData\Local\Microsoft\Windows\INetCache\Content.Word\logo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wistowskaB\AppData\Local\Microsoft\Windows\INetCache\Content.Word\logog-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744855"/>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54144" behindDoc="1" locked="0" layoutInCell="1" allowOverlap="1" wp14:anchorId="7EE94FF7" wp14:editId="7EE94FF8">
              <wp:simplePos x="0" y="0"/>
              <wp:positionH relativeFrom="column">
                <wp:posOffset>5208905</wp:posOffset>
              </wp:positionH>
              <wp:positionV relativeFrom="paragraph">
                <wp:posOffset>202565</wp:posOffset>
              </wp:positionV>
              <wp:extent cx="1871980" cy="22905085"/>
              <wp:effectExtent l="0" t="0" r="0" b="0"/>
              <wp:wrapNone/>
              <wp:docPr id="47"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DB0ED63" id="Prostokąt 10" o:spid="_x0000_s1026" style="position:absolute;margin-left:410.15pt;margin-top:15.95pt;width:147.4pt;height:180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" fillcolor="#f2f2f2" stroked="f" strokeweight="1pt"/>
          </w:pict>
        </mc:Fallback>
      </mc:AlternateContent>
    </w:r>
    <w:r>
      <w:rPr>
        <w:noProof/>
        <w:lang w:eastAsia="pl-PL"/>
      </w:rPr>
      <mc:AlternateContent>
        <mc:Choice Requires="wps">
          <w:drawing>
            <wp:anchor distT="0" distB="0" distL="114300" distR="114300" simplePos="0" relativeHeight="251655168" behindDoc="0" locked="0" layoutInCell="1" allowOverlap="1" wp14:anchorId="7EE94FF9" wp14:editId="7EE94FFA">
              <wp:simplePos x="0" y="0"/>
              <wp:positionH relativeFrom="column">
                <wp:posOffset>5036820</wp:posOffset>
              </wp:positionH>
              <wp:positionV relativeFrom="paragraph">
                <wp:posOffset>198755</wp:posOffset>
              </wp:positionV>
              <wp:extent cx="2060575" cy="357505"/>
              <wp:effectExtent l="0" t="0" r="0" b="0"/>
              <wp:wrapNone/>
              <wp:docPr id="46" name="Schemat blokowy: opóźnieni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95040" w14:textId="77777777" w:rsidR="00882B10" w:rsidRPr="003C6C8D" w:rsidRDefault="00882B10"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EE94FF9" id="Schemat blokowy: opóźnienie 6" o:spid="_x0000_s1047" style="position:absolute;margin-left:396.6pt;margin-top:15.65pt;width:162.25pt;height:28.1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EE95040" w14:textId="77777777" w:rsidR="00882B10" w:rsidRPr="003C6C8D" w:rsidRDefault="00882B10"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p>
  <w:p w14:paraId="7EE94FEF" w14:textId="77777777" w:rsidR="00882B10" w:rsidRDefault="00882B10">
    <w:pPr>
      <w:pStyle w:val="Nagwek"/>
      <w:rPr>
        <w:noProof/>
        <w:lang w:eastAsia="pl-PL"/>
      </w:rPr>
    </w:pPr>
    <w:r>
      <w:rPr>
        <w:noProof/>
        <w:lang w:eastAsia="pl-PL"/>
      </w:rPr>
      <mc:AlternateContent>
        <mc:Choice Requires="wps">
          <w:drawing>
            <wp:anchor distT="45720" distB="45720" distL="114300" distR="114300" simplePos="0" relativeHeight="251656192" behindDoc="0" locked="0" layoutInCell="1" allowOverlap="1" wp14:anchorId="7EE94FFB" wp14:editId="7EE94FFC">
              <wp:simplePos x="0" y="0"/>
              <wp:positionH relativeFrom="column">
                <wp:posOffset>5305425</wp:posOffset>
              </wp:positionH>
              <wp:positionV relativeFrom="paragraph">
                <wp:posOffset>837565</wp:posOffset>
              </wp:positionV>
              <wp:extent cx="1432560" cy="336550"/>
              <wp:effectExtent l="0" t="0" r="0" b="0"/>
              <wp:wrapNone/>
              <wp:docPr id="4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7EE95041" w14:textId="2441B9C0" w:rsidR="00882B10" w:rsidRPr="006D0A0D" w:rsidRDefault="00882B10">
                          <w:pPr>
                            <w:rPr>
                              <w:rFonts w:ascii="Fira Sans SemiBold" w:hAnsi="Fira Sans SemiBold"/>
                              <w:color w:val="001D77"/>
                              <w:lang w:val="en-GB"/>
                            </w:rPr>
                          </w:pPr>
                          <w:r>
                            <w:rPr>
                              <w:rFonts w:ascii="Fira Sans SemiBold" w:hAnsi="Fira Sans SemiBold"/>
                              <w:color w:val="001D77"/>
                              <w:lang w:val="en-GB"/>
                            </w:rPr>
                            <w:t>29</w:t>
                          </w:r>
                          <w:r w:rsidRPr="006D0A0D">
                            <w:rPr>
                              <w:rFonts w:ascii="Fira Sans SemiBold" w:hAnsi="Fira Sans SemiBold"/>
                              <w:color w:val="001D77"/>
                              <w:lang w:val="en-GB"/>
                            </w:rPr>
                            <w:t>.05.202</w:t>
                          </w:r>
                          <w:r>
                            <w:rPr>
                              <w:rFonts w:ascii="Fira Sans SemiBold" w:hAnsi="Fira Sans SemiBold"/>
                              <w:color w:val="001D77"/>
                              <w:lang w:val="en-GB"/>
                            </w:rPr>
                            <w:t>5</w:t>
                          </w:r>
                        </w:p>
                        <w:p w14:paraId="7EE95042" w14:textId="77777777" w:rsidR="00882B10" w:rsidRPr="006D0A0D" w:rsidRDefault="00882B10" w:rsidP="00F37172">
                          <w:pPr>
                            <w:jc w:val="both"/>
                            <w:rPr>
                              <w:rFonts w:ascii="Fira Sans SemiBold" w:hAnsi="Fira Sans SemiBold"/>
                              <w:color w:val="001D77"/>
                              <w:lang w:val="en-GB"/>
                            </w:rPr>
                          </w:pPr>
                          <w:proofErr w:type="spellStart"/>
                          <w:r w:rsidRPr="006D0A0D">
                            <w:rPr>
                              <w:rFonts w:ascii="Fira Sans SemiBold" w:hAnsi="Fira Sans SemiBold"/>
                              <w:color w:val="001D77"/>
                              <w:lang w:val="en-GB"/>
                            </w:rPr>
                            <w:t>dd.mm.rrrr</w:t>
                          </w:r>
                          <w:proofErr w:type="spellEnd"/>
                          <w:r w:rsidRPr="006D0A0D">
                            <w:rPr>
                              <w:rFonts w:ascii="Fira Sans SemiBold" w:hAnsi="Fira Sans SemiBold"/>
                              <w:color w:val="001D77"/>
                              <w:lang w:val="en-GB"/>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EE94FFB" id="_x0000_t202" coordsize="21600,21600" o:spt="202" path="m,l,21600r21600,l21600,xe">
              <v:stroke joinstyle="miter"/>
              <v:path gradientshapeok="t" o:connecttype="rect"/>
            </v:shapetype>
            <v:shape id="_x0000_s1048" type="#_x0000_t202" style="position:absolute;margin-left:417.75pt;margin-top:65.95pt;width:112.8pt;height:2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" filled="f" stroked="f">
              <v:textbox>
                <w:txbxContent>
                  <w:p w14:paraId="7EE95041" w14:textId="2441B9C0" w:rsidR="00882B10" w:rsidRPr="006D0A0D" w:rsidRDefault="00882B10">
                    <w:pPr>
                      <w:rPr>
                        <w:rFonts w:ascii="Fira Sans SemiBold" w:hAnsi="Fira Sans SemiBold"/>
                        <w:color w:val="001D77"/>
                        <w:lang w:val="en-GB"/>
                      </w:rPr>
                    </w:pPr>
                    <w:r>
                      <w:rPr>
                        <w:rFonts w:ascii="Fira Sans SemiBold" w:hAnsi="Fira Sans SemiBold"/>
                        <w:color w:val="001D77"/>
                        <w:lang w:val="en-GB"/>
                      </w:rPr>
                      <w:t>29</w:t>
                    </w:r>
                    <w:r w:rsidRPr="006D0A0D">
                      <w:rPr>
                        <w:rFonts w:ascii="Fira Sans SemiBold" w:hAnsi="Fira Sans SemiBold"/>
                        <w:color w:val="001D77"/>
                        <w:lang w:val="en-GB"/>
                      </w:rPr>
                      <w:t>.05.202</w:t>
                    </w:r>
                    <w:r>
                      <w:rPr>
                        <w:rFonts w:ascii="Fira Sans SemiBold" w:hAnsi="Fira Sans SemiBold"/>
                        <w:color w:val="001D77"/>
                        <w:lang w:val="en-GB"/>
                      </w:rPr>
                      <w:t>5</w:t>
                    </w:r>
                  </w:p>
                  <w:p w14:paraId="7EE95042" w14:textId="77777777" w:rsidR="00882B10" w:rsidRPr="006D0A0D" w:rsidRDefault="00882B10" w:rsidP="00F37172">
                    <w:pPr>
                      <w:jc w:val="both"/>
                      <w:rPr>
                        <w:rFonts w:ascii="Fira Sans SemiBold" w:hAnsi="Fira Sans SemiBold"/>
                        <w:color w:val="001D77"/>
                        <w:lang w:val="en-GB"/>
                      </w:rPr>
                    </w:pPr>
                    <w:r w:rsidRPr="006D0A0D">
                      <w:rPr>
                        <w:rFonts w:ascii="Fira Sans SemiBold" w:hAnsi="Fira Sans SemiBold"/>
                        <w:color w:val="001D77"/>
                        <w:lang w:val="en-GB"/>
                      </w:rPr>
                      <w:t>dd.mm.rrrr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94FF1" w14:textId="77777777" w:rsidR="00882B10" w:rsidRDefault="00882B1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22.25pt;height:122.25pt;visibility:visible" o:bullet="t">
        <v:imagedata r:id="rId1" o:title=""/>
      </v:shape>
    </w:pict>
  </w:numPicBullet>
  <w:numPicBullet w:numPicBulletId="1">
    <w:pict>
      <v:shape id="_x0000_i1077" type="#_x0000_t75" style="width:122.25pt;height:122.25pt;visibility:visibl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2ADC"/>
    <w:rsid w:val="00003437"/>
    <w:rsid w:val="00006D23"/>
    <w:rsid w:val="0000709F"/>
    <w:rsid w:val="0001037F"/>
    <w:rsid w:val="00010600"/>
    <w:rsid w:val="00010896"/>
    <w:rsid w:val="000108B8"/>
    <w:rsid w:val="0001148B"/>
    <w:rsid w:val="00011A02"/>
    <w:rsid w:val="000152F5"/>
    <w:rsid w:val="00015853"/>
    <w:rsid w:val="00015F38"/>
    <w:rsid w:val="000169CC"/>
    <w:rsid w:val="00016C7A"/>
    <w:rsid w:val="00017628"/>
    <w:rsid w:val="0001775E"/>
    <w:rsid w:val="00020B67"/>
    <w:rsid w:val="000226E4"/>
    <w:rsid w:val="00022773"/>
    <w:rsid w:val="00022B92"/>
    <w:rsid w:val="00024670"/>
    <w:rsid w:val="0002534B"/>
    <w:rsid w:val="00026173"/>
    <w:rsid w:val="000266A3"/>
    <w:rsid w:val="00030FF6"/>
    <w:rsid w:val="000320F7"/>
    <w:rsid w:val="0003344D"/>
    <w:rsid w:val="00033605"/>
    <w:rsid w:val="00033C7A"/>
    <w:rsid w:val="00033E65"/>
    <w:rsid w:val="00035382"/>
    <w:rsid w:val="00035A6C"/>
    <w:rsid w:val="000363C8"/>
    <w:rsid w:val="000374A2"/>
    <w:rsid w:val="00040208"/>
    <w:rsid w:val="00041D2B"/>
    <w:rsid w:val="00042B02"/>
    <w:rsid w:val="00043063"/>
    <w:rsid w:val="00044796"/>
    <w:rsid w:val="0004567D"/>
    <w:rsid w:val="0004582E"/>
    <w:rsid w:val="00046650"/>
    <w:rsid w:val="000470AA"/>
    <w:rsid w:val="0005030D"/>
    <w:rsid w:val="000506EC"/>
    <w:rsid w:val="000515F2"/>
    <w:rsid w:val="000552F7"/>
    <w:rsid w:val="000561B3"/>
    <w:rsid w:val="00056F23"/>
    <w:rsid w:val="00057CA1"/>
    <w:rsid w:val="00060989"/>
    <w:rsid w:val="00062380"/>
    <w:rsid w:val="00063858"/>
    <w:rsid w:val="0006514B"/>
    <w:rsid w:val="000662E2"/>
    <w:rsid w:val="00066603"/>
    <w:rsid w:val="000666B9"/>
    <w:rsid w:val="00066883"/>
    <w:rsid w:val="0007036D"/>
    <w:rsid w:val="00070936"/>
    <w:rsid w:val="000723AD"/>
    <w:rsid w:val="00073583"/>
    <w:rsid w:val="00073D9C"/>
    <w:rsid w:val="00074DD8"/>
    <w:rsid w:val="00075074"/>
    <w:rsid w:val="000752AE"/>
    <w:rsid w:val="000755D3"/>
    <w:rsid w:val="00077E63"/>
    <w:rsid w:val="000806F7"/>
    <w:rsid w:val="00080EE5"/>
    <w:rsid w:val="000813F3"/>
    <w:rsid w:val="00081A74"/>
    <w:rsid w:val="0008583C"/>
    <w:rsid w:val="000869FC"/>
    <w:rsid w:val="00086E2F"/>
    <w:rsid w:val="0008735C"/>
    <w:rsid w:val="00090897"/>
    <w:rsid w:val="000916D0"/>
    <w:rsid w:val="00092FDF"/>
    <w:rsid w:val="000957C6"/>
    <w:rsid w:val="00095F54"/>
    <w:rsid w:val="00097840"/>
    <w:rsid w:val="000A03BF"/>
    <w:rsid w:val="000A1730"/>
    <w:rsid w:val="000A27AA"/>
    <w:rsid w:val="000A2B97"/>
    <w:rsid w:val="000A34EB"/>
    <w:rsid w:val="000A3711"/>
    <w:rsid w:val="000A4599"/>
    <w:rsid w:val="000A4CAA"/>
    <w:rsid w:val="000A5727"/>
    <w:rsid w:val="000A6EE6"/>
    <w:rsid w:val="000B04B8"/>
    <w:rsid w:val="000B0727"/>
    <w:rsid w:val="000B088F"/>
    <w:rsid w:val="000B0E56"/>
    <w:rsid w:val="000B3813"/>
    <w:rsid w:val="000B39CD"/>
    <w:rsid w:val="000B40C5"/>
    <w:rsid w:val="000B4D50"/>
    <w:rsid w:val="000B54F4"/>
    <w:rsid w:val="000B5D96"/>
    <w:rsid w:val="000B61D1"/>
    <w:rsid w:val="000C0588"/>
    <w:rsid w:val="000C0C5A"/>
    <w:rsid w:val="000C1245"/>
    <w:rsid w:val="000C135D"/>
    <w:rsid w:val="000C2B9E"/>
    <w:rsid w:val="000C2ED5"/>
    <w:rsid w:val="000C3538"/>
    <w:rsid w:val="000C4C55"/>
    <w:rsid w:val="000C65C9"/>
    <w:rsid w:val="000C6E7D"/>
    <w:rsid w:val="000D07D5"/>
    <w:rsid w:val="000D1D43"/>
    <w:rsid w:val="000D2215"/>
    <w:rsid w:val="000D225C"/>
    <w:rsid w:val="000D2A5C"/>
    <w:rsid w:val="000D3623"/>
    <w:rsid w:val="000D384E"/>
    <w:rsid w:val="000D3903"/>
    <w:rsid w:val="000D4913"/>
    <w:rsid w:val="000D64AA"/>
    <w:rsid w:val="000D71AB"/>
    <w:rsid w:val="000D7AC4"/>
    <w:rsid w:val="000E02F4"/>
    <w:rsid w:val="000E0706"/>
    <w:rsid w:val="000E0918"/>
    <w:rsid w:val="000E116D"/>
    <w:rsid w:val="000E17FE"/>
    <w:rsid w:val="000E19D1"/>
    <w:rsid w:val="000E2607"/>
    <w:rsid w:val="000E312A"/>
    <w:rsid w:val="000E3160"/>
    <w:rsid w:val="000E442E"/>
    <w:rsid w:val="000E49B1"/>
    <w:rsid w:val="000E5EAC"/>
    <w:rsid w:val="000E617F"/>
    <w:rsid w:val="000F3240"/>
    <w:rsid w:val="000F4736"/>
    <w:rsid w:val="000F5FF3"/>
    <w:rsid w:val="001006C8"/>
    <w:rsid w:val="00100AFA"/>
    <w:rsid w:val="001011C3"/>
    <w:rsid w:val="00103C80"/>
    <w:rsid w:val="00103DA6"/>
    <w:rsid w:val="0010500C"/>
    <w:rsid w:val="001053BE"/>
    <w:rsid w:val="0010648B"/>
    <w:rsid w:val="001065AE"/>
    <w:rsid w:val="001075EA"/>
    <w:rsid w:val="00110B61"/>
    <w:rsid w:val="00110D87"/>
    <w:rsid w:val="00111C41"/>
    <w:rsid w:val="00113A40"/>
    <w:rsid w:val="00114295"/>
    <w:rsid w:val="00114DB9"/>
    <w:rsid w:val="001156FC"/>
    <w:rsid w:val="00115CFE"/>
    <w:rsid w:val="00116087"/>
    <w:rsid w:val="00117155"/>
    <w:rsid w:val="00117253"/>
    <w:rsid w:val="00117F16"/>
    <w:rsid w:val="0012125A"/>
    <w:rsid w:val="00121317"/>
    <w:rsid w:val="0012275D"/>
    <w:rsid w:val="00123302"/>
    <w:rsid w:val="0012375C"/>
    <w:rsid w:val="00126772"/>
    <w:rsid w:val="001267B5"/>
    <w:rsid w:val="00126EA7"/>
    <w:rsid w:val="00126FF1"/>
    <w:rsid w:val="00127FCF"/>
    <w:rsid w:val="00130296"/>
    <w:rsid w:val="00133F90"/>
    <w:rsid w:val="00134653"/>
    <w:rsid w:val="00134A30"/>
    <w:rsid w:val="00135F55"/>
    <w:rsid w:val="00137683"/>
    <w:rsid w:val="00137D32"/>
    <w:rsid w:val="00141C86"/>
    <w:rsid w:val="001423B6"/>
    <w:rsid w:val="00142447"/>
    <w:rsid w:val="00142571"/>
    <w:rsid w:val="00143BC0"/>
    <w:rsid w:val="001446F6"/>
    <w:rsid w:val="001448A7"/>
    <w:rsid w:val="001465FA"/>
    <w:rsid w:val="00146621"/>
    <w:rsid w:val="001467C3"/>
    <w:rsid w:val="0015157F"/>
    <w:rsid w:val="00151655"/>
    <w:rsid w:val="001550A2"/>
    <w:rsid w:val="00155632"/>
    <w:rsid w:val="001558B0"/>
    <w:rsid w:val="00156698"/>
    <w:rsid w:val="00157C8F"/>
    <w:rsid w:val="0016127B"/>
    <w:rsid w:val="00161F41"/>
    <w:rsid w:val="00162325"/>
    <w:rsid w:val="00162604"/>
    <w:rsid w:val="0016281C"/>
    <w:rsid w:val="001642DA"/>
    <w:rsid w:val="0016568B"/>
    <w:rsid w:val="0016712C"/>
    <w:rsid w:val="00167A47"/>
    <w:rsid w:val="00167FA5"/>
    <w:rsid w:val="00170256"/>
    <w:rsid w:val="0017045C"/>
    <w:rsid w:val="001708D1"/>
    <w:rsid w:val="0017122E"/>
    <w:rsid w:val="00171D09"/>
    <w:rsid w:val="00173D6C"/>
    <w:rsid w:val="001747E2"/>
    <w:rsid w:val="00174B82"/>
    <w:rsid w:val="001802EF"/>
    <w:rsid w:val="00180604"/>
    <w:rsid w:val="00181544"/>
    <w:rsid w:val="00181548"/>
    <w:rsid w:val="001849AA"/>
    <w:rsid w:val="00184C28"/>
    <w:rsid w:val="001864F9"/>
    <w:rsid w:val="00186509"/>
    <w:rsid w:val="001868C5"/>
    <w:rsid w:val="00186B5C"/>
    <w:rsid w:val="00187B70"/>
    <w:rsid w:val="001915A8"/>
    <w:rsid w:val="001931C9"/>
    <w:rsid w:val="00193754"/>
    <w:rsid w:val="00194D55"/>
    <w:rsid w:val="0019505E"/>
    <w:rsid w:val="001951DA"/>
    <w:rsid w:val="001953D9"/>
    <w:rsid w:val="00197EA4"/>
    <w:rsid w:val="001A08FF"/>
    <w:rsid w:val="001A0DD4"/>
    <w:rsid w:val="001A1762"/>
    <w:rsid w:val="001A18B1"/>
    <w:rsid w:val="001A1DBE"/>
    <w:rsid w:val="001A1FD8"/>
    <w:rsid w:val="001A3A35"/>
    <w:rsid w:val="001A47C1"/>
    <w:rsid w:val="001A602C"/>
    <w:rsid w:val="001A6DB4"/>
    <w:rsid w:val="001A7478"/>
    <w:rsid w:val="001B0AE6"/>
    <w:rsid w:val="001B11D0"/>
    <w:rsid w:val="001B1600"/>
    <w:rsid w:val="001B43D7"/>
    <w:rsid w:val="001B4438"/>
    <w:rsid w:val="001B509A"/>
    <w:rsid w:val="001B5EAF"/>
    <w:rsid w:val="001B69B5"/>
    <w:rsid w:val="001B7686"/>
    <w:rsid w:val="001C013D"/>
    <w:rsid w:val="001C0B4F"/>
    <w:rsid w:val="001C0B84"/>
    <w:rsid w:val="001C23FA"/>
    <w:rsid w:val="001C2BF0"/>
    <w:rsid w:val="001C3269"/>
    <w:rsid w:val="001C364E"/>
    <w:rsid w:val="001C3D59"/>
    <w:rsid w:val="001C65E7"/>
    <w:rsid w:val="001D1AB1"/>
    <w:rsid w:val="001D1DB4"/>
    <w:rsid w:val="001D212D"/>
    <w:rsid w:val="001D2DE7"/>
    <w:rsid w:val="001D3C55"/>
    <w:rsid w:val="001D3E4A"/>
    <w:rsid w:val="001D40F5"/>
    <w:rsid w:val="001D5B0C"/>
    <w:rsid w:val="001D6F16"/>
    <w:rsid w:val="001D7030"/>
    <w:rsid w:val="001E0351"/>
    <w:rsid w:val="001E117D"/>
    <w:rsid w:val="001E4BE5"/>
    <w:rsid w:val="001E5C91"/>
    <w:rsid w:val="001E6ADE"/>
    <w:rsid w:val="001E7FC1"/>
    <w:rsid w:val="001F0337"/>
    <w:rsid w:val="001F2560"/>
    <w:rsid w:val="001F2F80"/>
    <w:rsid w:val="001F43F3"/>
    <w:rsid w:val="001F4E44"/>
    <w:rsid w:val="001F590E"/>
    <w:rsid w:val="001F60ED"/>
    <w:rsid w:val="001F7505"/>
    <w:rsid w:val="00200CC1"/>
    <w:rsid w:val="00201763"/>
    <w:rsid w:val="00202D66"/>
    <w:rsid w:val="00203402"/>
    <w:rsid w:val="00207A6F"/>
    <w:rsid w:val="00211078"/>
    <w:rsid w:val="00211327"/>
    <w:rsid w:val="00211F7F"/>
    <w:rsid w:val="00212A6F"/>
    <w:rsid w:val="00212E22"/>
    <w:rsid w:val="002138DD"/>
    <w:rsid w:val="002155E0"/>
    <w:rsid w:val="0021569B"/>
    <w:rsid w:val="002167B8"/>
    <w:rsid w:val="00216E87"/>
    <w:rsid w:val="0022076F"/>
    <w:rsid w:val="00221E61"/>
    <w:rsid w:val="0022263B"/>
    <w:rsid w:val="0022280B"/>
    <w:rsid w:val="00222E56"/>
    <w:rsid w:val="00222FC9"/>
    <w:rsid w:val="00226992"/>
    <w:rsid w:val="00226C26"/>
    <w:rsid w:val="00227C3D"/>
    <w:rsid w:val="00230347"/>
    <w:rsid w:val="00230699"/>
    <w:rsid w:val="002314CE"/>
    <w:rsid w:val="00234B4A"/>
    <w:rsid w:val="00234CD1"/>
    <w:rsid w:val="002400F5"/>
    <w:rsid w:val="0024032F"/>
    <w:rsid w:val="002412B5"/>
    <w:rsid w:val="002413CA"/>
    <w:rsid w:val="00241A73"/>
    <w:rsid w:val="00242E02"/>
    <w:rsid w:val="00242EB6"/>
    <w:rsid w:val="00242FCB"/>
    <w:rsid w:val="002439CD"/>
    <w:rsid w:val="002440AA"/>
    <w:rsid w:val="0024486C"/>
    <w:rsid w:val="00246327"/>
    <w:rsid w:val="00250172"/>
    <w:rsid w:val="002520CA"/>
    <w:rsid w:val="002574F9"/>
    <w:rsid w:val="002579CE"/>
    <w:rsid w:val="00260783"/>
    <w:rsid w:val="00260B71"/>
    <w:rsid w:val="00261B01"/>
    <w:rsid w:val="0026206E"/>
    <w:rsid w:val="00262B61"/>
    <w:rsid w:val="00262EE2"/>
    <w:rsid w:val="00264ED9"/>
    <w:rsid w:val="002650D9"/>
    <w:rsid w:val="0026513B"/>
    <w:rsid w:val="002651F4"/>
    <w:rsid w:val="00265274"/>
    <w:rsid w:val="00266292"/>
    <w:rsid w:val="002662F7"/>
    <w:rsid w:val="00271B98"/>
    <w:rsid w:val="002727F2"/>
    <w:rsid w:val="00273032"/>
    <w:rsid w:val="00273093"/>
    <w:rsid w:val="0027580C"/>
    <w:rsid w:val="00276811"/>
    <w:rsid w:val="00281DF7"/>
    <w:rsid w:val="00282699"/>
    <w:rsid w:val="00283981"/>
    <w:rsid w:val="00284CA8"/>
    <w:rsid w:val="00285AE8"/>
    <w:rsid w:val="00286F9E"/>
    <w:rsid w:val="0028726B"/>
    <w:rsid w:val="00287E99"/>
    <w:rsid w:val="00290D24"/>
    <w:rsid w:val="00290FBD"/>
    <w:rsid w:val="002926DF"/>
    <w:rsid w:val="00292DD4"/>
    <w:rsid w:val="00294C77"/>
    <w:rsid w:val="00296697"/>
    <w:rsid w:val="00296806"/>
    <w:rsid w:val="00296D91"/>
    <w:rsid w:val="00297C48"/>
    <w:rsid w:val="002A08B3"/>
    <w:rsid w:val="002A0E52"/>
    <w:rsid w:val="002A1439"/>
    <w:rsid w:val="002A1E03"/>
    <w:rsid w:val="002A25FA"/>
    <w:rsid w:val="002A3D2F"/>
    <w:rsid w:val="002A5F0C"/>
    <w:rsid w:val="002A6EC6"/>
    <w:rsid w:val="002A72FC"/>
    <w:rsid w:val="002B0436"/>
    <w:rsid w:val="002B0472"/>
    <w:rsid w:val="002B11DE"/>
    <w:rsid w:val="002B1797"/>
    <w:rsid w:val="002B1B85"/>
    <w:rsid w:val="002B2234"/>
    <w:rsid w:val="002B2AFE"/>
    <w:rsid w:val="002B3015"/>
    <w:rsid w:val="002B4145"/>
    <w:rsid w:val="002B5E69"/>
    <w:rsid w:val="002B6440"/>
    <w:rsid w:val="002B6B12"/>
    <w:rsid w:val="002B7B1C"/>
    <w:rsid w:val="002C087F"/>
    <w:rsid w:val="002C15EA"/>
    <w:rsid w:val="002C1978"/>
    <w:rsid w:val="002C2735"/>
    <w:rsid w:val="002C301A"/>
    <w:rsid w:val="002C4152"/>
    <w:rsid w:val="002C4753"/>
    <w:rsid w:val="002C52AC"/>
    <w:rsid w:val="002C5949"/>
    <w:rsid w:val="002D0EA7"/>
    <w:rsid w:val="002D20D9"/>
    <w:rsid w:val="002D35B1"/>
    <w:rsid w:val="002D440E"/>
    <w:rsid w:val="002D4B5B"/>
    <w:rsid w:val="002D6744"/>
    <w:rsid w:val="002D6870"/>
    <w:rsid w:val="002D696A"/>
    <w:rsid w:val="002D75E9"/>
    <w:rsid w:val="002E00F8"/>
    <w:rsid w:val="002E0223"/>
    <w:rsid w:val="002E3B6E"/>
    <w:rsid w:val="002E3CE8"/>
    <w:rsid w:val="002E3D41"/>
    <w:rsid w:val="002E575D"/>
    <w:rsid w:val="002E6140"/>
    <w:rsid w:val="002E6303"/>
    <w:rsid w:val="002E6985"/>
    <w:rsid w:val="002E71B6"/>
    <w:rsid w:val="002E72F5"/>
    <w:rsid w:val="002F0C89"/>
    <w:rsid w:val="002F1F81"/>
    <w:rsid w:val="002F359A"/>
    <w:rsid w:val="002F3918"/>
    <w:rsid w:val="002F77C8"/>
    <w:rsid w:val="00300A62"/>
    <w:rsid w:val="00303707"/>
    <w:rsid w:val="0030422B"/>
    <w:rsid w:val="003042C1"/>
    <w:rsid w:val="00304A8F"/>
    <w:rsid w:val="00304C1D"/>
    <w:rsid w:val="00304F22"/>
    <w:rsid w:val="00306C7C"/>
    <w:rsid w:val="00307A05"/>
    <w:rsid w:val="00310217"/>
    <w:rsid w:val="003116A2"/>
    <w:rsid w:val="00312341"/>
    <w:rsid w:val="0031252F"/>
    <w:rsid w:val="00314457"/>
    <w:rsid w:val="00315E34"/>
    <w:rsid w:val="0031645A"/>
    <w:rsid w:val="0031787F"/>
    <w:rsid w:val="00320094"/>
    <w:rsid w:val="003207FC"/>
    <w:rsid w:val="00320936"/>
    <w:rsid w:val="00321021"/>
    <w:rsid w:val="0032105B"/>
    <w:rsid w:val="00321C28"/>
    <w:rsid w:val="0032219F"/>
    <w:rsid w:val="00322C83"/>
    <w:rsid w:val="00322EDD"/>
    <w:rsid w:val="003237FB"/>
    <w:rsid w:val="00323958"/>
    <w:rsid w:val="00323D3D"/>
    <w:rsid w:val="00324B9F"/>
    <w:rsid w:val="00324BB0"/>
    <w:rsid w:val="00324BD5"/>
    <w:rsid w:val="00325F88"/>
    <w:rsid w:val="00326C6B"/>
    <w:rsid w:val="00327127"/>
    <w:rsid w:val="0032757A"/>
    <w:rsid w:val="00327D1A"/>
    <w:rsid w:val="00332320"/>
    <w:rsid w:val="00332939"/>
    <w:rsid w:val="00332A25"/>
    <w:rsid w:val="00332A54"/>
    <w:rsid w:val="00332A67"/>
    <w:rsid w:val="003337D8"/>
    <w:rsid w:val="0033494C"/>
    <w:rsid w:val="00334C90"/>
    <w:rsid w:val="00335EA8"/>
    <w:rsid w:val="0033608A"/>
    <w:rsid w:val="003402B6"/>
    <w:rsid w:val="00342218"/>
    <w:rsid w:val="00342EB3"/>
    <w:rsid w:val="003431EB"/>
    <w:rsid w:val="003453A4"/>
    <w:rsid w:val="003457D7"/>
    <w:rsid w:val="00345959"/>
    <w:rsid w:val="00346B44"/>
    <w:rsid w:val="0034767F"/>
    <w:rsid w:val="00347D72"/>
    <w:rsid w:val="003513C8"/>
    <w:rsid w:val="00353959"/>
    <w:rsid w:val="00354919"/>
    <w:rsid w:val="00354F10"/>
    <w:rsid w:val="003564F0"/>
    <w:rsid w:val="00357611"/>
    <w:rsid w:val="00357A65"/>
    <w:rsid w:val="00357AFB"/>
    <w:rsid w:val="00360530"/>
    <w:rsid w:val="003627DE"/>
    <w:rsid w:val="00363016"/>
    <w:rsid w:val="003638B4"/>
    <w:rsid w:val="003639E6"/>
    <w:rsid w:val="00367237"/>
    <w:rsid w:val="0037077F"/>
    <w:rsid w:val="00372411"/>
    <w:rsid w:val="00373882"/>
    <w:rsid w:val="0037448F"/>
    <w:rsid w:val="003744CA"/>
    <w:rsid w:val="003750AC"/>
    <w:rsid w:val="0037524C"/>
    <w:rsid w:val="003768E5"/>
    <w:rsid w:val="0037729E"/>
    <w:rsid w:val="00377B56"/>
    <w:rsid w:val="00381554"/>
    <w:rsid w:val="003815F4"/>
    <w:rsid w:val="00382390"/>
    <w:rsid w:val="00383F2E"/>
    <w:rsid w:val="0038410A"/>
    <w:rsid w:val="003843DB"/>
    <w:rsid w:val="003849E2"/>
    <w:rsid w:val="00384D18"/>
    <w:rsid w:val="00385E91"/>
    <w:rsid w:val="0038601E"/>
    <w:rsid w:val="003876E9"/>
    <w:rsid w:val="00391AA9"/>
    <w:rsid w:val="00392586"/>
    <w:rsid w:val="00393761"/>
    <w:rsid w:val="003953D4"/>
    <w:rsid w:val="00397500"/>
    <w:rsid w:val="00397C2D"/>
    <w:rsid w:val="00397D18"/>
    <w:rsid w:val="003A0AD0"/>
    <w:rsid w:val="003A139B"/>
    <w:rsid w:val="003A1B36"/>
    <w:rsid w:val="003A25B8"/>
    <w:rsid w:val="003A3452"/>
    <w:rsid w:val="003A4792"/>
    <w:rsid w:val="003A4C31"/>
    <w:rsid w:val="003A6735"/>
    <w:rsid w:val="003A6A33"/>
    <w:rsid w:val="003A77DA"/>
    <w:rsid w:val="003B0C2D"/>
    <w:rsid w:val="003B1454"/>
    <w:rsid w:val="003B18B6"/>
    <w:rsid w:val="003B1A4C"/>
    <w:rsid w:val="003B1F9A"/>
    <w:rsid w:val="003B2361"/>
    <w:rsid w:val="003B33FE"/>
    <w:rsid w:val="003B4300"/>
    <w:rsid w:val="003B4D10"/>
    <w:rsid w:val="003B69FB"/>
    <w:rsid w:val="003B6D42"/>
    <w:rsid w:val="003B6FC7"/>
    <w:rsid w:val="003B74E4"/>
    <w:rsid w:val="003C0124"/>
    <w:rsid w:val="003C1C25"/>
    <w:rsid w:val="003C425A"/>
    <w:rsid w:val="003C4B7E"/>
    <w:rsid w:val="003C59E0"/>
    <w:rsid w:val="003C6079"/>
    <w:rsid w:val="003C66FA"/>
    <w:rsid w:val="003C6C8D"/>
    <w:rsid w:val="003C6FB0"/>
    <w:rsid w:val="003C7300"/>
    <w:rsid w:val="003C758E"/>
    <w:rsid w:val="003D03EA"/>
    <w:rsid w:val="003D2E26"/>
    <w:rsid w:val="003D3174"/>
    <w:rsid w:val="003D3CCA"/>
    <w:rsid w:val="003D3F36"/>
    <w:rsid w:val="003D47B4"/>
    <w:rsid w:val="003D4EB4"/>
    <w:rsid w:val="003D4F95"/>
    <w:rsid w:val="003D5DAF"/>
    <w:rsid w:val="003D5F42"/>
    <w:rsid w:val="003D60A9"/>
    <w:rsid w:val="003D612A"/>
    <w:rsid w:val="003D6223"/>
    <w:rsid w:val="003D6A3A"/>
    <w:rsid w:val="003E0849"/>
    <w:rsid w:val="003E2BEB"/>
    <w:rsid w:val="003E2E1C"/>
    <w:rsid w:val="003E3394"/>
    <w:rsid w:val="003E4EDC"/>
    <w:rsid w:val="003E50F5"/>
    <w:rsid w:val="003E54FE"/>
    <w:rsid w:val="003F1E57"/>
    <w:rsid w:val="003F23F8"/>
    <w:rsid w:val="003F2669"/>
    <w:rsid w:val="003F29C1"/>
    <w:rsid w:val="003F42C7"/>
    <w:rsid w:val="003F468F"/>
    <w:rsid w:val="003F4C97"/>
    <w:rsid w:val="003F5092"/>
    <w:rsid w:val="003F62CF"/>
    <w:rsid w:val="003F7FE6"/>
    <w:rsid w:val="00400193"/>
    <w:rsid w:val="0040103E"/>
    <w:rsid w:val="00401337"/>
    <w:rsid w:val="00401F87"/>
    <w:rsid w:val="004029CF"/>
    <w:rsid w:val="00402D1D"/>
    <w:rsid w:val="004078B9"/>
    <w:rsid w:val="00411654"/>
    <w:rsid w:val="00411F82"/>
    <w:rsid w:val="00415F50"/>
    <w:rsid w:val="004170F6"/>
    <w:rsid w:val="004212E7"/>
    <w:rsid w:val="00421A4D"/>
    <w:rsid w:val="00422A69"/>
    <w:rsid w:val="0042446D"/>
    <w:rsid w:val="00424C18"/>
    <w:rsid w:val="00427774"/>
    <w:rsid w:val="00427BF8"/>
    <w:rsid w:val="00430580"/>
    <w:rsid w:val="004313A7"/>
    <w:rsid w:val="00431A5C"/>
    <w:rsid w:val="00431C02"/>
    <w:rsid w:val="00432B4A"/>
    <w:rsid w:val="0043404D"/>
    <w:rsid w:val="00436B82"/>
    <w:rsid w:val="00437395"/>
    <w:rsid w:val="004401C7"/>
    <w:rsid w:val="00440700"/>
    <w:rsid w:val="0044076B"/>
    <w:rsid w:val="0044135A"/>
    <w:rsid w:val="004417FA"/>
    <w:rsid w:val="00441A8B"/>
    <w:rsid w:val="004420A9"/>
    <w:rsid w:val="00442B0F"/>
    <w:rsid w:val="004436B4"/>
    <w:rsid w:val="00445047"/>
    <w:rsid w:val="00446DA6"/>
    <w:rsid w:val="004470D2"/>
    <w:rsid w:val="004477C2"/>
    <w:rsid w:val="004501AE"/>
    <w:rsid w:val="0045271F"/>
    <w:rsid w:val="004550D9"/>
    <w:rsid w:val="00455144"/>
    <w:rsid w:val="0045609E"/>
    <w:rsid w:val="004573DF"/>
    <w:rsid w:val="00460304"/>
    <w:rsid w:val="00460559"/>
    <w:rsid w:val="00461BDE"/>
    <w:rsid w:val="00463E39"/>
    <w:rsid w:val="00464224"/>
    <w:rsid w:val="004657FC"/>
    <w:rsid w:val="00466210"/>
    <w:rsid w:val="00467BE9"/>
    <w:rsid w:val="004700B5"/>
    <w:rsid w:val="004712DB"/>
    <w:rsid w:val="004716FD"/>
    <w:rsid w:val="00471D75"/>
    <w:rsid w:val="004722FA"/>
    <w:rsid w:val="00472D1F"/>
    <w:rsid w:val="004733F6"/>
    <w:rsid w:val="00474A3A"/>
    <w:rsid w:val="00474A79"/>
    <w:rsid w:val="00474E69"/>
    <w:rsid w:val="00475671"/>
    <w:rsid w:val="0047614A"/>
    <w:rsid w:val="00476524"/>
    <w:rsid w:val="00476B05"/>
    <w:rsid w:val="00477EFC"/>
    <w:rsid w:val="004815D6"/>
    <w:rsid w:val="00482D0F"/>
    <w:rsid w:val="00483062"/>
    <w:rsid w:val="00483EDF"/>
    <w:rsid w:val="00483F13"/>
    <w:rsid w:val="00484EFF"/>
    <w:rsid w:val="004875F8"/>
    <w:rsid w:val="00490E03"/>
    <w:rsid w:val="00492B21"/>
    <w:rsid w:val="00492F88"/>
    <w:rsid w:val="00493BA8"/>
    <w:rsid w:val="004942C8"/>
    <w:rsid w:val="00494717"/>
    <w:rsid w:val="00494F4F"/>
    <w:rsid w:val="00495E1F"/>
    <w:rsid w:val="0049621B"/>
    <w:rsid w:val="004968D1"/>
    <w:rsid w:val="004A0D17"/>
    <w:rsid w:val="004A2ACA"/>
    <w:rsid w:val="004A2E81"/>
    <w:rsid w:val="004A311F"/>
    <w:rsid w:val="004A3305"/>
    <w:rsid w:val="004A5B9E"/>
    <w:rsid w:val="004A5CF4"/>
    <w:rsid w:val="004A69F6"/>
    <w:rsid w:val="004A6AEE"/>
    <w:rsid w:val="004A7B44"/>
    <w:rsid w:val="004B0936"/>
    <w:rsid w:val="004B148D"/>
    <w:rsid w:val="004B1BA4"/>
    <w:rsid w:val="004B1ED2"/>
    <w:rsid w:val="004B298F"/>
    <w:rsid w:val="004B49AE"/>
    <w:rsid w:val="004B4A40"/>
    <w:rsid w:val="004B7E27"/>
    <w:rsid w:val="004C1895"/>
    <w:rsid w:val="004C23D2"/>
    <w:rsid w:val="004C348C"/>
    <w:rsid w:val="004C3E99"/>
    <w:rsid w:val="004C6B17"/>
    <w:rsid w:val="004C6D40"/>
    <w:rsid w:val="004D0683"/>
    <w:rsid w:val="004D0F47"/>
    <w:rsid w:val="004D1923"/>
    <w:rsid w:val="004D2DD3"/>
    <w:rsid w:val="004D507F"/>
    <w:rsid w:val="004D50DD"/>
    <w:rsid w:val="004D5B08"/>
    <w:rsid w:val="004D6C8D"/>
    <w:rsid w:val="004D7711"/>
    <w:rsid w:val="004D7A31"/>
    <w:rsid w:val="004E0604"/>
    <w:rsid w:val="004E07D3"/>
    <w:rsid w:val="004E23CC"/>
    <w:rsid w:val="004E2B0A"/>
    <w:rsid w:val="004E4803"/>
    <w:rsid w:val="004E497C"/>
    <w:rsid w:val="004E5048"/>
    <w:rsid w:val="004E584D"/>
    <w:rsid w:val="004E59AA"/>
    <w:rsid w:val="004E67B9"/>
    <w:rsid w:val="004E6906"/>
    <w:rsid w:val="004F0C3C"/>
    <w:rsid w:val="004F13A9"/>
    <w:rsid w:val="004F1F24"/>
    <w:rsid w:val="004F43BC"/>
    <w:rsid w:val="004F492A"/>
    <w:rsid w:val="004F63FC"/>
    <w:rsid w:val="004F75C3"/>
    <w:rsid w:val="00500599"/>
    <w:rsid w:val="00501812"/>
    <w:rsid w:val="00501A4C"/>
    <w:rsid w:val="005028E0"/>
    <w:rsid w:val="0050322B"/>
    <w:rsid w:val="005039CD"/>
    <w:rsid w:val="00504306"/>
    <w:rsid w:val="0050497E"/>
    <w:rsid w:val="0050562F"/>
    <w:rsid w:val="00505977"/>
    <w:rsid w:val="00505A92"/>
    <w:rsid w:val="005067E3"/>
    <w:rsid w:val="00506EDA"/>
    <w:rsid w:val="005116B3"/>
    <w:rsid w:val="00511C58"/>
    <w:rsid w:val="005123BF"/>
    <w:rsid w:val="005135D9"/>
    <w:rsid w:val="00513DB5"/>
    <w:rsid w:val="005140B7"/>
    <w:rsid w:val="00515B9C"/>
    <w:rsid w:val="005203F1"/>
    <w:rsid w:val="005206C8"/>
    <w:rsid w:val="00521212"/>
    <w:rsid w:val="00521974"/>
    <w:rsid w:val="00521A37"/>
    <w:rsid w:val="00521A3D"/>
    <w:rsid w:val="00521BC3"/>
    <w:rsid w:val="00521F50"/>
    <w:rsid w:val="005256FC"/>
    <w:rsid w:val="005260D6"/>
    <w:rsid w:val="00526CC8"/>
    <w:rsid w:val="00527729"/>
    <w:rsid w:val="00527B57"/>
    <w:rsid w:val="00531F73"/>
    <w:rsid w:val="00533632"/>
    <w:rsid w:val="00533D2F"/>
    <w:rsid w:val="00533E00"/>
    <w:rsid w:val="00533FE8"/>
    <w:rsid w:val="00534B2A"/>
    <w:rsid w:val="0053510F"/>
    <w:rsid w:val="005358B1"/>
    <w:rsid w:val="00536343"/>
    <w:rsid w:val="0053773B"/>
    <w:rsid w:val="00541339"/>
    <w:rsid w:val="005416A7"/>
    <w:rsid w:val="00541E6E"/>
    <w:rsid w:val="00541ECD"/>
    <w:rsid w:val="0054251F"/>
    <w:rsid w:val="00543B74"/>
    <w:rsid w:val="00544FB7"/>
    <w:rsid w:val="00550CFB"/>
    <w:rsid w:val="00550F40"/>
    <w:rsid w:val="005520D8"/>
    <w:rsid w:val="00552CDC"/>
    <w:rsid w:val="005533BC"/>
    <w:rsid w:val="0055643F"/>
    <w:rsid w:val="00556CF1"/>
    <w:rsid w:val="00556E49"/>
    <w:rsid w:val="00561AE5"/>
    <w:rsid w:val="00562055"/>
    <w:rsid w:val="00564A74"/>
    <w:rsid w:val="00564F88"/>
    <w:rsid w:val="005664CC"/>
    <w:rsid w:val="00566DCE"/>
    <w:rsid w:val="00567186"/>
    <w:rsid w:val="005711A6"/>
    <w:rsid w:val="0057123A"/>
    <w:rsid w:val="00572FE5"/>
    <w:rsid w:val="005731B7"/>
    <w:rsid w:val="005734C2"/>
    <w:rsid w:val="00573E4D"/>
    <w:rsid w:val="005757FE"/>
    <w:rsid w:val="00575D05"/>
    <w:rsid w:val="005762A7"/>
    <w:rsid w:val="0058057D"/>
    <w:rsid w:val="005828C3"/>
    <w:rsid w:val="00582A3E"/>
    <w:rsid w:val="00582D3F"/>
    <w:rsid w:val="0058423F"/>
    <w:rsid w:val="005878F7"/>
    <w:rsid w:val="00587E37"/>
    <w:rsid w:val="0059067C"/>
    <w:rsid w:val="0059075A"/>
    <w:rsid w:val="0059157A"/>
    <w:rsid w:val="005916D7"/>
    <w:rsid w:val="00596464"/>
    <w:rsid w:val="005966D4"/>
    <w:rsid w:val="0059710B"/>
    <w:rsid w:val="005A2AEF"/>
    <w:rsid w:val="005A3C7F"/>
    <w:rsid w:val="005A6159"/>
    <w:rsid w:val="005A698C"/>
    <w:rsid w:val="005A7750"/>
    <w:rsid w:val="005A7BB3"/>
    <w:rsid w:val="005B0772"/>
    <w:rsid w:val="005B1FEB"/>
    <w:rsid w:val="005B22F0"/>
    <w:rsid w:val="005B4411"/>
    <w:rsid w:val="005B630A"/>
    <w:rsid w:val="005C02D8"/>
    <w:rsid w:val="005C0D7D"/>
    <w:rsid w:val="005C13CD"/>
    <w:rsid w:val="005C14BD"/>
    <w:rsid w:val="005C196B"/>
    <w:rsid w:val="005C2F67"/>
    <w:rsid w:val="005C34F9"/>
    <w:rsid w:val="005C4DE6"/>
    <w:rsid w:val="005C577E"/>
    <w:rsid w:val="005C7031"/>
    <w:rsid w:val="005C7565"/>
    <w:rsid w:val="005C7710"/>
    <w:rsid w:val="005C7B5D"/>
    <w:rsid w:val="005D1D5A"/>
    <w:rsid w:val="005D230C"/>
    <w:rsid w:val="005D2934"/>
    <w:rsid w:val="005D46D8"/>
    <w:rsid w:val="005D4BCF"/>
    <w:rsid w:val="005D5835"/>
    <w:rsid w:val="005D5992"/>
    <w:rsid w:val="005D5B8E"/>
    <w:rsid w:val="005D789E"/>
    <w:rsid w:val="005D7DB0"/>
    <w:rsid w:val="005D7F38"/>
    <w:rsid w:val="005E0799"/>
    <w:rsid w:val="005E0A61"/>
    <w:rsid w:val="005E0D63"/>
    <w:rsid w:val="005E115E"/>
    <w:rsid w:val="005E1D1E"/>
    <w:rsid w:val="005E4031"/>
    <w:rsid w:val="005E540A"/>
    <w:rsid w:val="005E620F"/>
    <w:rsid w:val="005E6EB3"/>
    <w:rsid w:val="005E6F3A"/>
    <w:rsid w:val="005F09AD"/>
    <w:rsid w:val="005F11DF"/>
    <w:rsid w:val="005F1EA9"/>
    <w:rsid w:val="005F1F3D"/>
    <w:rsid w:val="005F2B8E"/>
    <w:rsid w:val="005F2C48"/>
    <w:rsid w:val="005F2E2D"/>
    <w:rsid w:val="005F5A80"/>
    <w:rsid w:val="005F5E6B"/>
    <w:rsid w:val="005F6A4E"/>
    <w:rsid w:val="005F6CCC"/>
    <w:rsid w:val="005F7FD8"/>
    <w:rsid w:val="00600D5C"/>
    <w:rsid w:val="0060146F"/>
    <w:rsid w:val="00602A7C"/>
    <w:rsid w:val="006044FF"/>
    <w:rsid w:val="0060484B"/>
    <w:rsid w:val="006051FF"/>
    <w:rsid w:val="00606832"/>
    <w:rsid w:val="00607CC5"/>
    <w:rsid w:val="006109D8"/>
    <w:rsid w:val="00611143"/>
    <w:rsid w:val="006111C4"/>
    <w:rsid w:val="006127DE"/>
    <w:rsid w:val="006135D3"/>
    <w:rsid w:val="00613E03"/>
    <w:rsid w:val="006145B6"/>
    <w:rsid w:val="00614F6B"/>
    <w:rsid w:val="0061727D"/>
    <w:rsid w:val="006232C8"/>
    <w:rsid w:val="00623E67"/>
    <w:rsid w:val="006255CD"/>
    <w:rsid w:val="00625B77"/>
    <w:rsid w:val="00625E5B"/>
    <w:rsid w:val="00626BD1"/>
    <w:rsid w:val="006319E3"/>
    <w:rsid w:val="00632CCE"/>
    <w:rsid w:val="00633014"/>
    <w:rsid w:val="00633332"/>
    <w:rsid w:val="00633882"/>
    <w:rsid w:val="0063437B"/>
    <w:rsid w:val="00634948"/>
    <w:rsid w:val="0063564F"/>
    <w:rsid w:val="00636FBD"/>
    <w:rsid w:val="00637458"/>
    <w:rsid w:val="0064144A"/>
    <w:rsid w:val="00646F3A"/>
    <w:rsid w:val="00647316"/>
    <w:rsid w:val="00647D55"/>
    <w:rsid w:val="00650698"/>
    <w:rsid w:val="006510FD"/>
    <w:rsid w:val="00652884"/>
    <w:rsid w:val="00654166"/>
    <w:rsid w:val="00654D2E"/>
    <w:rsid w:val="00654EA6"/>
    <w:rsid w:val="00655460"/>
    <w:rsid w:val="00655E21"/>
    <w:rsid w:val="00660624"/>
    <w:rsid w:val="006624D6"/>
    <w:rsid w:val="0066338E"/>
    <w:rsid w:val="006670D3"/>
    <w:rsid w:val="006673CA"/>
    <w:rsid w:val="00670DB1"/>
    <w:rsid w:val="00671BFE"/>
    <w:rsid w:val="00672336"/>
    <w:rsid w:val="006726D5"/>
    <w:rsid w:val="00673C26"/>
    <w:rsid w:val="00673FC8"/>
    <w:rsid w:val="00674708"/>
    <w:rsid w:val="00674A5B"/>
    <w:rsid w:val="00675755"/>
    <w:rsid w:val="006812AF"/>
    <w:rsid w:val="0068157C"/>
    <w:rsid w:val="00681F04"/>
    <w:rsid w:val="00682527"/>
    <w:rsid w:val="0068327D"/>
    <w:rsid w:val="006836F9"/>
    <w:rsid w:val="00683DE7"/>
    <w:rsid w:val="006840A7"/>
    <w:rsid w:val="0068627A"/>
    <w:rsid w:val="006863A7"/>
    <w:rsid w:val="0068741D"/>
    <w:rsid w:val="00687461"/>
    <w:rsid w:val="00687791"/>
    <w:rsid w:val="00690E21"/>
    <w:rsid w:val="006929FE"/>
    <w:rsid w:val="00692C33"/>
    <w:rsid w:val="00692D54"/>
    <w:rsid w:val="00692FD9"/>
    <w:rsid w:val="00693338"/>
    <w:rsid w:val="00694465"/>
    <w:rsid w:val="00694AF0"/>
    <w:rsid w:val="00694BB4"/>
    <w:rsid w:val="00694DE3"/>
    <w:rsid w:val="00697D5A"/>
    <w:rsid w:val="006A0558"/>
    <w:rsid w:val="006A0698"/>
    <w:rsid w:val="006A25DA"/>
    <w:rsid w:val="006A2F59"/>
    <w:rsid w:val="006A43C7"/>
    <w:rsid w:val="006A4686"/>
    <w:rsid w:val="006A4D40"/>
    <w:rsid w:val="006A6058"/>
    <w:rsid w:val="006A6986"/>
    <w:rsid w:val="006A71F6"/>
    <w:rsid w:val="006B0E9E"/>
    <w:rsid w:val="006B14B8"/>
    <w:rsid w:val="006B1CD5"/>
    <w:rsid w:val="006B1F19"/>
    <w:rsid w:val="006B39B9"/>
    <w:rsid w:val="006B4C77"/>
    <w:rsid w:val="006B533F"/>
    <w:rsid w:val="006B5679"/>
    <w:rsid w:val="006B5AE4"/>
    <w:rsid w:val="006B7C37"/>
    <w:rsid w:val="006C0943"/>
    <w:rsid w:val="006C10C8"/>
    <w:rsid w:val="006C2B81"/>
    <w:rsid w:val="006C3C6D"/>
    <w:rsid w:val="006C46C0"/>
    <w:rsid w:val="006C521E"/>
    <w:rsid w:val="006C5D1A"/>
    <w:rsid w:val="006C6499"/>
    <w:rsid w:val="006C6F58"/>
    <w:rsid w:val="006C6FA5"/>
    <w:rsid w:val="006C77BB"/>
    <w:rsid w:val="006C7876"/>
    <w:rsid w:val="006C788C"/>
    <w:rsid w:val="006C7EEC"/>
    <w:rsid w:val="006D0A0D"/>
    <w:rsid w:val="006D1507"/>
    <w:rsid w:val="006D1D38"/>
    <w:rsid w:val="006D20DC"/>
    <w:rsid w:val="006D3BCA"/>
    <w:rsid w:val="006D3D65"/>
    <w:rsid w:val="006D4054"/>
    <w:rsid w:val="006D5D15"/>
    <w:rsid w:val="006D633C"/>
    <w:rsid w:val="006D63CB"/>
    <w:rsid w:val="006D663B"/>
    <w:rsid w:val="006D670B"/>
    <w:rsid w:val="006D7790"/>
    <w:rsid w:val="006E01DE"/>
    <w:rsid w:val="006E02EC"/>
    <w:rsid w:val="006E23F6"/>
    <w:rsid w:val="006E2BD8"/>
    <w:rsid w:val="006E2E50"/>
    <w:rsid w:val="006E504B"/>
    <w:rsid w:val="006E70FA"/>
    <w:rsid w:val="006E7636"/>
    <w:rsid w:val="006E7F78"/>
    <w:rsid w:val="006F08B9"/>
    <w:rsid w:val="006F17E2"/>
    <w:rsid w:val="006F2DD9"/>
    <w:rsid w:val="006F45DA"/>
    <w:rsid w:val="006F51D0"/>
    <w:rsid w:val="006F6DCF"/>
    <w:rsid w:val="006F7343"/>
    <w:rsid w:val="0070279F"/>
    <w:rsid w:val="007029B6"/>
    <w:rsid w:val="00702C2F"/>
    <w:rsid w:val="00702D89"/>
    <w:rsid w:val="00703057"/>
    <w:rsid w:val="00703D63"/>
    <w:rsid w:val="00703FDA"/>
    <w:rsid w:val="00705CD4"/>
    <w:rsid w:val="0070624D"/>
    <w:rsid w:val="00706A79"/>
    <w:rsid w:val="00707906"/>
    <w:rsid w:val="007103FC"/>
    <w:rsid w:val="0071101D"/>
    <w:rsid w:val="007116B6"/>
    <w:rsid w:val="00711880"/>
    <w:rsid w:val="00713CA6"/>
    <w:rsid w:val="00715D29"/>
    <w:rsid w:val="0071615B"/>
    <w:rsid w:val="00716DE0"/>
    <w:rsid w:val="0072040E"/>
    <w:rsid w:val="007211B1"/>
    <w:rsid w:val="00724030"/>
    <w:rsid w:val="00724F3D"/>
    <w:rsid w:val="00725B62"/>
    <w:rsid w:val="007275B6"/>
    <w:rsid w:val="00727703"/>
    <w:rsid w:val="007302D5"/>
    <w:rsid w:val="00733FD7"/>
    <w:rsid w:val="007347E4"/>
    <w:rsid w:val="00734888"/>
    <w:rsid w:val="00734FEF"/>
    <w:rsid w:val="00736E08"/>
    <w:rsid w:val="0073733E"/>
    <w:rsid w:val="007454E5"/>
    <w:rsid w:val="00746187"/>
    <w:rsid w:val="007502F3"/>
    <w:rsid w:val="00751A59"/>
    <w:rsid w:val="00751FAC"/>
    <w:rsid w:val="007527D6"/>
    <w:rsid w:val="00752DAC"/>
    <w:rsid w:val="007554B0"/>
    <w:rsid w:val="0075730C"/>
    <w:rsid w:val="00757E3A"/>
    <w:rsid w:val="007600E0"/>
    <w:rsid w:val="00760DE9"/>
    <w:rsid w:val="007611CD"/>
    <w:rsid w:val="0076254F"/>
    <w:rsid w:val="00762990"/>
    <w:rsid w:val="00762FF2"/>
    <w:rsid w:val="00763982"/>
    <w:rsid w:val="00764D9C"/>
    <w:rsid w:val="0076783B"/>
    <w:rsid w:val="00770FBE"/>
    <w:rsid w:val="00771A5A"/>
    <w:rsid w:val="0077245A"/>
    <w:rsid w:val="007731D8"/>
    <w:rsid w:val="00773CA2"/>
    <w:rsid w:val="00773CE5"/>
    <w:rsid w:val="0077402D"/>
    <w:rsid w:val="00774D61"/>
    <w:rsid w:val="00774D62"/>
    <w:rsid w:val="00775896"/>
    <w:rsid w:val="007758FD"/>
    <w:rsid w:val="00775EB2"/>
    <w:rsid w:val="007764D2"/>
    <w:rsid w:val="00777CB1"/>
    <w:rsid w:val="007801F5"/>
    <w:rsid w:val="00780345"/>
    <w:rsid w:val="00781653"/>
    <w:rsid w:val="007830C0"/>
    <w:rsid w:val="00783CA4"/>
    <w:rsid w:val="00783CAA"/>
    <w:rsid w:val="007842FB"/>
    <w:rsid w:val="00784644"/>
    <w:rsid w:val="00785127"/>
    <w:rsid w:val="00785360"/>
    <w:rsid w:val="00785540"/>
    <w:rsid w:val="00785705"/>
    <w:rsid w:val="00785882"/>
    <w:rsid w:val="00786124"/>
    <w:rsid w:val="007862D7"/>
    <w:rsid w:val="00790C3E"/>
    <w:rsid w:val="0079514B"/>
    <w:rsid w:val="00795FAF"/>
    <w:rsid w:val="007A11BD"/>
    <w:rsid w:val="007A2DC1"/>
    <w:rsid w:val="007A3E0B"/>
    <w:rsid w:val="007A5AAA"/>
    <w:rsid w:val="007A758A"/>
    <w:rsid w:val="007B08F3"/>
    <w:rsid w:val="007B0BAB"/>
    <w:rsid w:val="007B0D8F"/>
    <w:rsid w:val="007B1C71"/>
    <w:rsid w:val="007B3C4A"/>
    <w:rsid w:val="007B5D32"/>
    <w:rsid w:val="007B7481"/>
    <w:rsid w:val="007B74AB"/>
    <w:rsid w:val="007C0412"/>
    <w:rsid w:val="007C4094"/>
    <w:rsid w:val="007C5D21"/>
    <w:rsid w:val="007C73A0"/>
    <w:rsid w:val="007C763C"/>
    <w:rsid w:val="007D1C31"/>
    <w:rsid w:val="007D3319"/>
    <w:rsid w:val="007D335D"/>
    <w:rsid w:val="007D3642"/>
    <w:rsid w:val="007D4EB8"/>
    <w:rsid w:val="007D5898"/>
    <w:rsid w:val="007D6267"/>
    <w:rsid w:val="007D6B06"/>
    <w:rsid w:val="007E0193"/>
    <w:rsid w:val="007E04C5"/>
    <w:rsid w:val="007E0567"/>
    <w:rsid w:val="007E0DB2"/>
    <w:rsid w:val="007E0E31"/>
    <w:rsid w:val="007E1184"/>
    <w:rsid w:val="007E1352"/>
    <w:rsid w:val="007E1F14"/>
    <w:rsid w:val="007E2298"/>
    <w:rsid w:val="007E2664"/>
    <w:rsid w:val="007E2F9C"/>
    <w:rsid w:val="007E3314"/>
    <w:rsid w:val="007E4B03"/>
    <w:rsid w:val="007E6A56"/>
    <w:rsid w:val="007E716F"/>
    <w:rsid w:val="007F0167"/>
    <w:rsid w:val="007F04F4"/>
    <w:rsid w:val="007F25A3"/>
    <w:rsid w:val="007F275E"/>
    <w:rsid w:val="007F28BB"/>
    <w:rsid w:val="007F3132"/>
    <w:rsid w:val="007F324B"/>
    <w:rsid w:val="007F36F4"/>
    <w:rsid w:val="007F3898"/>
    <w:rsid w:val="007F4A26"/>
    <w:rsid w:val="007F57B9"/>
    <w:rsid w:val="007F6485"/>
    <w:rsid w:val="007F70CD"/>
    <w:rsid w:val="007F76E9"/>
    <w:rsid w:val="007F7BFB"/>
    <w:rsid w:val="008021BD"/>
    <w:rsid w:val="0080273B"/>
    <w:rsid w:val="00802DC2"/>
    <w:rsid w:val="00803B35"/>
    <w:rsid w:val="0080553C"/>
    <w:rsid w:val="00805B46"/>
    <w:rsid w:val="008063BF"/>
    <w:rsid w:val="0081004B"/>
    <w:rsid w:val="008119BB"/>
    <w:rsid w:val="008127B9"/>
    <w:rsid w:val="00814191"/>
    <w:rsid w:val="0081438B"/>
    <w:rsid w:val="00814632"/>
    <w:rsid w:val="0081537D"/>
    <w:rsid w:val="008156F5"/>
    <w:rsid w:val="0081668A"/>
    <w:rsid w:val="00816E06"/>
    <w:rsid w:val="008179EE"/>
    <w:rsid w:val="008205A7"/>
    <w:rsid w:val="008223FB"/>
    <w:rsid w:val="008235B1"/>
    <w:rsid w:val="00825D7C"/>
    <w:rsid w:val="00825DC2"/>
    <w:rsid w:val="00826CD5"/>
    <w:rsid w:val="00826EF3"/>
    <w:rsid w:val="0082708E"/>
    <w:rsid w:val="00827A72"/>
    <w:rsid w:val="00830977"/>
    <w:rsid w:val="00830A13"/>
    <w:rsid w:val="0083126D"/>
    <w:rsid w:val="008321D9"/>
    <w:rsid w:val="0083283E"/>
    <w:rsid w:val="0083335F"/>
    <w:rsid w:val="008335A8"/>
    <w:rsid w:val="00834AD3"/>
    <w:rsid w:val="00834DE5"/>
    <w:rsid w:val="00835284"/>
    <w:rsid w:val="00840304"/>
    <w:rsid w:val="00843795"/>
    <w:rsid w:val="0084551C"/>
    <w:rsid w:val="00847F0F"/>
    <w:rsid w:val="00852448"/>
    <w:rsid w:val="008540F0"/>
    <w:rsid w:val="008562A0"/>
    <w:rsid w:val="00857074"/>
    <w:rsid w:val="00860BA6"/>
    <w:rsid w:val="00860D63"/>
    <w:rsid w:val="00861137"/>
    <w:rsid w:val="00862119"/>
    <w:rsid w:val="00864535"/>
    <w:rsid w:val="008667F0"/>
    <w:rsid w:val="0086798B"/>
    <w:rsid w:val="008706A0"/>
    <w:rsid w:val="008707CF"/>
    <w:rsid w:val="00872C2A"/>
    <w:rsid w:val="0087427F"/>
    <w:rsid w:val="00874865"/>
    <w:rsid w:val="0087508D"/>
    <w:rsid w:val="0087524B"/>
    <w:rsid w:val="008752CA"/>
    <w:rsid w:val="00875393"/>
    <w:rsid w:val="00875D6D"/>
    <w:rsid w:val="008770E5"/>
    <w:rsid w:val="008802BF"/>
    <w:rsid w:val="00880EE7"/>
    <w:rsid w:val="0088237D"/>
    <w:rsid w:val="0088258A"/>
    <w:rsid w:val="00882B10"/>
    <w:rsid w:val="00884D73"/>
    <w:rsid w:val="00884EDE"/>
    <w:rsid w:val="00886200"/>
    <w:rsid w:val="00886332"/>
    <w:rsid w:val="0088757B"/>
    <w:rsid w:val="0088797D"/>
    <w:rsid w:val="0089077C"/>
    <w:rsid w:val="00891047"/>
    <w:rsid w:val="0089152C"/>
    <w:rsid w:val="00892D89"/>
    <w:rsid w:val="00892F61"/>
    <w:rsid w:val="00893B8A"/>
    <w:rsid w:val="00894293"/>
    <w:rsid w:val="00895898"/>
    <w:rsid w:val="00895E30"/>
    <w:rsid w:val="008960A6"/>
    <w:rsid w:val="0089665A"/>
    <w:rsid w:val="00896D71"/>
    <w:rsid w:val="00897B0C"/>
    <w:rsid w:val="008A0964"/>
    <w:rsid w:val="008A0C4A"/>
    <w:rsid w:val="008A26D9"/>
    <w:rsid w:val="008A278B"/>
    <w:rsid w:val="008A2B30"/>
    <w:rsid w:val="008A3AA7"/>
    <w:rsid w:val="008A3C4A"/>
    <w:rsid w:val="008A455C"/>
    <w:rsid w:val="008A5AE9"/>
    <w:rsid w:val="008A648A"/>
    <w:rsid w:val="008A7009"/>
    <w:rsid w:val="008A7CF0"/>
    <w:rsid w:val="008B073D"/>
    <w:rsid w:val="008B188C"/>
    <w:rsid w:val="008B18FF"/>
    <w:rsid w:val="008B52D7"/>
    <w:rsid w:val="008B54CA"/>
    <w:rsid w:val="008B57F2"/>
    <w:rsid w:val="008B657E"/>
    <w:rsid w:val="008B6867"/>
    <w:rsid w:val="008B6991"/>
    <w:rsid w:val="008B7665"/>
    <w:rsid w:val="008C046A"/>
    <w:rsid w:val="008C0C29"/>
    <w:rsid w:val="008C7F4B"/>
    <w:rsid w:val="008D2898"/>
    <w:rsid w:val="008D28A2"/>
    <w:rsid w:val="008D2B2D"/>
    <w:rsid w:val="008D617E"/>
    <w:rsid w:val="008D7D3B"/>
    <w:rsid w:val="008E119E"/>
    <w:rsid w:val="008E24D9"/>
    <w:rsid w:val="008E2986"/>
    <w:rsid w:val="008E2C60"/>
    <w:rsid w:val="008E2FED"/>
    <w:rsid w:val="008E431C"/>
    <w:rsid w:val="008E48C4"/>
    <w:rsid w:val="008E5389"/>
    <w:rsid w:val="008F15F3"/>
    <w:rsid w:val="008F2245"/>
    <w:rsid w:val="008F2641"/>
    <w:rsid w:val="008F3204"/>
    <w:rsid w:val="008F3616"/>
    <w:rsid w:val="008F3638"/>
    <w:rsid w:val="008F4441"/>
    <w:rsid w:val="008F4694"/>
    <w:rsid w:val="008F5346"/>
    <w:rsid w:val="008F6139"/>
    <w:rsid w:val="008F615E"/>
    <w:rsid w:val="008F6964"/>
    <w:rsid w:val="008F6C3C"/>
    <w:rsid w:val="008F6F31"/>
    <w:rsid w:val="008F74DF"/>
    <w:rsid w:val="008F7E05"/>
    <w:rsid w:val="00901007"/>
    <w:rsid w:val="009014EF"/>
    <w:rsid w:val="00901ED6"/>
    <w:rsid w:val="0090252D"/>
    <w:rsid w:val="0090339B"/>
    <w:rsid w:val="009034B4"/>
    <w:rsid w:val="00903B7A"/>
    <w:rsid w:val="00903DA5"/>
    <w:rsid w:val="0090573A"/>
    <w:rsid w:val="00905FA7"/>
    <w:rsid w:val="00906D1B"/>
    <w:rsid w:val="00906F75"/>
    <w:rsid w:val="00907511"/>
    <w:rsid w:val="00907638"/>
    <w:rsid w:val="0091010B"/>
    <w:rsid w:val="00912465"/>
    <w:rsid w:val="009127BA"/>
    <w:rsid w:val="009143A0"/>
    <w:rsid w:val="00914D4C"/>
    <w:rsid w:val="00920460"/>
    <w:rsid w:val="00920A7E"/>
    <w:rsid w:val="00921FC2"/>
    <w:rsid w:val="009227A6"/>
    <w:rsid w:val="00923404"/>
    <w:rsid w:val="009255B9"/>
    <w:rsid w:val="00926858"/>
    <w:rsid w:val="0093054B"/>
    <w:rsid w:val="00930703"/>
    <w:rsid w:val="009317DD"/>
    <w:rsid w:val="009320D1"/>
    <w:rsid w:val="0093262A"/>
    <w:rsid w:val="00933A75"/>
    <w:rsid w:val="00933B31"/>
    <w:rsid w:val="00933EC1"/>
    <w:rsid w:val="00933F58"/>
    <w:rsid w:val="00933F94"/>
    <w:rsid w:val="00935DD5"/>
    <w:rsid w:val="00936260"/>
    <w:rsid w:val="00937540"/>
    <w:rsid w:val="00937F39"/>
    <w:rsid w:val="00940A2B"/>
    <w:rsid w:val="0094108F"/>
    <w:rsid w:val="00941240"/>
    <w:rsid w:val="009415FC"/>
    <w:rsid w:val="009441E7"/>
    <w:rsid w:val="00944BA9"/>
    <w:rsid w:val="00945F4D"/>
    <w:rsid w:val="0094652D"/>
    <w:rsid w:val="00947876"/>
    <w:rsid w:val="00950ADE"/>
    <w:rsid w:val="00951D9D"/>
    <w:rsid w:val="0095200D"/>
    <w:rsid w:val="00952578"/>
    <w:rsid w:val="00952D21"/>
    <w:rsid w:val="009530DB"/>
    <w:rsid w:val="00953676"/>
    <w:rsid w:val="00954B27"/>
    <w:rsid w:val="00956B79"/>
    <w:rsid w:val="009577AD"/>
    <w:rsid w:val="00957F9D"/>
    <w:rsid w:val="00960CD8"/>
    <w:rsid w:val="00961F59"/>
    <w:rsid w:val="00963117"/>
    <w:rsid w:val="0096399E"/>
    <w:rsid w:val="00965E96"/>
    <w:rsid w:val="00966AC9"/>
    <w:rsid w:val="009705EE"/>
    <w:rsid w:val="009712BA"/>
    <w:rsid w:val="00972330"/>
    <w:rsid w:val="0097394C"/>
    <w:rsid w:val="00973C01"/>
    <w:rsid w:val="00974594"/>
    <w:rsid w:val="00974AA6"/>
    <w:rsid w:val="00975622"/>
    <w:rsid w:val="0097699E"/>
    <w:rsid w:val="00976CCF"/>
    <w:rsid w:val="00977927"/>
    <w:rsid w:val="009804A8"/>
    <w:rsid w:val="00980AA6"/>
    <w:rsid w:val="0098135C"/>
    <w:rsid w:val="0098156A"/>
    <w:rsid w:val="009823F7"/>
    <w:rsid w:val="009838FE"/>
    <w:rsid w:val="00985670"/>
    <w:rsid w:val="009863A2"/>
    <w:rsid w:val="00986550"/>
    <w:rsid w:val="009877E0"/>
    <w:rsid w:val="00990738"/>
    <w:rsid w:val="00990DAA"/>
    <w:rsid w:val="00991260"/>
    <w:rsid w:val="00991980"/>
    <w:rsid w:val="00991BAC"/>
    <w:rsid w:val="00994420"/>
    <w:rsid w:val="00994B60"/>
    <w:rsid w:val="0099545C"/>
    <w:rsid w:val="009978F7"/>
    <w:rsid w:val="009A0387"/>
    <w:rsid w:val="009A235F"/>
    <w:rsid w:val="009A352C"/>
    <w:rsid w:val="009A3FCA"/>
    <w:rsid w:val="009A40BA"/>
    <w:rsid w:val="009A56AF"/>
    <w:rsid w:val="009A6187"/>
    <w:rsid w:val="009A6EA0"/>
    <w:rsid w:val="009A70D0"/>
    <w:rsid w:val="009A77B4"/>
    <w:rsid w:val="009B0038"/>
    <w:rsid w:val="009B10AC"/>
    <w:rsid w:val="009B2FD4"/>
    <w:rsid w:val="009B34C9"/>
    <w:rsid w:val="009B3FDD"/>
    <w:rsid w:val="009B5377"/>
    <w:rsid w:val="009B6E36"/>
    <w:rsid w:val="009B6F21"/>
    <w:rsid w:val="009B7EA0"/>
    <w:rsid w:val="009C0323"/>
    <w:rsid w:val="009C087A"/>
    <w:rsid w:val="009C099F"/>
    <w:rsid w:val="009C1335"/>
    <w:rsid w:val="009C1A80"/>
    <w:rsid w:val="009C1AB2"/>
    <w:rsid w:val="009C22E5"/>
    <w:rsid w:val="009C46C0"/>
    <w:rsid w:val="009C4C33"/>
    <w:rsid w:val="009C51C9"/>
    <w:rsid w:val="009C5ABA"/>
    <w:rsid w:val="009C6326"/>
    <w:rsid w:val="009C6E51"/>
    <w:rsid w:val="009C70C7"/>
    <w:rsid w:val="009C7251"/>
    <w:rsid w:val="009D064D"/>
    <w:rsid w:val="009D1396"/>
    <w:rsid w:val="009D1B1C"/>
    <w:rsid w:val="009D1E1D"/>
    <w:rsid w:val="009D288E"/>
    <w:rsid w:val="009D4395"/>
    <w:rsid w:val="009D4BF7"/>
    <w:rsid w:val="009D504A"/>
    <w:rsid w:val="009D5198"/>
    <w:rsid w:val="009E1086"/>
    <w:rsid w:val="009E2E91"/>
    <w:rsid w:val="009E34DB"/>
    <w:rsid w:val="009E44B0"/>
    <w:rsid w:val="009E51A3"/>
    <w:rsid w:val="009E6844"/>
    <w:rsid w:val="009F0BAB"/>
    <w:rsid w:val="009F12C2"/>
    <w:rsid w:val="009F2657"/>
    <w:rsid w:val="009F4263"/>
    <w:rsid w:val="009F5388"/>
    <w:rsid w:val="009F683A"/>
    <w:rsid w:val="009F6AA2"/>
    <w:rsid w:val="009F72BC"/>
    <w:rsid w:val="00A012CB"/>
    <w:rsid w:val="00A02CE3"/>
    <w:rsid w:val="00A03FD9"/>
    <w:rsid w:val="00A05E8C"/>
    <w:rsid w:val="00A05EAC"/>
    <w:rsid w:val="00A062C7"/>
    <w:rsid w:val="00A064EF"/>
    <w:rsid w:val="00A06D26"/>
    <w:rsid w:val="00A1024B"/>
    <w:rsid w:val="00A107C9"/>
    <w:rsid w:val="00A119B0"/>
    <w:rsid w:val="00A12085"/>
    <w:rsid w:val="00A12677"/>
    <w:rsid w:val="00A139F5"/>
    <w:rsid w:val="00A13B58"/>
    <w:rsid w:val="00A13CB9"/>
    <w:rsid w:val="00A140DA"/>
    <w:rsid w:val="00A145FF"/>
    <w:rsid w:val="00A166BC"/>
    <w:rsid w:val="00A16CDF"/>
    <w:rsid w:val="00A17319"/>
    <w:rsid w:val="00A178FA"/>
    <w:rsid w:val="00A20345"/>
    <w:rsid w:val="00A20E77"/>
    <w:rsid w:val="00A212B2"/>
    <w:rsid w:val="00A215C4"/>
    <w:rsid w:val="00A219FA"/>
    <w:rsid w:val="00A22217"/>
    <w:rsid w:val="00A22B02"/>
    <w:rsid w:val="00A241B1"/>
    <w:rsid w:val="00A2518C"/>
    <w:rsid w:val="00A25898"/>
    <w:rsid w:val="00A258B3"/>
    <w:rsid w:val="00A27749"/>
    <w:rsid w:val="00A305D4"/>
    <w:rsid w:val="00A30A55"/>
    <w:rsid w:val="00A31AC9"/>
    <w:rsid w:val="00A31C8C"/>
    <w:rsid w:val="00A325CB"/>
    <w:rsid w:val="00A3273B"/>
    <w:rsid w:val="00A34416"/>
    <w:rsid w:val="00A3489A"/>
    <w:rsid w:val="00A36254"/>
    <w:rsid w:val="00A365F4"/>
    <w:rsid w:val="00A36CBA"/>
    <w:rsid w:val="00A37950"/>
    <w:rsid w:val="00A40C0F"/>
    <w:rsid w:val="00A40D40"/>
    <w:rsid w:val="00A4600B"/>
    <w:rsid w:val="00A46164"/>
    <w:rsid w:val="00A47D80"/>
    <w:rsid w:val="00A5010A"/>
    <w:rsid w:val="00A517AB"/>
    <w:rsid w:val="00A51E94"/>
    <w:rsid w:val="00A528D8"/>
    <w:rsid w:val="00A529D6"/>
    <w:rsid w:val="00A53132"/>
    <w:rsid w:val="00A55A05"/>
    <w:rsid w:val="00A55CA7"/>
    <w:rsid w:val="00A563F2"/>
    <w:rsid w:val="00A564BA"/>
    <w:rsid w:val="00A566E8"/>
    <w:rsid w:val="00A56EB5"/>
    <w:rsid w:val="00A571DC"/>
    <w:rsid w:val="00A57435"/>
    <w:rsid w:val="00A60645"/>
    <w:rsid w:val="00A61095"/>
    <w:rsid w:val="00A63893"/>
    <w:rsid w:val="00A656F8"/>
    <w:rsid w:val="00A65B90"/>
    <w:rsid w:val="00A66E8F"/>
    <w:rsid w:val="00A672EA"/>
    <w:rsid w:val="00A72084"/>
    <w:rsid w:val="00A72341"/>
    <w:rsid w:val="00A72BCA"/>
    <w:rsid w:val="00A731F9"/>
    <w:rsid w:val="00A76F38"/>
    <w:rsid w:val="00A77A42"/>
    <w:rsid w:val="00A810F9"/>
    <w:rsid w:val="00A84095"/>
    <w:rsid w:val="00A8595F"/>
    <w:rsid w:val="00A86AF8"/>
    <w:rsid w:val="00A86DDA"/>
    <w:rsid w:val="00A86EAA"/>
    <w:rsid w:val="00A86ECC"/>
    <w:rsid w:val="00A86FCC"/>
    <w:rsid w:val="00A9012A"/>
    <w:rsid w:val="00A91B28"/>
    <w:rsid w:val="00A91DCC"/>
    <w:rsid w:val="00A93D4E"/>
    <w:rsid w:val="00A95936"/>
    <w:rsid w:val="00A97694"/>
    <w:rsid w:val="00AA2A86"/>
    <w:rsid w:val="00AA2E9B"/>
    <w:rsid w:val="00AA4478"/>
    <w:rsid w:val="00AA710D"/>
    <w:rsid w:val="00AB1674"/>
    <w:rsid w:val="00AB1889"/>
    <w:rsid w:val="00AB1D39"/>
    <w:rsid w:val="00AB2F6D"/>
    <w:rsid w:val="00AB3E7F"/>
    <w:rsid w:val="00AB436F"/>
    <w:rsid w:val="00AB520C"/>
    <w:rsid w:val="00AB5D35"/>
    <w:rsid w:val="00AB6184"/>
    <w:rsid w:val="00AB678D"/>
    <w:rsid w:val="00AB6AD5"/>
    <w:rsid w:val="00AB6D25"/>
    <w:rsid w:val="00AB6FFC"/>
    <w:rsid w:val="00AB7D66"/>
    <w:rsid w:val="00AC0BBF"/>
    <w:rsid w:val="00AC0E82"/>
    <w:rsid w:val="00AC1180"/>
    <w:rsid w:val="00AC213B"/>
    <w:rsid w:val="00AC2753"/>
    <w:rsid w:val="00AC576C"/>
    <w:rsid w:val="00AC5B86"/>
    <w:rsid w:val="00AC6E12"/>
    <w:rsid w:val="00AD0033"/>
    <w:rsid w:val="00AD006F"/>
    <w:rsid w:val="00AD0863"/>
    <w:rsid w:val="00AD1C4D"/>
    <w:rsid w:val="00AD29B6"/>
    <w:rsid w:val="00AD49E7"/>
    <w:rsid w:val="00AD60A7"/>
    <w:rsid w:val="00AD66DA"/>
    <w:rsid w:val="00AD6802"/>
    <w:rsid w:val="00AE1FD1"/>
    <w:rsid w:val="00AE2D4B"/>
    <w:rsid w:val="00AE2F21"/>
    <w:rsid w:val="00AE4012"/>
    <w:rsid w:val="00AE4ABC"/>
    <w:rsid w:val="00AE4C2E"/>
    <w:rsid w:val="00AE4F99"/>
    <w:rsid w:val="00AE4FB0"/>
    <w:rsid w:val="00AE5B4E"/>
    <w:rsid w:val="00AE6784"/>
    <w:rsid w:val="00AF0D2A"/>
    <w:rsid w:val="00AF0F9C"/>
    <w:rsid w:val="00AF4429"/>
    <w:rsid w:val="00AF56E8"/>
    <w:rsid w:val="00AF6EB2"/>
    <w:rsid w:val="00B00099"/>
    <w:rsid w:val="00B01976"/>
    <w:rsid w:val="00B01B2A"/>
    <w:rsid w:val="00B0297A"/>
    <w:rsid w:val="00B038E8"/>
    <w:rsid w:val="00B04699"/>
    <w:rsid w:val="00B04B9A"/>
    <w:rsid w:val="00B04E85"/>
    <w:rsid w:val="00B060EF"/>
    <w:rsid w:val="00B06F47"/>
    <w:rsid w:val="00B071EF"/>
    <w:rsid w:val="00B10DE1"/>
    <w:rsid w:val="00B118D1"/>
    <w:rsid w:val="00B11B69"/>
    <w:rsid w:val="00B11BB2"/>
    <w:rsid w:val="00B12AEA"/>
    <w:rsid w:val="00B12CF3"/>
    <w:rsid w:val="00B13879"/>
    <w:rsid w:val="00B1437C"/>
    <w:rsid w:val="00B14952"/>
    <w:rsid w:val="00B14A84"/>
    <w:rsid w:val="00B172CC"/>
    <w:rsid w:val="00B17824"/>
    <w:rsid w:val="00B20166"/>
    <w:rsid w:val="00B21244"/>
    <w:rsid w:val="00B21D78"/>
    <w:rsid w:val="00B22CE7"/>
    <w:rsid w:val="00B22FDD"/>
    <w:rsid w:val="00B26284"/>
    <w:rsid w:val="00B26CBA"/>
    <w:rsid w:val="00B26E28"/>
    <w:rsid w:val="00B27471"/>
    <w:rsid w:val="00B27DFD"/>
    <w:rsid w:val="00B27FA9"/>
    <w:rsid w:val="00B30DB9"/>
    <w:rsid w:val="00B31E5A"/>
    <w:rsid w:val="00B339FB"/>
    <w:rsid w:val="00B33ED6"/>
    <w:rsid w:val="00B36F4B"/>
    <w:rsid w:val="00B37BD2"/>
    <w:rsid w:val="00B37F13"/>
    <w:rsid w:val="00B412A8"/>
    <w:rsid w:val="00B4519C"/>
    <w:rsid w:val="00B45533"/>
    <w:rsid w:val="00B46C60"/>
    <w:rsid w:val="00B4735A"/>
    <w:rsid w:val="00B4789E"/>
    <w:rsid w:val="00B51295"/>
    <w:rsid w:val="00B525F3"/>
    <w:rsid w:val="00B5372D"/>
    <w:rsid w:val="00B541D2"/>
    <w:rsid w:val="00B55329"/>
    <w:rsid w:val="00B5591A"/>
    <w:rsid w:val="00B55C93"/>
    <w:rsid w:val="00B56291"/>
    <w:rsid w:val="00B56D6C"/>
    <w:rsid w:val="00B61381"/>
    <w:rsid w:val="00B6377A"/>
    <w:rsid w:val="00B63EFD"/>
    <w:rsid w:val="00B646AB"/>
    <w:rsid w:val="00B64875"/>
    <w:rsid w:val="00B653AB"/>
    <w:rsid w:val="00B65F9E"/>
    <w:rsid w:val="00B66990"/>
    <w:rsid w:val="00B66B19"/>
    <w:rsid w:val="00B71955"/>
    <w:rsid w:val="00B72F4F"/>
    <w:rsid w:val="00B730D5"/>
    <w:rsid w:val="00B74EC0"/>
    <w:rsid w:val="00B800D0"/>
    <w:rsid w:val="00B81676"/>
    <w:rsid w:val="00B82C5B"/>
    <w:rsid w:val="00B82E07"/>
    <w:rsid w:val="00B84ED0"/>
    <w:rsid w:val="00B85578"/>
    <w:rsid w:val="00B86250"/>
    <w:rsid w:val="00B86D16"/>
    <w:rsid w:val="00B914E9"/>
    <w:rsid w:val="00B924B1"/>
    <w:rsid w:val="00B929EA"/>
    <w:rsid w:val="00B92CB2"/>
    <w:rsid w:val="00B92D7C"/>
    <w:rsid w:val="00B9309C"/>
    <w:rsid w:val="00B942B3"/>
    <w:rsid w:val="00B956EE"/>
    <w:rsid w:val="00B96807"/>
    <w:rsid w:val="00B9714F"/>
    <w:rsid w:val="00B97537"/>
    <w:rsid w:val="00BA0232"/>
    <w:rsid w:val="00BA0380"/>
    <w:rsid w:val="00BA07C5"/>
    <w:rsid w:val="00BA2BA1"/>
    <w:rsid w:val="00BA2CC9"/>
    <w:rsid w:val="00BA2EBA"/>
    <w:rsid w:val="00BA331C"/>
    <w:rsid w:val="00BA3562"/>
    <w:rsid w:val="00BA3B45"/>
    <w:rsid w:val="00BA5071"/>
    <w:rsid w:val="00BA56A1"/>
    <w:rsid w:val="00BA65CA"/>
    <w:rsid w:val="00BA6CA9"/>
    <w:rsid w:val="00BA6DD5"/>
    <w:rsid w:val="00BA6E7A"/>
    <w:rsid w:val="00BB0F8E"/>
    <w:rsid w:val="00BB17FA"/>
    <w:rsid w:val="00BB1970"/>
    <w:rsid w:val="00BB1E25"/>
    <w:rsid w:val="00BB22F2"/>
    <w:rsid w:val="00BB2737"/>
    <w:rsid w:val="00BB40E7"/>
    <w:rsid w:val="00BB4F09"/>
    <w:rsid w:val="00BB5D82"/>
    <w:rsid w:val="00BB62F5"/>
    <w:rsid w:val="00BB78DB"/>
    <w:rsid w:val="00BC1678"/>
    <w:rsid w:val="00BC16CA"/>
    <w:rsid w:val="00BC312C"/>
    <w:rsid w:val="00BC31E3"/>
    <w:rsid w:val="00BC3AB4"/>
    <w:rsid w:val="00BC616E"/>
    <w:rsid w:val="00BC721A"/>
    <w:rsid w:val="00BD029E"/>
    <w:rsid w:val="00BD0818"/>
    <w:rsid w:val="00BD0BE3"/>
    <w:rsid w:val="00BD4E33"/>
    <w:rsid w:val="00BD4EEF"/>
    <w:rsid w:val="00BD54FB"/>
    <w:rsid w:val="00BD5800"/>
    <w:rsid w:val="00BD5E02"/>
    <w:rsid w:val="00BD77C8"/>
    <w:rsid w:val="00BE1396"/>
    <w:rsid w:val="00BE18F4"/>
    <w:rsid w:val="00BE69A1"/>
    <w:rsid w:val="00BF0788"/>
    <w:rsid w:val="00BF0A8B"/>
    <w:rsid w:val="00BF168C"/>
    <w:rsid w:val="00BF2D56"/>
    <w:rsid w:val="00BF2E38"/>
    <w:rsid w:val="00BF2F0A"/>
    <w:rsid w:val="00BF3D54"/>
    <w:rsid w:val="00BF5D23"/>
    <w:rsid w:val="00BF6020"/>
    <w:rsid w:val="00BF6E08"/>
    <w:rsid w:val="00BF7687"/>
    <w:rsid w:val="00C010C7"/>
    <w:rsid w:val="00C0187E"/>
    <w:rsid w:val="00C01B88"/>
    <w:rsid w:val="00C030DE"/>
    <w:rsid w:val="00C03634"/>
    <w:rsid w:val="00C0464D"/>
    <w:rsid w:val="00C068AD"/>
    <w:rsid w:val="00C1042C"/>
    <w:rsid w:val="00C10821"/>
    <w:rsid w:val="00C1087A"/>
    <w:rsid w:val="00C10E05"/>
    <w:rsid w:val="00C11850"/>
    <w:rsid w:val="00C1268F"/>
    <w:rsid w:val="00C13E53"/>
    <w:rsid w:val="00C16714"/>
    <w:rsid w:val="00C16E19"/>
    <w:rsid w:val="00C17D01"/>
    <w:rsid w:val="00C17DFA"/>
    <w:rsid w:val="00C201DA"/>
    <w:rsid w:val="00C212CA"/>
    <w:rsid w:val="00C214B7"/>
    <w:rsid w:val="00C21932"/>
    <w:rsid w:val="00C22105"/>
    <w:rsid w:val="00C2292C"/>
    <w:rsid w:val="00C23114"/>
    <w:rsid w:val="00C237C6"/>
    <w:rsid w:val="00C244B6"/>
    <w:rsid w:val="00C25C16"/>
    <w:rsid w:val="00C26D31"/>
    <w:rsid w:val="00C2730E"/>
    <w:rsid w:val="00C32F5B"/>
    <w:rsid w:val="00C336A9"/>
    <w:rsid w:val="00C338D8"/>
    <w:rsid w:val="00C33A8D"/>
    <w:rsid w:val="00C3702F"/>
    <w:rsid w:val="00C40075"/>
    <w:rsid w:val="00C4028E"/>
    <w:rsid w:val="00C4244B"/>
    <w:rsid w:val="00C424DA"/>
    <w:rsid w:val="00C4254F"/>
    <w:rsid w:val="00C43298"/>
    <w:rsid w:val="00C441E0"/>
    <w:rsid w:val="00C44200"/>
    <w:rsid w:val="00C4500A"/>
    <w:rsid w:val="00C4527D"/>
    <w:rsid w:val="00C45652"/>
    <w:rsid w:val="00C471BB"/>
    <w:rsid w:val="00C504C3"/>
    <w:rsid w:val="00C50705"/>
    <w:rsid w:val="00C5176F"/>
    <w:rsid w:val="00C51790"/>
    <w:rsid w:val="00C519F3"/>
    <w:rsid w:val="00C52028"/>
    <w:rsid w:val="00C52D1F"/>
    <w:rsid w:val="00C52EFA"/>
    <w:rsid w:val="00C534A1"/>
    <w:rsid w:val="00C53EBB"/>
    <w:rsid w:val="00C54A56"/>
    <w:rsid w:val="00C55878"/>
    <w:rsid w:val="00C562F3"/>
    <w:rsid w:val="00C6033B"/>
    <w:rsid w:val="00C61E79"/>
    <w:rsid w:val="00C6243F"/>
    <w:rsid w:val="00C625EC"/>
    <w:rsid w:val="00C64A37"/>
    <w:rsid w:val="00C65B7D"/>
    <w:rsid w:val="00C6617C"/>
    <w:rsid w:val="00C67546"/>
    <w:rsid w:val="00C70317"/>
    <w:rsid w:val="00C708CB"/>
    <w:rsid w:val="00C7158E"/>
    <w:rsid w:val="00C7250B"/>
    <w:rsid w:val="00C7267A"/>
    <w:rsid w:val="00C730E2"/>
    <w:rsid w:val="00C7346B"/>
    <w:rsid w:val="00C73A6C"/>
    <w:rsid w:val="00C752A3"/>
    <w:rsid w:val="00C75340"/>
    <w:rsid w:val="00C76AC8"/>
    <w:rsid w:val="00C7771A"/>
    <w:rsid w:val="00C77C0E"/>
    <w:rsid w:val="00C821D3"/>
    <w:rsid w:val="00C85FC0"/>
    <w:rsid w:val="00C91687"/>
    <w:rsid w:val="00C924A8"/>
    <w:rsid w:val="00C9332A"/>
    <w:rsid w:val="00C94162"/>
    <w:rsid w:val="00C945FE"/>
    <w:rsid w:val="00C960DA"/>
    <w:rsid w:val="00C96FAA"/>
    <w:rsid w:val="00C97392"/>
    <w:rsid w:val="00C978E4"/>
    <w:rsid w:val="00C97A04"/>
    <w:rsid w:val="00C97EC9"/>
    <w:rsid w:val="00CA107B"/>
    <w:rsid w:val="00CA29DE"/>
    <w:rsid w:val="00CA331F"/>
    <w:rsid w:val="00CA37A4"/>
    <w:rsid w:val="00CA4102"/>
    <w:rsid w:val="00CA484D"/>
    <w:rsid w:val="00CA4FB6"/>
    <w:rsid w:val="00CA7650"/>
    <w:rsid w:val="00CA7CCF"/>
    <w:rsid w:val="00CB209B"/>
    <w:rsid w:val="00CB2843"/>
    <w:rsid w:val="00CB2BBC"/>
    <w:rsid w:val="00CB4012"/>
    <w:rsid w:val="00CB5E24"/>
    <w:rsid w:val="00CB6B70"/>
    <w:rsid w:val="00CB7248"/>
    <w:rsid w:val="00CB7456"/>
    <w:rsid w:val="00CB7485"/>
    <w:rsid w:val="00CC3509"/>
    <w:rsid w:val="00CC3BB5"/>
    <w:rsid w:val="00CC4178"/>
    <w:rsid w:val="00CC5F3B"/>
    <w:rsid w:val="00CC69AE"/>
    <w:rsid w:val="00CC739E"/>
    <w:rsid w:val="00CD0740"/>
    <w:rsid w:val="00CD16C1"/>
    <w:rsid w:val="00CD2A8E"/>
    <w:rsid w:val="00CD41F1"/>
    <w:rsid w:val="00CD4A0A"/>
    <w:rsid w:val="00CD5555"/>
    <w:rsid w:val="00CD556F"/>
    <w:rsid w:val="00CD5816"/>
    <w:rsid w:val="00CD58B7"/>
    <w:rsid w:val="00CD749A"/>
    <w:rsid w:val="00CD76EE"/>
    <w:rsid w:val="00CE3297"/>
    <w:rsid w:val="00CE3326"/>
    <w:rsid w:val="00CE3E9B"/>
    <w:rsid w:val="00CE70B9"/>
    <w:rsid w:val="00CE755A"/>
    <w:rsid w:val="00CE7934"/>
    <w:rsid w:val="00CF0072"/>
    <w:rsid w:val="00CF1BC8"/>
    <w:rsid w:val="00CF34B7"/>
    <w:rsid w:val="00CF4099"/>
    <w:rsid w:val="00CF49D0"/>
    <w:rsid w:val="00CF6F1A"/>
    <w:rsid w:val="00CF7F84"/>
    <w:rsid w:val="00D00796"/>
    <w:rsid w:val="00D011D1"/>
    <w:rsid w:val="00D01E6C"/>
    <w:rsid w:val="00D02248"/>
    <w:rsid w:val="00D03AE3"/>
    <w:rsid w:val="00D04BE9"/>
    <w:rsid w:val="00D04F5A"/>
    <w:rsid w:val="00D06BA6"/>
    <w:rsid w:val="00D06E6A"/>
    <w:rsid w:val="00D1039B"/>
    <w:rsid w:val="00D10591"/>
    <w:rsid w:val="00D10D36"/>
    <w:rsid w:val="00D119F1"/>
    <w:rsid w:val="00D1288C"/>
    <w:rsid w:val="00D13CC2"/>
    <w:rsid w:val="00D1732D"/>
    <w:rsid w:val="00D217A4"/>
    <w:rsid w:val="00D22660"/>
    <w:rsid w:val="00D237AE"/>
    <w:rsid w:val="00D244D7"/>
    <w:rsid w:val="00D244F6"/>
    <w:rsid w:val="00D24A99"/>
    <w:rsid w:val="00D24F57"/>
    <w:rsid w:val="00D25EA0"/>
    <w:rsid w:val="00D26146"/>
    <w:rsid w:val="00D261A2"/>
    <w:rsid w:val="00D27A55"/>
    <w:rsid w:val="00D304C0"/>
    <w:rsid w:val="00D3099D"/>
    <w:rsid w:val="00D30F4A"/>
    <w:rsid w:val="00D31990"/>
    <w:rsid w:val="00D32DCA"/>
    <w:rsid w:val="00D33D38"/>
    <w:rsid w:val="00D340D2"/>
    <w:rsid w:val="00D353A5"/>
    <w:rsid w:val="00D355B4"/>
    <w:rsid w:val="00D37C49"/>
    <w:rsid w:val="00D410F9"/>
    <w:rsid w:val="00D41B07"/>
    <w:rsid w:val="00D41D34"/>
    <w:rsid w:val="00D43603"/>
    <w:rsid w:val="00D444E6"/>
    <w:rsid w:val="00D4488C"/>
    <w:rsid w:val="00D44FF9"/>
    <w:rsid w:val="00D467D5"/>
    <w:rsid w:val="00D468FC"/>
    <w:rsid w:val="00D46F4B"/>
    <w:rsid w:val="00D505E6"/>
    <w:rsid w:val="00D51E5E"/>
    <w:rsid w:val="00D5213F"/>
    <w:rsid w:val="00D5343E"/>
    <w:rsid w:val="00D53B7B"/>
    <w:rsid w:val="00D5687B"/>
    <w:rsid w:val="00D604A9"/>
    <w:rsid w:val="00D616D2"/>
    <w:rsid w:val="00D61771"/>
    <w:rsid w:val="00D61847"/>
    <w:rsid w:val="00D622A2"/>
    <w:rsid w:val="00D6231E"/>
    <w:rsid w:val="00D63247"/>
    <w:rsid w:val="00D63B5F"/>
    <w:rsid w:val="00D641BC"/>
    <w:rsid w:val="00D64DFD"/>
    <w:rsid w:val="00D65C9B"/>
    <w:rsid w:val="00D67AB6"/>
    <w:rsid w:val="00D70EF7"/>
    <w:rsid w:val="00D71B29"/>
    <w:rsid w:val="00D71E97"/>
    <w:rsid w:val="00D73824"/>
    <w:rsid w:val="00D75766"/>
    <w:rsid w:val="00D763AB"/>
    <w:rsid w:val="00D80DDB"/>
    <w:rsid w:val="00D81499"/>
    <w:rsid w:val="00D8397C"/>
    <w:rsid w:val="00D84642"/>
    <w:rsid w:val="00D856F5"/>
    <w:rsid w:val="00D901C1"/>
    <w:rsid w:val="00D902A6"/>
    <w:rsid w:val="00D913A1"/>
    <w:rsid w:val="00D94EED"/>
    <w:rsid w:val="00D96026"/>
    <w:rsid w:val="00D97805"/>
    <w:rsid w:val="00DA1644"/>
    <w:rsid w:val="00DA1921"/>
    <w:rsid w:val="00DA1A33"/>
    <w:rsid w:val="00DA1ADF"/>
    <w:rsid w:val="00DA2277"/>
    <w:rsid w:val="00DA44D1"/>
    <w:rsid w:val="00DA6AA1"/>
    <w:rsid w:val="00DA7178"/>
    <w:rsid w:val="00DA7912"/>
    <w:rsid w:val="00DA7C1C"/>
    <w:rsid w:val="00DB01CF"/>
    <w:rsid w:val="00DB0D26"/>
    <w:rsid w:val="00DB147A"/>
    <w:rsid w:val="00DB1B7A"/>
    <w:rsid w:val="00DB1D8F"/>
    <w:rsid w:val="00DB2564"/>
    <w:rsid w:val="00DB3316"/>
    <w:rsid w:val="00DB37D2"/>
    <w:rsid w:val="00DB37FB"/>
    <w:rsid w:val="00DB4202"/>
    <w:rsid w:val="00DB4ED6"/>
    <w:rsid w:val="00DB6A71"/>
    <w:rsid w:val="00DB7017"/>
    <w:rsid w:val="00DB78BB"/>
    <w:rsid w:val="00DB7CF8"/>
    <w:rsid w:val="00DC0779"/>
    <w:rsid w:val="00DC1AC0"/>
    <w:rsid w:val="00DC28C6"/>
    <w:rsid w:val="00DC2C5D"/>
    <w:rsid w:val="00DC2F55"/>
    <w:rsid w:val="00DC40F1"/>
    <w:rsid w:val="00DC6708"/>
    <w:rsid w:val="00DD32AB"/>
    <w:rsid w:val="00DD4AF4"/>
    <w:rsid w:val="00DD67D1"/>
    <w:rsid w:val="00DD72AA"/>
    <w:rsid w:val="00DD75CE"/>
    <w:rsid w:val="00DD7B3E"/>
    <w:rsid w:val="00DE2889"/>
    <w:rsid w:val="00DE35D4"/>
    <w:rsid w:val="00DE392E"/>
    <w:rsid w:val="00DE5CEF"/>
    <w:rsid w:val="00DE63B5"/>
    <w:rsid w:val="00DE6AAB"/>
    <w:rsid w:val="00DF1506"/>
    <w:rsid w:val="00DF20E4"/>
    <w:rsid w:val="00DF2ED5"/>
    <w:rsid w:val="00DF50E2"/>
    <w:rsid w:val="00DF6523"/>
    <w:rsid w:val="00DF67FC"/>
    <w:rsid w:val="00DF68D3"/>
    <w:rsid w:val="00DF72AB"/>
    <w:rsid w:val="00DF7F9A"/>
    <w:rsid w:val="00E0029A"/>
    <w:rsid w:val="00E01167"/>
    <w:rsid w:val="00E01436"/>
    <w:rsid w:val="00E03B00"/>
    <w:rsid w:val="00E044A1"/>
    <w:rsid w:val="00E045BD"/>
    <w:rsid w:val="00E04C9B"/>
    <w:rsid w:val="00E05430"/>
    <w:rsid w:val="00E0657E"/>
    <w:rsid w:val="00E06CB2"/>
    <w:rsid w:val="00E10714"/>
    <w:rsid w:val="00E108A8"/>
    <w:rsid w:val="00E11217"/>
    <w:rsid w:val="00E11554"/>
    <w:rsid w:val="00E13E32"/>
    <w:rsid w:val="00E17B77"/>
    <w:rsid w:val="00E20190"/>
    <w:rsid w:val="00E22461"/>
    <w:rsid w:val="00E22528"/>
    <w:rsid w:val="00E23337"/>
    <w:rsid w:val="00E23987"/>
    <w:rsid w:val="00E240FE"/>
    <w:rsid w:val="00E259EA"/>
    <w:rsid w:val="00E26767"/>
    <w:rsid w:val="00E31FA7"/>
    <w:rsid w:val="00E32061"/>
    <w:rsid w:val="00E32421"/>
    <w:rsid w:val="00E32B0E"/>
    <w:rsid w:val="00E33004"/>
    <w:rsid w:val="00E33CAC"/>
    <w:rsid w:val="00E33F53"/>
    <w:rsid w:val="00E34426"/>
    <w:rsid w:val="00E36370"/>
    <w:rsid w:val="00E36A24"/>
    <w:rsid w:val="00E375BC"/>
    <w:rsid w:val="00E37E07"/>
    <w:rsid w:val="00E408D3"/>
    <w:rsid w:val="00E4124F"/>
    <w:rsid w:val="00E41430"/>
    <w:rsid w:val="00E41D0C"/>
    <w:rsid w:val="00E41F9D"/>
    <w:rsid w:val="00E42DF5"/>
    <w:rsid w:val="00E42FF9"/>
    <w:rsid w:val="00E450F7"/>
    <w:rsid w:val="00E46AA5"/>
    <w:rsid w:val="00E4714C"/>
    <w:rsid w:val="00E5006E"/>
    <w:rsid w:val="00E51AEB"/>
    <w:rsid w:val="00E522A7"/>
    <w:rsid w:val="00E52E6F"/>
    <w:rsid w:val="00E53FB8"/>
    <w:rsid w:val="00E54452"/>
    <w:rsid w:val="00E55686"/>
    <w:rsid w:val="00E55AFD"/>
    <w:rsid w:val="00E5650A"/>
    <w:rsid w:val="00E61407"/>
    <w:rsid w:val="00E61D2C"/>
    <w:rsid w:val="00E629C6"/>
    <w:rsid w:val="00E62D8A"/>
    <w:rsid w:val="00E632AD"/>
    <w:rsid w:val="00E63765"/>
    <w:rsid w:val="00E647BE"/>
    <w:rsid w:val="00E664C5"/>
    <w:rsid w:val="00E671A2"/>
    <w:rsid w:val="00E67ADB"/>
    <w:rsid w:val="00E717F6"/>
    <w:rsid w:val="00E71AEC"/>
    <w:rsid w:val="00E71BA1"/>
    <w:rsid w:val="00E71E3B"/>
    <w:rsid w:val="00E7297F"/>
    <w:rsid w:val="00E76D26"/>
    <w:rsid w:val="00E7798C"/>
    <w:rsid w:val="00E8128F"/>
    <w:rsid w:val="00E81BB3"/>
    <w:rsid w:val="00E82128"/>
    <w:rsid w:val="00E826E4"/>
    <w:rsid w:val="00E8284F"/>
    <w:rsid w:val="00E829A9"/>
    <w:rsid w:val="00E8363B"/>
    <w:rsid w:val="00E84EE4"/>
    <w:rsid w:val="00E85DBC"/>
    <w:rsid w:val="00E8667C"/>
    <w:rsid w:val="00E86B59"/>
    <w:rsid w:val="00E873C4"/>
    <w:rsid w:val="00E8747B"/>
    <w:rsid w:val="00E91FA1"/>
    <w:rsid w:val="00E93D2F"/>
    <w:rsid w:val="00E94531"/>
    <w:rsid w:val="00E95110"/>
    <w:rsid w:val="00E95607"/>
    <w:rsid w:val="00E95940"/>
    <w:rsid w:val="00EA0C45"/>
    <w:rsid w:val="00EA13B1"/>
    <w:rsid w:val="00EA2819"/>
    <w:rsid w:val="00EA3A97"/>
    <w:rsid w:val="00EA4EB7"/>
    <w:rsid w:val="00EA6277"/>
    <w:rsid w:val="00EA64F9"/>
    <w:rsid w:val="00EA6C6B"/>
    <w:rsid w:val="00EA75E7"/>
    <w:rsid w:val="00EB11CD"/>
    <w:rsid w:val="00EB1390"/>
    <w:rsid w:val="00EB2A4D"/>
    <w:rsid w:val="00EB2C71"/>
    <w:rsid w:val="00EB4340"/>
    <w:rsid w:val="00EB556D"/>
    <w:rsid w:val="00EB5A7D"/>
    <w:rsid w:val="00EB6B30"/>
    <w:rsid w:val="00EB76F1"/>
    <w:rsid w:val="00EB7901"/>
    <w:rsid w:val="00EC001A"/>
    <w:rsid w:val="00EC0F11"/>
    <w:rsid w:val="00EC1615"/>
    <w:rsid w:val="00EC1934"/>
    <w:rsid w:val="00EC2033"/>
    <w:rsid w:val="00EC32BB"/>
    <w:rsid w:val="00EC7A9B"/>
    <w:rsid w:val="00ED05DC"/>
    <w:rsid w:val="00ED07C7"/>
    <w:rsid w:val="00ED0AB4"/>
    <w:rsid w:val="00ED48F8"/>
    <w:rsid w:val="00ED55C0"/>
    <w:rsid w:val="00ED682B"/>
    <w:rsid w:val="00EE2354"/>
    <w:rsid w:val="00EE3087"/>
    <w:rsid w:val="00EE347A"/>
    <w:rsid w:val="00EE4132"/>
    <w:rsid w:val="00EE41D5"/>
    <w:rsid w:val="00EE52E2"/>
    <w:rsid w:val="00EE5AAC"/>
    <w:rsid w:val="00EE63BD"/>
    <w:rsid w:val="00EE70D6"/>
    <w:rsid w:val="00EE739F"/>
    <w:rsid w:val="00EE7914"/>
    <w:rsid w:val="00EF28CA"/>
    <w:rsid w:val="00EF3520"/>
    <w:rsid w:val="00EF3714"/>
    <w:rsid w:val="00EF3840"/>
    <w:rsid w:val="00EF4008"/>
    <w:rsid w:val="00EF42DB"/>
    <w:rsid w:val="00EF42ED"/>
    <w:rsid w:val="00EF46A1"/>
    <w:rsid w:val="00EF496C"/>
    <w:rsid w:val="00EF5E11"/>
    <w:rsid w:val="00EF609F"/>
    <w:rsid w:val="00EF72B5"/>
    <w:rsid w:val="00F0064F"/>
    <w:rsid w:val="00F019E8"/>
    <w:rsid w:val="00F01CED"/>
    <w:rsid w:val="00F02848"/>
    <w:rsid w:val="00F037A4"/>
    <w:rsid w:val="00F03B0C"/>
    <w:rsid w:val="00F06D8F"/>
    <w:rsid w:val="00F11D84"/>
    <w:rsid w:val="00F120A6"/>
    <w:rsid w:val="00F128F2"/>
    <w:rsid w:val="00F12BCA"/>
    <w:rsid w:val="00F12EB8"/>
    <w:rsid w:val="00F13611"/>
    <w:rsid w:val="00F13855"/>
    <w:rsid w:val="00F14E66"/>
    <w:rsid w:val="00F14EF7"/>
    <w:rsid w:val="00F203D8"/>
    <w:rsid w:val="00F21633"/>
    <w:rsid w:val="00F22792"/>
    <w:rsid w:val="00F23108"/>
    <w:rsid w:val="00F236CD"/>
    <w:rsid w:val="00F274AF"/>
    <w:rsid w:val="00F27C8F"/>
    <w:rsid w:val="00F27CAF"/>
    <w:rsid w:val="00F30925"/>
    <w:rsid w:val="00F31B7A"/>
    <w:rsid w:val="00F3249F"/>
    <w:rsid w:val="00F32749"/>
    <w:rsid w:val="00F354AD"/>
    <w:rsid w:val="00F35E1A"/>
    <w:rsid w:val="00F36205"/>
    <w:rsid w:val="00F363EC"/>
    <w:rsid w:val="00F367EB"/>
    <w:rsid w:val="00F37172"/>
    <w:rsid w:val="00F37821"/>
    <w:rsid w:val="00F413A0"/>
    <w:rsid w:val="00F42313"/>
    <w:rsid w:val="00F42DEC"/>
    <w:rsid w:val="00F433AD"/>
    <w:rsid w:val="00F4414D"/>
    <w:rsid w:val="00F4477E"/>
    <w:rsid w:val="00F44903"/>
    <w:rsid w:val="00F461C5"/>
    <w:rsid w:val="00F46F5C"/>
    <w:rsid w:val="00F479CD"/>
    <w:rsid w:val="00F517A9"/>
    <w:rsid w:val="00F5255B"/>
    <w:rsid w:val="00F55B3A"/>
    <w:rsid w:val="00F6162B"/>
    <w:rsid w:val="00F61A2D"/>
    <w:rsid w:val="00F62F42"/>
    <w:rsid w:val="00F6328B"/>
    <w:rsid w:val="00F647D1"/>
    <w:rsid w:val="00F64E3E"/>
    <w:rsid w:val="00F65E7B"/>
    <w:rsid w:val="00F66C04"/>
    <w:rsid w:val="00F67D8F"/>
    <w:rsid w:val="00F67ED7"/>
    <w:rsid w:val="00F70787"/>
    <w:rsid w:val="00F70C29"/>
    <w:rsid w:val="00F71505"/>
    <w:rsid w:val="00F73145"/>
    <w:rsid w:val="00F7354E"/>
    <w:rsid w:val="00F73A86"/>
    <w:rsid w:val="00F74BCF"/>
    <w:rsid w:val="00F75B41"/>
    <w:rsid w:val="00F75D7E"/>
    <w:rsid w:val="00F76E61"/>
    <w:rsid w:val="00F8009F"/>
    <w:rsid w:val="00F802BE"/>
    <w:rsid w:val="00F80BBF"/>
    <w:rsid w:val="00F80E93"/>
    <w:rsid w:val="00F82B68"/>
    <w:rsid w:val="00F86024"/>
    <w:rsid w:val="00F8611A"/>
    <w:rsid w:val="00F87B2C"/>
    <w:rsid w:val="00F91151"/>
    <w:rsid w:val="00F91B66"/>
    <w:rsid w:val="00F9411A"/>
    <w:rsid w:val="00F94F79"/>
    <w:rsid w:val="00F95ACA"/>
    <w:rsid w:val="00F95CD2"/>
    <w:rsid w:val="00F961BB"/>
    <w:rsid w:val="00F97368"/>
    <w:rsid w:val="00FA025A"/>
    <w:rsid w:val="00FA13FD"/>
    <w:rsid w:val="00FA1758"/>
    <w:rsid w:val="00FA1ADD"/>
    <w:rsid w:val="00FA1CA9"/>
    <w:rsid w:val="00FA31C7"/>
    <w:rsid w:val="00FA3A0F"/>
    <w:rsid w:val="00FA40AC"/>
    <w:rsid w:val="00FA5128"/>
    <w:rsid w:val="00FA6CAB"/>
    <w:rsid w:val="00FA7215"/>
    <w:rsid w:val="00FB0943"/>
    <w:rsid w:val="00FB42D4"/>
    <w:rsid w:val="00FB4F7E"/>
    <w:rsid w:val="00FB526D"/>
    <w:rsid w:val="00FB5906"/>
    <w:rsid w:val="00FB59DE"/>
    <w:rsid w:val="00FB5B02"/>
    <w:rsid w:val="00FB701C"/>
    <w:rsid w:val="00FB762F"/>
    <w:rsid w:val="00FC061C"/>
    <w:rsid w:val="00FC1CC0"/>
    <w:rsid w:val="00FC2330"/>
    <w:rsid w:val="00FC2AED"/>
    <w:rsid w:val="00FC5A30"/>
    <w:rsid w:val="00FC69C3"/>
    <w:rsid w:val="00FC6D97"/>
    <w:rsid w:val="00FC6E7E"/>
    <w:rsid w:val="00FC6ED0"/>
    <w:rsid w:val="00FD0499"/>
    <w:rsid w:val="00FD0CA4"/>
    <w:rsid w:val="00FD13FE"/>
    <w:rsid w:val="00FD258E"/>
    <w:rsid w:val="00FD33FC"/>
    <w:rsid w:val="00FD376B"/>
    <w:rsid w:val="00FD3856"/>
    <w:rsid w:val="00FD4CA6"/>
    <w:rsid w:val="00FD5EA7"/>
    <w:rsid w:val="00FD678E"/>
    <w:rsid w:val="00FE02D2"/>
    <w:rsid w:val="00FE052F"/>
    <w:rsid w:val="00FE0E1C"/>
    <w:rsid w:val="00FE12EE"/>
    <w:rsid w:val="00FE1BC1"/>
    <w:rsid w:val="00FE2487"/>
    <w:rsid w:val="00FE38FD"/>
    <w:rsid w:val="00FE4F24"/>
    <w:rsid w:val="00FE5689"/>
    <w:rsid w:val="00FE6DCD"/>
    <w:rsid w:val="00FE7187"/>
    <w:rsid w:val="00FF0615"/>
    <w:rsid w:val="00FF08C3"/>
    <w:rsid w:val="00FF08F9"/>
    <w:rsid w:val="00FF0D37"/>
    <w:rsid w:val="00FF11A5"/>
    <w:rsid w:val="00FF2706"/>
    <w:rsid w:val="00FF4509"/>
    <w:rsid w:val="00FF4F84"/>
    <w:rsid w:val="00FF5840"/>
    <w:rsid w:val="00FF66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E94DB2"/>
  <w15:docId w15:val="{169A97CB-9E30-4439-83D4-ACEAA936F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001559"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000E3B"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001559"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001559"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001559"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000E3B"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001559" w:themeColor="accent1" w:themeShade="BF"/>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001559"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paragraph" w:customStyle="1" w:styleId="LID">
    <w:name w:val="LID"/>
    <w:basedOn w:val="Normalny"/>
    <w:qFormat/>
    <w:rsid w:val="00633014"/>
    <w:rPr>
      <w:b/>
      <w:noProof/>
      <w:szCs w:val="19"/>
      <w:lang w:eastAsia="pl-PL"/>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6288FF" w:themeColor="accent1" w:themeTint="66"/>
        <w:left w:val="single" w:sz="4" w:space="0" w:color="6288FF" w:themeColor="accent1" w:themeTint="66"/>
        <w:bottom w:val="single" w:sz="4" w:space="0" w:color="6288FF" w:themeColor="accent1" w:themeTint="66"/>
        <w:right w:val="single" w:sz="4" w:space="0" w:color="6288FF" w:themeColor="accent1" w:themeTint="66"/>
        <w:insideH w:val="single" w:sz="4" w:space="0" w:color="6288FF" w:themeColor="accent1" w:themeTint="66"/>
        <w:insideV w:val="single" w:sz="4" w:space="0" w:color="6288FF" w:themeColor="accent1" w:themeTint="66"/>
      </w:tblBorders>
    </w:tblPr>
    <w:tblStylePr w:type="firstRow">
      <w:rPr>
        <w:b/>
        <w:bCs/>
      </w:rPr>
      <w:tblPr/>
      <w:tcPr>
        <w:tcBorders>
          <w:bottom w:val="single" w:sz="12" w:space="0" w:color="144DFF" w:themeColor="accent1" w:themeTint="99"/>
        </w:tcBorders>
      </w:tcPr>
    </w:tblStylePr>
    <w:tblStylePr w:type="lastRow">
      <w:rPr>
        <w:b/>
        <w:bCs/>
      </w:rPr>
      <w:tblPr/>
      <w:tcPr>
        <w:tcBorders>
          <w:top w:val="double" w:sz="2" w:space="0" w:color="144DFF"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uiPriority w:val="99"/>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3A4C31"/>
    <w:rPr>
      <w:color w:val="605D5C" w:themeColor="followedHyperlink"/>
      <w:u w:val="single"/>
    </w:rPr>
  </w:style>
  <w:style w:type="paragraph" w:styleId="NormalnyWeb">
    <w:name w:val="Normal (Web)"/>
    <w:basedOn w:val="Normalny"/>
    <w:uiPriority w:val="99"/>
    <w:semiHidden/>
    <w:unhideWhenUsed/>
    <w:rsid w:val="00C1042C"/>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styleId="Poprawka">
    <w:name w:val="Revision"/>
    <w:hidden/>
    <w:uiPriority w:val="99"/>
    <w:semiHidden/>
    <w:rsid w:val="00A05E8C"/>
    <w:pPr>
      <w:spacing w:after="0" w:line="240" w:lineRule="auto"/>
    </w:pPr>
    <w:rPr>
      <w:rFonts w:ascii="Fira Sans" w:hAnsi="Fira Sans"/>
      <w:sz w:val="19"/>
    </w:rPr>
  </w:style>
  <w:style w:type="character" w:styleId="Odwoaniedokomentarza">
    <w:name w:val="annotation reference"/>
    <w:basedOn w:val="Domylnaczcionkaakapitu"/>
    <w:uiPriority w:val="99"/>
    <w:semiHidden/>
    <w:unhideWhenUsed/>
    <w:rsid w:val="006F7343"/>
    <w:rPr>
      <w:sz w:val="16"/>
      <w:szCs w:val="16"/>
    </w:rPr>
  </w:style>
  <w:style w:type="paragraph" w:styleId="Tekstkomentarza">
    <w:name w:val="annotation text"/>
    <w:basedOn w:val="Normalny"/>
    <w:link w:val="TekstkomentarzaZnak"/>
    <w:uiPriority w:val="99"/>
    <w:semiHidden/>
    <w:unhideWhenUsed/>
    <w:rsid w:val="006F734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F7343"/>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6F7343"/>
    <w:rPr>
      <w:b/>
      <w:bCs/>
    </w:rPr>
  </w:style>
  <w:style w:type="character" w:customStyle="1" w:styleId="TematkomentarzaZnak">
    <w:name w:val="Temat komentarza Znak"/>
    <w:basedOn w:val="TekstkomentarzaZnak"/>
    <w:link w:val="Tematkomentarza"/>
    <w:uiPriority w:val="99"/>
    <w:semiHidden/>
    <w:rsid w:val="006F7343"/>
    <w:rPr>
      <w:rFonts w:ascii="Fira Sans" w:hAnsi="Fira Sans"/>
      <w:b/>
      <w:bCs/>
      <w:sz w:val="20"/>
      <w:szCs w:val="20"/>
    </w:rPr>
  </w:style>
  <w:style w:type="character" w:styleId="Uwydatnienie">
    <w:name w:val="Emphasis"/>
    <w:basedOn w:val="Domylnaczcionkaakapitu"/>
    <w:uiPriority w:val="20"/>
    <w:qFormat/>
    <w:rsid w:val="007E6A56"/>
    <w:rPr>
      <w:b/>
      <w:bCs/>
      <w:i w:val="0"/>
      <w:iCs w:val="0"/>
    </w:rPr>
  </w:style>
  <w:style w:type="character" w:customStyle="1" w:styleId="st">
    <w:name w:val="st"/>
    <w:basedOn w:val="Domylnaczcionkaakapitu"/>
    <w:rsid w:val="007E6A56"/>
  </w:style>
  <w:style w:type="character" w:customStyle="1" w:styleId="tlid-translation">
    <w:name w:val="tlid-translation"/>
    <w:basedOn w:val="Domylnaczcionkaakapitu"/>
    <w:rsid w:val="00BB40E7"/>
  </w:style>
  <w:style w:type="character" w:customStyle="1" w:styleId="gt-card-ttl-txt">
    <w:name w:val="gt-card-ttl-txt"/>
    <w:basedOn w:val="Domylnaczcionkaakapitu"/>
    <w:rsid w:val="00BB40E7"/>
  </w:style>
  <w:style w:type="paragraph" w:styleId="HTML-wstpniesformatowany">
    <w:name w:val="HTML Preformatted"/>
    <w:basedOn w:val="Normalny"/>
    <w:link w:val="HTML-wstpniesformatowanyZnak"/>
    <w:uiPriority w:val="99"/>
    <w:unhideWhenUsed/>
    <w:rsid w:val="00BB4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BB40E7"/>
    <w:rPr>
      <w:rFonts w:ascii="Courier New" w:eastAsia="Times New Roman" w:hAnsi="Courier New" w:cs="Courier New"/>
      <w:sz w:val="20"/>
      <w:szCs w:val="20"/>
      <w:lang w:eastAsia="pl-PL"/>
    </w:rPr>
  </w:style>
  <w:style w:type="table" w:customStyle="1" w:styleId="Siatkatabelijasna2">
    <w:name w:val="Siatka tabeli — jasna2"/>
    <w:basedOn w:val="Standardowy"/>
    <w:uiPriority w:val="40"/>
    <w:rsid w:val="001446F6"/>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ytu">
    <w:name w:val="Title"/>
    <w:basedOn w:val="Normalny"/>
    <w:next w:val="Normalny"/>
    <w:link w:val="TytuZnak"/>
    <w:uiPriority w:val="10"/>
    <w:qFormat/>
    <w:rsid w:val="00F82B68"/>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F82B68"/>
    <w:rPr>
      <w:rFonts w:asciiTheme="majorHAnsi" w:eastAsiaTheme="majorEastAsia" w:hAnsiTheme="majorHAnsi" w:cstheme="majorBidi"/>
      <w:spacing w:val="-10"/>
      <w:kern w:val="28"/>
      <w:sz w:val="56"/>
      <w:szCs w:val="56"/>
    </w:rPr>
  </w:style>
  <w:style w:type="character" w:customStyle="1" w:styleId="IkonawskanikaZnak">
    <w:name w:val="Ikona wskaźnika Znak"/>
    <w:basedOn w:val="Domylnaczcionkaakapitu"/>
    <w:link w:val="Ikonawskanika"/>
    <w:locked/>
    <w:rsid w:val="00BF6020"/>
    <w:rPr>
      <w:rFonts w:ascii="Fira Sans SemiBold" w:hAnsi="Fira Sans SemiBold"/>
      <w:color w:val="66AFDE"/>
      <w:sz w:val="60"/>
      <w:szCs w:val="60"/>
    </w:rPr>
  </w:style>
  <w:style w:type="paragraph" w:customStyle="1" w:styleId="Ikonawskanika">
    <w:name w:val="Ikona wskaźnika"/>
    <w:basedOn w:val="Normalny"/>
    <w:link w:val="IkonawskanikaZnak"/>
    <w:qFormat/>
    <w:rsid w:val="00BF6020"/>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Nierozpoznanawzmianka1">
    <w:name w:val="Nierozpoznana wzmianka1"/>
    <w:basedOn w:val="Domylnaczcionkaakapitu"/>
    <w:uiPriority w:val="99"/>
    <w:semiHidden/>
    <w:unhideWhenUsed/>
    <w:rsid w:val="00FE1B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55984113">
      <w:bodyDiv w:val="1"/>
      <w:marLeft w:val="0"/>
      <w:marRight w:val="0"/>
      <w:marTop w:val="0"/>
      <w:marBottom w:val="0"/>
      <w:divBdr>
        <w:top w:val="none" w:sz="0" w:space="0" w:color="auto"/>
        <w:left w:val="none" w:sz="0" w:space="0" w:color="auto"/>
        <w:bottom w:val="none" w:sz="0" w:space="0" w:color="auto"/>
        <w:right w:val="none" w:sz="0" w:space="0" w:color="auto"/>
      </w:divBdr>
    </w:div>
    <w:div w:id="800464663">
      <w:bodyDiv w:val="1"/>
      <w:marLeft w:val="0"/>
      <w:marRight w:val="0"/>
      <w:marTop w:val="0"/>
      <w:marBottom w:val="0"/>
      <w:divBdr>
        <w:top w:val="none" w:sz="0" w:space="0" w:color="auto"/>
        <w:left w:val="none" w:sz="0" w:space="0" w:color="auto"/>
        <w:bottom w:val="none" w:sz="0" w:space="0" w:color="auto"/>
        <w:right w:val="none" w:sz="0" w:space="0" w:color="auto"/>
      </w:divBdr>
    </w:div>
    <w:div w:id="914977141">
      <w:bodyDiv w:val="1"/>
      <w:marLeft w:val="0"/>
      <w:marRight w:val="0"/>
      <w:marTop w:val="0"/>
      <w:marBottom w:val="0"/>
      <w:divBdr>
        <w:top w:val="none" w:sz="0" w:space="0" w:color="auto"/>
        <w:left w:val="none" w:sz="0" w:space="0" w:color="auto"/>
        <w:bottom w:val="none" w:sz="0" w:space="0" w:color="auto"/>
        <w:right w:val="none" w:sz="0" w:space="0" w:color="auto"/>
      </w:divBdr>
    </w:div>
    <w:div w:id="1214657054">
      <w:bodyDiv w:val="1"/>
      <w:marLeft w:val="0"/>
      <w:marRight w:val="0"/>
      <w:marTop w:val="0"/>
      <w:marBottom w:val="0"/>
      <w:divBdr>
        <w:top w:val="none" w:sz="0" w:space="0" w:color="auto"/>
        <w:left w:val="none" w:sz="0" w:space="0" w:color="auto"/>
        <w:bottom w:val="none" w:sz="0" w:space="0" w:color="auto"/>
        <w:right w:val="none" w:sz="0" w:space="0" w:color="auto"/>
      </w:divBdr>
    </w:div>
    <w:div w:id="1221164857">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8231047">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image" Target="media/image10.png"/><Relationship Id="rId47" Type="http://schemas.openxmlformats.org/officeDocument/2006/relationships/hyperlink" Target="https://dbw.stat.gov.pl/en/dashboard/211" TargetMode="External"/><Relationship Id="rId63" Type="http://schemas.openxmlformats.org/officeDocument/2006/relationships/hyperlink" Target="https://dbw.stat.gov.pl/en/dashboard/211" TargetMode="External"/><Relationship Id="rId68" Type="http://schemas.openxmlformats.org/officeDocument/2006/relationships/hyperlink" Target="https://stat.gov.pl/en/metainformation/glossary/terms-used-in-official-statistics/2585,term.html" TargetMode="External"/><Relationship Id="rId16" Type="http://schemas.openxmlformats.org/officeDocument/2006/relationships/chart" Target="charts/chart7.xml"/><Relationship Id="rId11" Type="http://schemas.openxmlformats.org/officeDocument/2006/relationships/chart" Target="charts/chart2.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hyperlink" Target="mailto:obslugaprasowa@stat.gov.pl" TargetMode="External"/><Relationship Id="rId40" Type="http://schemas.openxmlformats.org/officeDocument/2006/relationships/image" Target="media/image8.png"/><Relationship Id="rId45" Type="http://schemas.openxmlformats.org/officeDocument/2006/relationships/hyperlink" Target="https://stat.gov.pl/en/topics/living-conditions/living-conditions/the-situation-of-households-in-2023-on-the-basis-of-results-of-the-household-budget-survey,12,23.html" TargetMode="External"/><Relationship Id="rId53" Type="http://schemas.openxmlformats.org/officeDocument/2006/relationships/hyperlink" Target="https://stat.gov.pl/en/metainformation/glossary/terms-used-in-official-statistics/2858,term.html" TargetMode="External"/><Relationship Id="rId58" Type="http://schemas.openxmlformats.org/officeDocument/2006/relationships/hyperlink" Target="https://stat.gov.pl/en/metainformation/glossary/terms-used-in-official-statistics/873,term.html" TargetMode="External"/><Relationship Id="rId66" Type="http://schemas.openxmlformats.org/officeDocument/2006/relationships/hyperlink" Target="https://stat.gov.pl/en/metainformation/glossary/terms-used-in-official-statistics/63,term.html" TargetMode="External"/><Relationship Id="rId74" Type="http://schemas.openxmlformats.org/officeDocument/2006/relationships/hyperlink" Target="https://stat.gov.pl/en/metainformation/glossary/terms-used-in-official-statistics/873,term.html" TargetMode="External"/><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stat.gov.pl/en/topics/living-conditions/living-conditions/the-situation-of-households-in-2023-on-the-basis-of-results-of-the-household-budget-survey,12,23.html" TargetMode="External"/><Relationship Id="rId19" Type="http://schemas.openxmlformats.org/officeDocument/2006/relationships/image" Target="media/image3.jpeg"/><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header" Target="header2.xml"/><Relationship Id="rId43" Type="http://schemas.openxmlformats.org/officeDocument/2006/relationships/image" Target="media/image11.png"/><Relationship Id="rId48" Type="http://schemas.openxmlformats.org/officeDocument/2006/relationships/hyperlink" Target="https://stat.gov.pl/en/metainformation/glossary/terms-used-in-official-statistics/28,term.html" TargetMode="External"/><Relationship Id="rId56" Type="http://schemas.openxmlformats.org/officeDocument/2006/relationships/hyperlink" Target="https://stat.gov.pl/en/metainformation/glossary/terms-used-in-official-statistics/3580,term.html" TargetMode="External"/><Relationship Id="rId64" Type="http://schemas.openxmlformats.org/officeDocument/2006/relationships/hyperlink" Target="https://stat.gov.pl/en/metainformation/glossary/terms-used-in-official-statistics/28,term.html" TargetMode="External"/><Relationship Id="rId69" Type="http://schemas.openxmlformats.org/officeDocument/2006/relationships/hyperlink" Target="https://stat.gov.pl/en/metainformation/glossary/terms-used-in-official-statistics/2858,term.html" TargetMode="External"/><Relationship Id="rId77"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hyperlink" Target="https://stat.gov.pl/en/metainformation/glossary/terms-used-in-official-statistics/103,term.html" TargetMode="External"/><Relationship Id="rId72" Type="http://schemas.openxmlformats.org/officeDocument/2006/relationships/hyperlink" Target="https://stat.gov.pl/en/metainformation/glossary/terms-used-in-official-statistics/3580,term.html" TargetMode="External"/><Relationship Id="rId3" Type="http://schemas.openxmlformats.org/officeDocument/2006/relationships/customXml" Target="../customXml/item3.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4.xml"/><Relationship Id="rId33" Type="http://schemas.openxmlformats.org/officeDocument/2006/relationships/header" Target="header1.xml"/><Relationship Id="rId38" Type="http://schemas.openxmlformats.org/officeDocument/2006/relationships/image" Target="media/image6.png"/><Relationship Id="rId46" Type="http://schemas.openxmlformats.org/officeDocument/2006/relationships/hyperlink" Target="https://bdl.stat.gov.pl/BDL/metadane/podgrupy/10?back=True" TargetMode="External"/><Relationship Id="rId59" Type="http://schemas.openxmlformats.org/officeDocument/2006/relationships/hyperlink" Target="https://stat.gov.pl/en/metainformation/glossary/terms-used-in-official-statistics/3583,term.html" TargetMode="External"/><Relationship Id="rId67" Type="http://schemas.openxmlformats.org/officeDocument/2006/relationships/hyperlink" Target="https://stat.gov.pl/en/metainformation/glossary/terms-used-in-official-statistics/103,term.html" TargetMode="External"/><Relationship Id="rId20" Type="http://schemas.openxmlformats.org/officeDocument/2006/relationships/image" Target="media/image4.jpeg"/><Relationship Id="rId41" Type="http://schemas.openxmlformats.org/officeDocument/2006/relationships/image" Target="media/image9.png"/><Relationship Id="rId54" Type="http://schemas.openxmlformats.org/officeDocument/2006/relationships/hyperlink" Target="https://stat.gov.pl/en/metainformation/glossary/terms-used-in-official-statistics/468,term.html" TargetMode="External"/><Relationship Id="rId62" Type="http://schemas.openxmlformats.org/officeDocument/2006/relationships/hyperlink" Target="https://bdl.stat.gov.pl/BDL/metadane/podgrupy/10?back=True" TargetMode="External"/><Relationship Id="rId70" Type="http://schemas.openxmlformats.org/officeDocument/2006/relationships/hyperlink" Target="https://stat.gov.pl/en/metainformation/glossary/terms-used-in-official-statistics/468,term.html" TargetMode="External"/><Relationship Id="rId75" Type="http://schemas.openxmlformats.org/officeDocument/2006/relationships/hyperlink" Target="https://stat.gov.pl/en/metainformation/glossary/terms-used-in-official-statistics/3583,term.ht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footer" Target="footer2.xml"/><Relationship Id="rId49" Type="http://schemas.openxmlformats.org/officeDocument/2006/relationships/hyperlink" Target="https://stat.gov.pl/en/metainformation/glossary/terms-used-in-official-statistics/62,term.html" TargetMode="External"/><Relationship Id="rId57" Type="http://schemas.openxmlformats.org/officeDocument/2006/relationships/hyperlink" Target="https://stat.gov.pl/en/metainformation/glossary/terms-used-in-official-statistics/601,term.html" TargetMode="External"/><Relationship Id="rId10" Type="http://schemas.openxmlformats.org/officeDocument/2006/relationships/chart" Target="charts/chart1.xml"/><Relationship Id="rId31" Type="http://schemas.openxmlformats.org/officeDocument/2006/relationships/chart" Target="charts/chart20.xml"/><Relationship Id="rId44" Type="http://schemas.openxmlformats.org/officeDocument/2006/relationships/hyperlink" Target="https://stat.gov.pl/en/topics/living-conditions/living-conditions/household-budget-survey-in-2023,2,19.html" TargetMode="External"/><Relationship Id="rId52" Type="http://schemas.openxmlformats.org/officeDocument/2006/relationships/hyperlink" Target="https://stat.gov.pl/en/metainformation/glossary/terms-used-in-official-statistics/2585,term.html" TargetMode="External"/><Relationship Id="rId60" Type="http://schemas.openxmlformats.org/officeDocument/2006/relationships/hyperlink" Target="https://stat.gov.pl/en/topics/living-conditions/living-conditions/household-budget-survey-in-2023,2,19.html" TargetMode="External"/><Relationship Id="rId65" Type="http://schemas.openxmlformats.org/officeDocument/2006/relationships/hyperlink" Target="https://stat.gov.pl/en/metainformation/glossary/terms-used-in-official-statistics/62,term.html" TargetMode="External"/><Relationship Id="rId73" Type="http://schemas.openxmlformats.org/officeDocument/2006/relationships/hyperlink" Target="https://stat.gov.pl/en/metainformation/glossary/terms-used-in-official-statistics/601,term.html" TargetMode="External"/><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image" Target="media/image7.png"/><Relationship Id="rId34" Type="http://schemas.openxmlformats.org/officeDocument/2006/relationships/footer" Target="footer1.xml"/><Relationship Id="rId50" Type="http://schemas.openxmlformats.org/officeDocument/2006/relationships/hyperlink" Target="https://stat.gov.pl/en/metainformation/glossary/terms-used-in-official-statistics/63,term.html" TargetMode="External"/><Relationship Id="rId55" Type="http://schemas.openxmlformats.org/officeDocument/2006/relationships/hyperlink" Target="https://stat.gov.pl/en/metainformation/glossary/terms-used-in-official-statistics/3590,term.html" TargetMode="External"/><Relationship Id="rId76"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hyperlink" Target="https://stat.gov.pl/en/metainformation/glossary/terms-used-in-official-statistics/3590,term.html" TargetMode="External"/><Relationship Id="rId2" Type="http://schemas.openxmlformats.org/officeDocument/2006/relationships/customXml" Target="../customXml/item2.xml"/><Relationship Id="rId29" Type="http://schemas.openxmlformats.org/officeDocument/2006/relationships/chart" Target="charts/chart1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vmfgus09\SP\SP-06\P%20U%20B%20L%20I%20K%20A%20C%20J%20E\Informacja%20sygnalna%20z%20BBGD\2024\BGD%20Notatka_Publikacja%20za%202024%20wykresy.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vmfgus09\SP\SP-06\P%20U%20B%20L%20I%20K%20A%20C%20J%20E\Informacja%20sygnalna%20z%20BBGD\2024\BGD%20Notatka_Publikacja%20za%202024%20wykresy.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vmfgus09\SP\SP-06\P%20U%20B%20L%20I%20K%20A%20C%20J%20E\Informacja%20sygnalna%20z%20BBGD\2024\BGD%20Notatka_Publikacja%20za%202024%20wykresy.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vmfgus09\SP\SP-06\P%20U%20B%20L%20I%20K%20A%20C%20J%20E\Informacja%20sygnalna%20z%20BBGD\2024\BGD%20Notatka_Publikacja%20za%202024%20wykresy.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vmfgus09\SP\SP-06\P%20U%20B%20L%20I%20K%20A%20C%20J%20E\Informacja%20sygnalna%20z%20BBGD\2024\BGD%20Notatka_Publikacja%20za%202024%20wykresy.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vmfgus09\SP\SP-06\P%20U%20B%20L%20I%20K%20A%20C%20J%20E\Informacja%20sygnalna%20z%20BBGD\2024\BGD%20Notatka_Publikacja%20za%202024%20wykresy.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vmfgus09\SP\SP-06\P%20U%20B%20L%20I%20K%20A%20C%20J%20E\Informacja%20sygnalna%20z%20BBGD\2024\BGD%20Notatka_Publikacja%20za%202024%20wykresy.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vmfgus09\SP\SP-06\P%20U%20B%20L%20I%20K%20A%20C%20J%20E\Informacja%20sygnalna%20z%20BBGD\2024\BGD%20Notatka_Publikacja%20za%202024%20wykresy.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vmfgus09\SP\SP-06\P%20U%20B%20L%20I%20K%20A%20C%20J%20E\Informacja%20sygnalna%20z%20BBGD\2024\BGD%20Notatka_Publikacja%20za%202024%20wykresy.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vmfgus09\SP\SP-06\P%20U%20B%20L%20I%20K%20A%20C%20J%20E\Informacja%20sygnalna%20z%20BBGD\2024\BGD%20Notatka_Publikacja%20za%202024%20wykresy.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oleObject" Target="file:///\\vmfgus09\SP\SP-06\P%20U%20B%20L%20I%20K%20A%20C%20J%20E\Informacja%20sygnalna%20z%20BBGD\2024\BGD%20Notatka_Publikacja%20za%202024%20wykresy.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vmfgus09\SP\SP-06\P%20U%20B%20L%20I%20K%20A%20C%20J%20E\Informacja%20sygnalna%20z%20BBGD\2024\BGD%20Notatka_Publikacja%20za%202024%20wykresy.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oleObject" Target="file:///\\vmfgus09\SP\SP-06\P%20U%20B%20L%20I%20K%20A%20C%20J%20E\Informacja%20sygnalna%20z%20BBGD\2024\BGD%20Notatka_Publikacja%20za%202024%20wykresy.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0.xml"/></Relationships>
</file>

<file path=word/charts/_rels/chart21.xml.rels><?xml version="1.0" encoding="UTF-8" standalone="yes"?>
<Relationships xmlns="http://schemas.openxmlformats.org/package/2006/relationships"><Relationship Id="rId3" Type="http://schemas.openxmlformats.org/officeDocument/2006/relationships/oleObject" Target="file:///\\vmfgus09\SP\SP-06\P%20U%20B%20L%20I%20K%20A%20C%20J%20E\Informacja%20sygnalna%20z%20BBGD\2024\BGD%20Notatka_Publikacja%20za%202024%20wykresy.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vmfgus09\SP\SP-06\P%20U%20B%20L%20I%20K%20A%20C%20J%20E\Informacja%20sygnalna%20z%20BBGD\2024\BGD%20Notatka_Publikacja%20za%202024%20wykresy.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vmfgus09\SP\SP-06\P%20U%20B%20L%20I%20K%20A%20C%20J%20E\Informacja%20sygnalna%20z%20BBGD\2024\BGD%20Notatka_Publikacja%20za%202024%20wykresy.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vmfgus09\SP\SP-06\P%20U%20B%20L%20I%20K%20A%20C%20J%20E\Informacja%20sygnalna%20z%20BBGD\2024\BGD%20Notatka_Publikacja%20za%202024%20wykresy.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vmfgus09\SP\SP-06\P%20U%20B%20L%20I%20K%20A%20C%20J%20E\Informacja%20sygnalna%20z%20BBGD\2024\BGD%20Notatka_Publikacja%20za%202024%20wykresy.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vmfgus09\SP\SP-06\P%20U%20B%20L%20I%20K%20A%20C%20J%20E\Informacja%20sygnalna%20z%20BBGD\2024\BGD%20Notatka_Publikacja%20za%202024%20wykresy.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vmfgus09\SP\SP-06\P%20U%20B%20L%20I%20K%20A%20C%20J%20E\Informacja%20sygnalna%20z%20BBGD\2024\BGD%20Notatka_Publikacja%20za%202024%20wykresy.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vmfgus09\SP\SP-06\P%20U%20B%20L%20I%20K%20A%20C%20J%20E\Informacja%20sygnalna%20z%20BBGD\2024\BGD%20Notatka_Publikacja%20za%202024%20wykresy.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914745031871022E-2"/>
          <c:y val="0.19316858389733924"/>
          <c:w val="0.92008928571428572"/>
          <c:h val="0.55940896853768651"/>
        </c:manualLayout>
      </c:layout>
      <c:barChart>
        <c:barDir val="col"/>
        <c:grouping val="clustered"/>
        <c:varyColors val="0"/>
        <c:ser>
          <c:idx val="0"/>
          <c:order val="0"/>
          <c:tx>
            <c:strRef>
              <c:f>'1 dochody,wydatki lata'!$C$7</c:f>
              <c:strCache>
                <c:ptCount val="1"/>
                <c:pt idx="0">
                  <c:v>Available income</c:v>
                </c:pt>
              </c:strCache>
            </c:strRef>
          </c:tx>
          <c:spPr>
            <a:solidFill>
              <a:srgbClr val="334A92"/>
            </a:solidFill>
            <a:scene3d>
              <a:camera prst="orthographicFront"/>
              <a:lightRig rig="threePt" dir="t"/>
            </a:scene3d>
          </c:spPr>
          <c:invertIfNegative val="0"/>
          <c:dPt>
            <c:idx val="0"/>
            <c:invertIfNegative val="0"/>
            <c:bubble3D val="0"/>
            <c:spPr>
              <a:solidFill>
                <a:srgbClr val="334A92"/>
              </a:solidFill>
              <a:ln>
                <a:noFill/>
              </a:ln>
              <a:scene3d>
                <a:camera prst="orthographicFront"/>
                <a:lightRig rig="threePt" dir="t"/>
              </a:scene3d>
            </c:spPr>
            <c:extLst xmlns:c16r2="http://schemas.microsoft.com/office/drawing/2015/06/chart">
              <c:ext xmlns:c16="http://schemas.microsoft.com/office/drawing/2014/chart" uri="{C3380CC4-5D6E-409C-BE32-E72D297353CC}">
                <c16:uniqueId val="{00000001-B42E-4FA1-B775-F67D66307F9D}"/>
              </c:ext>
            </c:extLst>
          </c:dPt>
          <c:dPt>
            <c:idx val="10"/>
            <c:invertIfNegative val="0"/>
            <c:bubble3D val="0"/>
            <c:extLst xmlns:c16r2="http://schemas.microsoft.com/office/drawing/2015/06/chart">
              <c:ext xmlns:c16="http://schemas.microsoft.com/office/drawing/2014/chart" uri="{C3380CC4-5D6E-409C-BE32-E72D297353CC}">
                <c16:uniqueId val="{00000002-B42E-4FA1-B775-F67D66307F9D}"/>
              </c:ext>
            </c:extLst>
          </c:dPt>
          <c:dPt>
            <c:idx val="11"/>
            <c:invertIfNegative val="0"/>
            <c:bubble3D val="0"/>
            <c:extLst xmlns:c16r2="http://schemas.microsoft.com/office/drawing/2015/06/chart">
              <c:ext xmlns:c16="http://schemas.microsoft.com/office/drawing/2014/chart" uri="{C3380CC4-5D6E-409C-BE32-E72D297353CC}">
                <c16:uniqueId val="{00000003-B42E-4FA1-B775-F67D66307F9D}"/>
              </c:ext>
            </c:extLst>
          </c:dPt>
          <c:dPt>
            <c:idx val="12"/>
            <c:invertIfNegative val="0"/>
            <c:bubble3D val="0"/>
            <c:extLst xmlns:c16r2="http://schemas.microsoft.com/office/drawing/2015/06/chart">
              <c:ext xmlns:c16="http://schemas.microsoft.com/office/drawing/2014/chart" uri="{C3380CC4-5D6E-409C-BE32-E72D297353CC}">
                <c16:uniqueId val="{00000004-B42E-4FA1-B775-F67D66307F9D}"/>
              </c:ext>
            </c:extLst>
          </c:dPt>
          <c:dPt>
            <c:idx val="13"/>
            <c:invertIfNegative val="0"/>
            <c:bubble3D val="0"/>
            <c:extLst xmlns:c16r2="http://schemas.microsoft.com/office/drawing/2015/06/chart">
              <c:ext xmlns:c16="http://schemas.microsoft.com/office/drawing/2014/chart" uri="{C3380CC4-5D6E-409C-BE32-E72D297353CC}">
                <c16:uniqueId val="{00000005-B42E-4FA1-B775-F67D66307F9D}"/>
              </c:ext>
            </c:extLst>
          </c:dPt>
          <c:dLbls>
            <c:numFmt formatCode="0" sourceLinked="0"/>
            <c:spPr>
              <a:noFill/>
              <a:ln>
                <a:noFill/>
              </a:ln>
              <a:effectLst/>
            </c:spPr>
            <c:txPr>
              <a:bodyPr wrap="square" lIns="38100" tIns="19050" rIns="38100" bIns="19050" anchor="ctr">
                <a:spAutoFit/>
              </a:bodyPr>
              <a:lstStyle/>
              <a:p>
                <a:pPr>
                  <a:defRPr sz="8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 dochody,wydatki lata'!$B$15:$B$28</c:f>
              <c:strCach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strCache>
            </c:strRef>
          </c:cat>
          <c:val>
            <c:numRef>
              <c:f>'1 dochody,wydatki lata'!$C$15:$C$28</c:f>
              <c:numCache>
                <c:formatCode>General</c:formatCode>
                <c:ptCount val="14"/>
                <c:pt idx="0">
                  <c:v>1234.6300000000001</c:v>
                </c:pt>
                <c:pt idx="1">
                  <c:v>1278.43</c:v>
                </c:pt>
                <c:pt idx="2" formatCode="0.00">
                  <c:v>1299.07</c:v>
                </c:pt>
                <c:pt idx="3" formatCode="0.00">
                  <c:v>1340.44</c:v>
                </c:pt>
                <c:pt idx="4" formatCode="0.00">
                  <c:v>1386.16</c:v>
                </c:pt>
                <c:pt idx="5" formatCode="0.00">
                  <c:v>1474.56</c:v>
                </c:pt>
                <c:pt idx="6" formatCode="0.00">
                  <c:v>1598.13</c:v>
                </c:pt>
                <c:pt idx="7">
                  <c:v>1693.46</c:v>
                </c:pt>
                <c:pt idx="8">
                  <c:v>1819.14</c:v>
                </c:pt>
                <c:pt idx="9">
                  <c:v>1919.21</c:v>
                </c:pt>
                <c:pt idx="10" formatCode="0.00">
                  <c:v>2103.1999999999998</c:v>
                </c:pt>
                <c:pt idx="11" formatCode="0.00">
                  <c:v>2355.2199999999998</c:v>
                </c:pt>
                <c:pt idx="12" formatCode="0.00">
                  <c:v>2678.3</c:v>
                </c:pt>
                <c:pt idx="13" formatCode="0.00">
                  <c:v>3167.17</c:v>
                </c:pt>
              </c:numCache>
            </c:numRef>
          </c:val>
          <c:extLst xmlns:c16r2="http://schemas.microsoft.com/office/drawing/2015/06/chart">
            <c:ext xmlns:c16="http://schemas.microsoft.com/office/drawing/2014/chart" uri="{C3380CC4-5D6E-409C-BE32-E72D297353CC}">
              <c16:uniqueId val="{00000006-B42E-4FA1-B775-F67D66307F9D}"/>
            </c:ext>
          </c:extLst>
        </c:ser>
        <c:ser>
          <c:idx val="1"/>
          <c:order val="1"/>
          <c:tx>
            <c:strRef>
              <c:f>'1 dochody,wydatki lata'!$D$7</c:f>
              <c:strCache>
                <c:ptCount val="1"/>
                <c:pt idx="0">
                  <c:v>Expenditure</c:v>
                </c:pt>
              </c:strCache>
            </c:strRef>
          </c:tx>
          <c:spPr>
            <a:solidFill>
              <a:srgbClr val="66B68E"/>
            </a:solidFill>
            <a:ln>
              <a:noFill/>
            </a:ln>
          </c:spPr>
          <c:invertIfNegative val="0"/>
          <c:dPt>
            <c:idx val="10"/>
            <c:invertIfNegative val="0"/>
            <c:bubble3D val="0"/>
            <c:extLst xmlns:c16r2="http://schemas.microsoft.com/office/drawing/2015/06/chart">
              <c:ext xmlns:c16="http://schemas.microsoft.com/office/drawing/2014/chart" uri="{C3380CC4-5D6E-409C-BE32-E72D297353CC}">
                <c16:uniqueId val="{00000007-B42E-4FA1-B775-F67D66307F9D}"/>
              </c:ext>
            </c:extLst>
          </c:dPt>
          <c:dPt>
            <c:idx val="11"/>
            <c:invertIfNegative val="0"/>
            <c:bubble3D val="0"/>
            <c:extLst xmlns:c16r2="http://schemas.microsoft.com/office/drawing/2015/06/chart">
              <c:ext xmlns:c16="http://schemas.microsoft.com/office/drawing/2014/chart" uri="{C3380CC4-5D6E-409C-BE32-E72D297353CC}">
                <c16:uniqueId val="{00000008-B42E-4FA1-B775-F67D66307F9D}"/>
              </c:ext>
            </c:extLst>
          </c:dPt>
          <c:dPt>
            <c:idx val="12"/>
            <c:invertIfNegative val="0"/>
            <c:bubble3D val="0"/>
            <c:extLst xmlns:c16r2="http://schemas.microsoft.com/office/drawing/2015/06/chart">
              <c:ext xmlns:c16="http://schemas.microsoft.com/office/drawing/2014/chart" uri="{C3380CC4-5D6E-409C-BE32-E72D297353CC}">
                <c16:uniqueId val="{00000009-B42E-4FA1-B775-F67D66307F9D}"/>
              </c:ext>
            </c:extLst>
          </c:dPt>
          <c:dPt>
            <c:idx val="13"/>
            <c:invertIfNegative val="0"/>
            <c:bubble3D val="0"/>
            <c:extLst xmlns:c16r2="http://schemas.microsoft.com/office/drawing/2015/06/chart">
              <c:ext xmlns:c16="http://schemas.microsoft.com/office/drawing/2014/chart" uri="{C3380CC4-5D6E-409C-BE32-E72D297353CC}">
                <c16:uniqueId val="{0000000A-B42E-4FA1-B775-F67D66307F9D}"/>
              </c:ext>
            </c:extLst>
          </c:dPt>
          <c:dLbls>
            <c:numFmt formatCode="0" sourceLinked="0"/>
            <c:spPr>
              <a:noFill/>
              <a:ln>
                <a:noFill/>
              </a:ln>
              <a:effectLst/>
            </c:spPr>
            <c:txPr>
              <a:bodyPr wrap="square" lIns="38100" tIns="19050" rIns="38100" bIns="19050" anchor="ctr">
                <a:spAutoFit/>
              </a:bodyPr>
              <a:lstStyle/>
              <a:p>
                <a:pPr>
                  <a:defRPr sz="800" kern="0" spc="-20" baseline="0">
                    <a:solidFill>
                      <a:sysClr val="windowText" lastClr="000000"/>
                    </a:solidFill>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 dochody,wydatki lata'!$B$15:$B$28</c:f>
              <c:strCach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strCache>
            </c:strRef>
          </c:cat>
          <c:val>
            <c:numRef>
              <c:f>'1 dochody,wydatki lata'!$D$15:$D$28</c:f>
              <c:numCache>
                <c:formatCode>0.00</c:formatCode>
                <c:ptCount val="14"/>
                <c:pt idx="0">
                  <c:v>1027.69</c:v>
                </c:pt>
                <c:pt idx="1">
                  <c:v>1058.9100000000001</c:v>
                </c:pt>
                <c:pt idx="2">
                  <c:v>1061.7</c:v>
                </c:pt>
                <c:pt idx="3">
                  <c:v>1078.74</c:v>
                </c:pt>
                <c:pt idx="4">
                  <c:v>1091.19</c:v>
                </c:pt>
                <c:pt idx="5">
                  <c:v>1131.6400000000001</c:v>
                </c:pt>
                <c:pt idx="6">
                  <c:v>1176.44</c:v>
                </c:pt>
                <c:pt idx="7" formatCode="General">
                  <c:v>1186.8599999999999</c:v>
                </c:pt>
                <c:pt idx="8" formatCode="General">
                  <c:v>1251.73</c:v>
                </c:pt>
                <c:pt idx="9" formatCode="General">
                  <c:v>1209.58</c:v>
                </c:pt>
                <c:pt idx="10">
                  <c:v>1299.96</c:v>
                </c:pt>
                <c:pt idx="11">
                  <c:v>1495.28</c:v>
                </c:pt>
                <c:pt idx="12">
                  <c:v>1636.29</c:v>
                </c:pt>
                <c:pt idx="13">
                  <c:v>1878.49</c:v>
                </c:pt>
              </c:numCache>
            </c:numRef>
          </c:val>
          <c:extLst xmlns:c16r2="http://schemas.microsoft.com/office/drawing/2015/06/chart">
            <c:ext xmlns:c16="http://schemas.microsoft.com/office/drawing/2014/chart" uri="{C3380CC4-5D6E-409C-BE32-E72D297353CC}">
              <c16:uniqueId val="{0000000B-B42E-4FA1-B775-F67D66307F9D}"/>
            </c:ext>
          </c:extLst>
        </c:ser>
        <c:ser>
          <c:idx val="2"/>
          <c:order val="2"/>
          <c:tx>
            <c:strRef>
              <c:f>'1 dochody,wydatki lata'!$E$7</c:f>
              <c:strCache>
                <c:ptCount val="1"/>
                <c:pt idx="0">
                  <c:v>The share of expenditure in available income  </c:v>
                </c:pt>
              </c:strCache>
            </c:strRef>
          </c:tx>
          <c:spPr>
            <a:solidFill>
              <a:srgbClr val="4D4D4D">
                <a:lumMod val="20000"/>
                <a:lumOff val="80000"/>
              </a:srgbClr>
            </a:solidFill>
            <a:ln w="3175">
              <a:solidFill>
                <a:sysClr val="window" lastClr="FFFFFF">
                  <a:lumMod val="75000"/>
                </a:sysClr>
              </a:solidFill>
            </a:ln>
          </c:spPr>
          <c:invertIfNegative val="0"/>
          <c:dPt>
            <c:idx val="0"/>
            <c:invertIfNegative val="0"/>
            <c:bubble3D val="0"/>
            <c:spPr>
              <a:noFill/>
              <a:ln w="3175">
                <a:noFill/>
              </a:ln>
            </c:spPr>
            <c:extLst xmlns:c16r2="http://schemas.microsoft.com/office/drawing/2015/06/chart">
              <c:ext xmlns:c16="http://schemas.microsoft.com/office/drawing/2014/chart" uri="{C3380CC4-5D6E-409C-BE32-E72D297353CC}">
                <c16:uniqueId val="{0000000D-B42E-4FA1-B775-F67D66307F9D}"/>
              </c:ext>
            </c:extLst>
          </c:dPt>
          <c:dPt>
            <c:idx val="1"/>
            <c:invertIfNegative val="0"/>
            <c:bubble3D val="0"/>
            <c:spPr>
              <a:noFill/>
              <a:ln w="3175">
                <a:noFill/>
              </a:ln>
            </c:spPr>
            <c:extLst xmlns:c16r2="http://schemas.microsoft.com/office/drawing/2015/06/chart">
              <c:ext xmlns:c16="http://schemas.microsoft.com/office/drawing/2014/chart" uri="{C3380CC4-5D6E-409C-BE32-E72D297353CC}">
                <c16:uniqueId val="{0000000F-B42E-4FA1-B775-F67D66307F9D}"/>
              </c:ext>
            </c:extLst>
          </c:dPt>
          <c:dPt>
            <c:idx val="2"/>
            <c:invertIfNegative val="0"/>
            <c:bubble3D val="0"/>
            <c:spPr>
              <a:noFill/>
              <a:ln w="3175">
                <a:noFill/>
              </a:ln>
            </c:spPr>
            <c:extLst xmlns:c16r2="http://schemas.microsoft.com/office/drawing/2015/06/chart">
              <c:ext xmlns:c16="http://schemas.microsoft.com/office/drawing/2014/chart" uri="{C3380CC4-5D6E-409C-BE32-E72D297353CC}">
                <c16:uniqueId val="{00000011-B42E-4FA1-B775-F67D66307F9D}"/>
              </c:ext>
            </c:extLst>
          </c:dPt>
          <c:dPt>
            <c:idx val="3"/>
            <c:invertIfNegative val="0"/>
            <c:bubble3D val="0"/>
            <c:spPr>
              <a:noFill/>
              <a:ln w="3175">
                <a:noFill/>
              </a:ln>
            </c:spPr>
            <c:extLst xmlns:c16r2="http://schemas.microsoft.com/office/drawing/2015/06/chart">
              <c:ext xmlns:c16="http://schemas.microsoft.com/office/drawing/2014/chart" uri="{C3380CC4-5D6E-409C-BE32-E72D297353CC}">
                <c16:uniqueId val="{00000013-B42E-4FA1-B775-F67D66307F9D}"/>
              </c:ext>
            </c:extLst>
          </c:dPt>
          <c:dPt>
            <c:idx val="4"/>
            <c:invertIfNegative val="0"/>
            <c:bubble3D val="0"/>
            <c:spPr>
              <a:noFill/>
              <a:ln w="3175">
                <a:noFill/>
              </a:ln>
            </c:spPr>
            <c:extLst xmlns:c16r2="http://schemas.microsoft.com/office/drawing/2015/06/chart">
              <c:ext xmlns:c16="http://schemas.microsoft.com/office/drawing/2014/chart" uri="{C3380CC4-5D6E-409C-BE32-E72D297353CC}">
                <c16:uniqueId val="{00000015-B42E-4FA1-B775-F67D66307F9D}"/>
              </c:ext>
            </c:extLst>
          </c:dPt>
          <c:dPt>
            <c:idx val="5"/>
            <c:invertIfNegative val="0"/>
            <c:bubble3D val="0"/>
            <c:spPr>
              <a:noFill/>
              <a:ln w="3175">
                <a:noFill/>
              </a:ln>
            </c:spPr>
            <c:extLst xmlns:c16r2="http://schemas.microsoft.com/office/drawing/2015/06/chart">
              <c:ext xmlns:c16="http://schemas.microsoft.com/office/drawing/2014/chart" uri="{C3380CC4-5D6E-409C-BE32-E72D297353CC}">
                <c16:uniqueId val="{00000017-B42E-4FA1-B775-F67D66307F9D}"/>
              </c:ext>
            </c:extLst>
          </c:dPt>
          <c:dPt>
            <c:idx val="6"/>
            <c:invertIfNegative val="0"/>
            <c:bubble3D val="0"/>
            <c:spPr>
              <a:noFill/>
              <a:ln w="3175">
                <a:noFill/>
              </a:ln>
            </c:spPr>
            <c:extLst xmlns:c16r2="http://schemas.microsoft.com/office/drawing/2015/06/chart">
              <c:ext xmlns:c16="http://schemas.microsoft.com/office/drawing/2014/chart" uri="{C3380CC4-5D6E-409C-BE32-E72D297353CC}">
                <c16:uniqueId val="{00000019-B42E-4FA1-B775-F67D66307F9D}"/>
              </c:ext>
            </c:extLst>
          </c:dPt>
          <c:dPt>
            <c:idx val="7"/>
            <c:invertIfNegative val="0"/>
            <c:bubble3D val="0"/>
            <c:spPr>
              <a:noFill/>
              <a:ln w="3175">
                <a:noFill/>
              </a:ln>
            </c:spPr>
            <c:extLst xmlns:c16r2="http://schemas.microsoft.com/office/drawing/2015/06/chart">
              <c:ext xmlns:c16="http://schemas.microsoft.com/office/drawing/2014/chart" uri="{C3380CC4-5D6E-409C-BE32-E72D297353CC}">
                <c16:uniqueId val="{0000001B-B42E-4FA1-B775-F67D66307F9D}"/>
              </c:ext>
            </c:extLst>
          </c:dPt>
          <c:dPt>
            <c:idx val="8"/>
            <c:invertIfNegative val="0"/>
            <c:bubble3D val="0"/>
            <c:spPr>
              <a:noFill/>
              <a:ln w="3175">
                <a:noFill/>
              </a:ln>
            </c:spPr>
            <c:extLst xmlns:c16r2="http://schemas.microsoft.com/office/drawing/2015/06/chart">
              <c:ext xmlns:c16="http://schemas.microsoft.com/office/drawing/2014/chart" uri="{C3380CC4-5D6E-409C-BE32-E72D297353CC}">
                <c16:uniqueId val="{0000001D-B42E-4FA1-B775-F67D66307F9D}"/>
              </c:ext>
            </c:extLst>
          </c:dPt>
          <c:dPt>
            <c:idx val="9"/>
            <c:invertIfNegative val="0"/>
            <c:bubble3D val="0"/>
            <c:spPr>
              <a:noFill/>
              <a:ln w="3175">
                <a:noFill/>
              </a:ln>
            </c:spPr>
            <c:extLst xmlns:c16r2="http://schemas.microsoft.com/office/drawing/2015/06/chart">
              <c:ext xmlns:c16="http://schemas.microsoft.com/office/drawing/2014/chart" uri="{C3380CC4-5D6E-409C-BE32-E72D297353CC}">
                <c16:uniqueId val="{0000001F-B42E-4FA1-B775-F67D66307F9D}"/>
              </c:ext>
            </c:extLst>
          </c:dPt>
          <c:dPt>
            <c:idx val="10"/>
            <c:invertIfNegative val="0"/>
            <c:bubble3D val="0"/>
            <c:spPr>
              <a:noFill/>
              <a:ln w="3175">
                <a:noFill/>
              </a:ln>
            </c:spPr>
            <c:extLst xmlns:c16r2="http://schemas.microsoft.com/office/drawing/2015/06/chart">
              <c:ext xmlns:c16="http://schemas.microsoft.com/office/drawing/2014/chart" uri="{C3380CC4-5D6E-409C-BE32-E72D297353CC}">
                <c16:uniqueId val="{00000021-B42E-4FA1-B775-F67D66307F9D}"/>
              </c:ext>
            </c:extLst>
          </c:dPt>
          <c:dPt>
            <c:idx val="11"/>
            <c:invertIfNegative val="0"/>
            <c:bubble3D val="0"/>
            <c:spPr>
              <a:noFill/>
              <a:ln w="3175">
                <a:noFill/>
              </a:ln>
            </c:spPr>
            <c:extLst xmlns:c16r2="http://schemas.microsoft.com/office/drawing/2015/06/chart">
              <c:ext xmlns:c16="http://schemas.microsoft.com/office/drawing/2014/chart" uri="{C3380CC4-5D6E-409C-BE32-E72D297353CC}">
                <c16:uniqueId val="{00000023-B42E-4FA1-B775-F67D66307F9D}"/>
              </c:ext>
            </c:extLst>
          </c:dPt>
          <c:dPt>
            <c:idx val="12"/>
            <c:invertIfNegative val="0"/>
            <c:bubble3D val="0"/>
            <c:spPr>
              <a:noFill/>
              <a:ln w="3175">
                <a:noFill/>
              </a:ln>
            </c:spPr>
            <c:extLst xmlns:c16r2="http://schemas.microsoft.com/office/drawing/2015/06/chart">
              <c:ext xmlns:c16="http://schemas.microsoft.com/office/drawing/2014/chart" uri="{C3380CC4-5D6E-409C-BE32-E72D297353CC}">
                <c16:uniqueId val="{00000025-B42E-4FA1-B775-F67D66307F9D}"/>
              </c:ext>
            </c:extLst>
          </c:dPt>
          <c:dPt>
            <c:idx val="13"/>
            <c:invertIfNegative val="0"/>
            <c:bubble3D val="0"/>
            <c:spPr>
              <a:noFill/>
              <a:ln w="3175">
                <a:noFill/>
              </a:ln>
            </c:spPr>
            <c:extLst xmlns:c16r2="http://schemas.microsoft.com/office/drawing/2015/06/chart">
              <c:ext xmlns:c16="http://schemas.microsoft.com/office/drawing/2014/chart" uri="{C3380CC4-5D6E-409C-BE32-E72D297353CC}">
                <c16:uniqueId val="{00000027-B42E-4FA1-B775-F67D66307F9D}"/>
              </c:ext>
            </c:extLst>
          </c:dPt>
          <c:dPt>
            <c:idx val="14"/>
            <c:invertIfNegative val="0"/>
            <c:bubble3D val="0"/>
            <c:spPr>
              <a:noFill/>
              <a:ln w="3175">
                <a:noFill/>
              </a:ln>
            </c:spPr>
            <c:extLst xmlns:c16r2="http://schemas.microsoft.com/office/drawing/2015/06/chart">
              <c:ext xmlns:c16="http://schemas.microsoft.com/office/drawing/2014/chart" uri="{C3380CC4-5D6E-409C-BE32-E72D297353CC}">
                <c16:uniqueId val="{00000029-B42E-4FA1-B775-F67D66307F9D}"/>
              </c:ext>
            </c:extLst>
          </c:dPt>
          <c:dPt>
            <c:idx val="15"/>
            <c:invertIfNegative val="0"/>
            <c:bubble3D val="0"/>
            <c:spPr>
              <a:noFill/>
              <a:ln w="3175">
                <a:noFill/>
              </a:ln>
            </c:spPr>
            <c:extLst xmlns:c16r2="http://schemas.microsoft.com/office/drawing/2015/06/chart">
              <c:ext xmlns:c16="http://schemas.microsoft.com/office/drawing/2014/chart" uri="{C3380CC4-5D6E-409C-BE32-E72D297353CC}">
                <c16:uniqueId val="{0000002B-B42E-4FA1-B775-F67D66307F9D}"/>
              </c:ext>
            </c:extLst>
          </c:dPt>
          <c:dPt>
            <c:idx val="16"/>
            <c:invertIfNegative val="0"/>
            <c:bubble3D val="0"/>
            <c:spPr>
              <a:noFill/>
              <a:ln w="3175">
                <a:noFill/>
              </a:ln>
            </c:spPr>
            <c:extLst xmlns:c16r2="http://schemas.microsoft.com/office/drawing/2015/06/chart">
              <c:ext xmlns:c16="http://schemas.microsoft.com/office/drawing/2014/chart" uri="{C3380CC4-5D6E-409C-BE32-E72D297353CC}">
                <c16:uniqueId val="{0000002D-B42E-4FA1-B775-F67D66307F9D}"/>
              </c:ext>
            </c:extLst>
          </c:dPt>
          <c:dPt>
            <c:idx val="17"/>
            <c:invertIfNegative val="0"/>
            <c:bubble3D val="0"/>
            <c:spPr>
              <a:noFill/>
              <a:ln w="3175">
                <a:noFill/>
              </a:ln>
            </c:spPr>
            <c:extLst xmlns:c16r2="http://schemas.microsoft.com/office/drawing/2015/06/chart">
              <c:ext xmlns:c16="http://schemas.microsoft.com/office/drawing/2014/chart" uri="{C3380CC4-5D6E-409C-BE32-E72D297353CC}">
                <c16:uniqueId val="{0000002F-B42E-4FA1-B775-F67D66307F9D}"/>
              </c:ext>
            </c:extLst>
          </c:dPt>
          <c:dLbls>
            <c:spPr>
              <a:solidFill>
                <a:sysClr val="window" lastClr="FFFFFF">
                  <a:lumMod val="85000"/>
                </a:sysClr>
              </a:solidFill>
              <a:ln w="6350">
                <a:solidFill>
                  <a:sysClr val="window" lastClr="FFFFFF">
                    <a:lumMod val="65000"/>
                  </a:sysClr>
                </a:solidFill>
              </a:ln>
            </c:spPr>
            <c:txPr>
              <a:bodyPr lIns="18000" tIns="18000" rIns="18000" bIns="18000"/>
              <a:lstStyle/>
              <a:p>
                <a:pPr>
                  <a:defRPr sz="750" spc="-40" baseline="0">
                    <a:latin typeface="Fira Sans" panose="020B0503050000020004" pitchFamily="34" charset="0"/>
                    <a:ea typeface="Fira Sans" panose="020B05030500000200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0"/>
              </c:ext>
            </c:extLst>
          </c:dLbls>
          <c:cat>
            <c:strRef>
              <c:f>'1 dochody,wydatki lata'!$B$15:$B$28</c:f>
              <c:strCach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strCache>
            </c:strRef>
          </c:cat>
          <c:val>
            <c:numRef>
              <c:f>'1 dochody,wydatki lata'!$E$15:$E$28</c:f>
              <c:numCache>
                <c:formatCode>0.0%</c:formatCode>
                <c:ptCount val="14"/>
                <c:pt idx="0">
                  <c:v>0.83238703093234412</c:v>
                </c:pt>
                <c:pt idx="1">
                  <c:v>0.82828938620026127</c:v>
                </c:pt>
                <c:pt idx="2">
                  <c:v>0.81727697506677865</c:v>
                </c:pt>
                <c:pt idx="3">
                  <c:v>0.80476559935543546</c:v>
                </c:pt>
                <c:pt idx="4">
                  <c:v>0.78720349743175388</c:v>
                </c:pt>
                <c:pt idx="5">
                  <c:v>0.76744249131944453</c:v>
                </c:pt>
                <c:pt idx="6">
                  <c:v>0.73613535819989606</c:v>
                </c:pt>
                <c:pt idx="7">
                  <c:v>0.70084914907939955</c:v>
                </c:pt>
                <c:pt idx="8">
                  <c:v>0.68808887716173572</c:v>
                </c:pt>
                <c:pt idx="9">
                  <c:v>0.63024890449716287</c:v>
                </c:pt>
                <c:pt idx="10">
                  <c:v>0.61808672499049078</c:v>
                </c:pt>
                <c:pt idx="11">
                  <c:v>0.63487911957269394</c:v>
                </c:pt>
                <c:pt idx="12">
                  <c:v>0.61094350894223948</c:v>
                </c:pt>
                <c:pt idx="13">
                  <c:v>0.59311309465548101</c:v>
                </c:pt>
              </c:numCache>
            </c:numRef>
          </c:val>
          <c:extLst xmlns:c16r2="http://schemas.microsoft.com/office/drawing/2015/06/chart">
            <c:ext xmlns:c16="http://schemas.microsoft.com/office/drawing/2014/chart" uri="{C3380CC4-5D6E-409C-BE32-E72D297353CC}">
              <c16:uniqueId val="{00000030-B42E-4FA1-B775-F67D66307F9D}"/>
            </c:ext>
          </c:extLst>
        </c:ser>
        <c:dLbls>
          <c:showLegendKey val="0"/>
          <c:showVal val="0"/>
          <c:showCatName val="0"/>
          <c:showSerName val="0"/>
          <c:showPercent val="0"/>
          <c:showBubbleSize val="0"/>
        </c:dLbls>
        <c:gapWidth val="20"/>
        <c:overlap val="80"/>
        <c:axId val="-83294336"/>
        <c:axId val="-83294880"/>
      </c:barChart>
      <c:catAx>
        <c:axId val="-83294336"/>
        <c:scaling>
          <c:orientation val="minMax"/>
        </c:scaling>
        <c:delete val="0"/>
        <c:axPos val="b"/>
        <c:numFmt formatCode="General" sourceLinked="1"/>
        <c:majorTickMark val="out"/>
        <c:minorTickMark val="none"/>
        <c:tickLblPos val="nextTo"/>
        <c:spPr>
          <a:ln w="9525">
            <a:solidFill>
              <a:sysClr val="windowText" lastClr="000000"/>
            </a:solidFill>
          </a:ln>
        </c:spPr>
        <c:txPr>
          <a:bodyPr/>
          <a:lstStyle/>
          <a:p>
            <a:pPr>
              <a:defRPr sz="800"/>
            </a:pPr>
            <a:endParaRPr lang="pl-PL"/>
          </a:p>
        </c:txPr>
        <c:crossAx val="-83294880"/>
        <c:crosses val="autoZero"/>
        <c:auto val="1"/>
        <c:lblAlgn val="ctr"/>
        <c:lblOffset val="100"/>
        <c:noMultiLvlLbl val="0"/>
      </c:catAx>
      <c:valAx>
        <c:axId val="-83294880"/>
        <c:scaling>
          <c:orientation val="minMax"/>
          <c:max val="350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83294336"/>
        <c:crosses val="autoZero"/>
        <c:crossBetween val="between"/>
        <c:majorUnit val="500"/>
      </c:valAx>
    </c:plotArea>
    <c:legend>
      <c:legendPos val="r"/>
      <c:layout>
        <c:manualLayout>
          <c:xMode val="edge"/>
          <c:yMode val="edge"/>
          <c:x val="6.1517077936845847E-2"/>
          <c:y val="0.11303275307203287"/>
          <c:w val="0.92112358212568168"/>
          <c:h val="7.8975730994152046E-2"/>
        </c:manualLayout>
      </c:layout>
      <c:overlay val="0"/>
      <c:spPr>
        <a:noFill/>
        <a:ln w="6350">
          <a:noFill/>
        </a:ln>
      </c:spPr>
      <c:txPr>
        <a:bodyPr/>
        <a:lstStyle/>
        <a:p>
          <a:pPr rtl="0">
            <a:defRPr/>
          </a:pPr>
          <a:endParaRPr lang="pl-PL"/>
        </a:p>
      </c:txPr>
    </c:legend>
    <c:plotVisOnly val="1"/>
    <c:dispBlanksAs val="gap"/>
    <c:showDLblsOverMax val="0"/>
  </c:chart>
  <c:spPr>
    <a:ln>
      <a:noFill/>
    </a:ln>
  </c:spPr>
  <c:txPr>
    <a:bodyPr/>
    <a:lstStyle/>
    <a:p>
      <a:pPr algn="ct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401242936860488E-2"/>
          <c:y val="0.27403557087738273"/>
          <c:w val="0.94791300027622971"/>
          <c:h val="0.5619637689240552"/>
        </c:manualLayout>
      </c:layout>
      <c:barChart>
        <c:barDir val="col"/>
        <c:grouping val="clustered"/>
        <c:varyColors val="0"/>
        <c:ser>
          <c:idx val="0"/>
          <c:order val="0"/>
          <c:tx>
            <c:strRef>
              <c:f>'34 spożycie kwintyle'!$B$12</c:f>
              <c:strCache>
                <c:ptCount val="1"/>
                <c:pt idx="0">
                  <c:v>first quintile group</c:v>
                </c:pt>
              </c:strCache>
            </c:strRef>
          </c:tx>
          <c:spPr>
            <a:solidFill>
              <a:srgbClr val="99CEB3"/>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'34 spożycie kwintyle'!$C$11:$I$11</c:f>
              <c:strCache>
                <c:ptCount val="7"/>
                <c:pt idx="0">
                  <c:v>bread and cereals</c:v>
                </c:pt>
                <c:pt idx="1">
                  <c:v>meat</c:v>
                </c:pt>
                <c:pt idx="2">
                  <c:v>vegetables</c:v>
                </c:pt>
                <c:pt idx="3">
                  <c:v>fruit</c:v>
                </c:pt>
                <c:pt idx="4">
                  <c:v>cheese and curd</c:v>
                </c:pt>
                <c:pt idx="5">
                  <c:v>sugar</c:v>
                </c:pt>
                <c:pt idx="6">
                  <c:v>mineral and spring waters
(in l)</c:v>
                </c:pt>
              </c:strCache>
            </c:strRef>
          </c:cat>
          <c:val>
            <c:numRef>
              <c:f>'34 spożycie kwintyle'!$C$12:$I$12</c:f>
              <c:numCache>
                <c:formatCode>0.00</c:formatCode>
                <c:ptCount val="7"/>
                <c:pt idx="0">
                  <c:v>4.7699999999999996</c:v>
                </c:pt>
                <c:pt idx="1">
                  <c:v>4.6900000000000004</c:v>
                </c:pt>
                <c:pt idx="2">
                  <c:v>6.36</c:v>
                </c:pt>
                <c:pt idx="3">
                  <c:v>3.1</c:v>
                </c:pt>
                <c:pt idx="4">
                  <c:v>0.87</c:v>
                </c:pt>
                <c:pt idx="5">
                  <c:v>0.79</c:v>
                </c:pt>
                <c:pt idx="6">
                  <c:v>5.36</c:v>
                </c:pt>
              </c:numCache>
            </c:numRef>
          </c:val>
          <c:extLst xmlns:c16r2="http://schemas.microsoft.com/office/drawing/2015/06/chart">
            <c:ext xmlns:c16="http://schemas.microsoft.com/office/drawing/2014/chart" uri="{C3380CC4-5D6E-409C-BE32-E72D297353CC}">
              <c16:uniqueId val="{00000000-833E-4A37-A340-22FCC81C3528}"/>
            </c:ext>
          </c:extLst>
        </c:ser>
        <c:ser>
          <c:idx val="2"/>
          <c:order val="2"/>
          <c:tx>
            <c:strRef>
              <c:f>'34 spożycie kwintyle'!$B$14</c:f>
              <c:strCache>
                <c:ptCount val="1"/>
                <c:pt idx="0">
                  <c:v>fifth quintile group</c:v>
                </c:pt>
              </c:strCache>
            </c:strRef>
          </c:tx>
          <c:spPr>
            <a:solidFill>
              <a:srgbClr val="339D68"/>
            </a:solidFill>
            <a:scene3d>
              <a:camera prst="orthographicFront"/>
              <a:lightRig rig="threePt" dir="t"/>
            </a:scene3d>
          </c:spPr>
          <c:invertIfNegative val="0"/>
          <c:dLbls>
            <c:dLbl>
              <c:idx val="2"/>
              <c:layout>
                <c:manualLayout>
                  <c:x val="0"/>
                  <c:y val="8.932559178204554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33E-4A37-A340-22FCC81C3528}"/>
                </c:ext>
                <c:ext xmlns:c15="http://schemas.microsoft.com/office/drawing/2012/chart" uri="{CE6537A1-D6FC-4f65-9D91-7224C49458BB}">
                  <c15:layout/>
                </c:ext>
              </c:extLst>
            </c:dLbl>
            <c:numFmt formatCode="#,##0.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'34 spożycie kwintyle'!$C$11:$I$11</c:f>
              <c:strCache>
                <c:ptCount val="7"/>
                <c:pt idx="0">
                  <c:v>bread and cereals</c:v>
                </c:pt>
                <c:pt idx="1">
                  <c:v>meat</c:v>
                </c:pt>
                <c:pt idx="2">
                  <c:v>vegetables</c:v>
                </c:pt>
                <c:pt idx="3">
                  <c:v>fruit</c:v>
                </c:pt>
                <c:pt idx="4">
                  <c:v>cheese and curd</c:v>
                </c:pt>
                <c:pt idx="5">
                  <c:v>sugar</c:v>
                </c:pt>
                <c:pt idx="6">
                  <c:v>mineral and spring waters
(in l)</c:v>
                </c:pt>
              </c:strCache>
            </c:strRef>
          </c:cat>
          <c:val>
            <c:numRef>
              <c:f>'34 spożycie kwintyle'!$C$14:$I$14</c:f>
              <c:numCache>
                <c:formatCode>0.00</c:formatCode>
                <c:ptCount val="7"/>
                <c:pt idx="0">
                  <c:v>5.0599999999999996</c:v>
                </c:pt>
                <c:pt idx="1">
                  <c:v>4.9400000000000004</c:v>
                </c:pt>
                <c:pt idx="2">
                  <c:v>7.97</c:v>
                </c:pt>
                <c:pt idx="3">
                  <c:v>5.0599999999999996</c:v>
                </c:pt>
                <c:pt idx="4">
                  <c:v>1.33</c:v>
                </c:pt>
                <c:pt idx="5">
                  <c:v>0.64</c:v>
                </c:pt>
                <c:pt idx="6">
                  <c:v>7.1</c:v>
                </c:pt>
              </c:numCache>
            </c:numRef>
          </c:val>
          <c:extLst xmlns:c16r2="http://schemas.microsoft.com/office/drawing/2015/06/chart">
            <c:ext xmlns:c16="http://schemas.microsoft.com/office/drawing/2014/chart" uri="{C3380CC4-5D6E-409C-BE32-E72D297353CC}">
              <c16:uniqueId val="{00000002-833E-4A37-A340-22FCC81C3528}"/>
            </c:ext>
          </c:extLst>
        </c:ser>
        <c:dLbls>
          <c:showLegendKey val="0"/>
          <c:showVal val="0"/>
          <c:showCatName val="0"/>
          <c:showSerName val="0"/>
          <c:showPercent val="0"/>
          <c:showBubbleSize val="0"/>
        </c:dLbls>
        <c:gapWidth val="70"/>
        <c:axId val="-2098006496"/>
        <c:axId val="-2098005952"/>
      </c:barChart>
      <c:barChart>
        <c:barDir val="col"/>
        <c:grouping val="clustered"/>
        <c:varyColors val="0"/>
        <c:ser>
          <c:idx val="1"/>
          <c:order val="1"/>
          <c:tx>
            <c:strRef>
              <c:f>'34 spożycie kwintyle'!$B$13</c:f>
              <c:strCache>
                <c:ptCount val="1"/>
                <c:pt idx="0">
                  <c:v>of which bread</c:v>
                </c:pt>
              </c:strCache>
            </c:strRef>
          </c:tx>
          <c:spPr>
            <a:solidFill>
              <a:srgbClr val="6677AD"/>
            </a:solidFill>
            <a:scene3d>
              <a:camera prst="orthographicFront"/>
              <a:lightRig rig="threePt" dir="t"/>
            </a:scene3d>
          </c:spPr>
          <c:invertIfNegative val="0"/>
          <c:dPt>
            <c:idx val="0"/>
            <c:invertIfNegative val="0"/>
            <c:bubble3D val="0"/>
            <c:spPr>
              <a:solidFill>
                <a:srgbClr val="99A5C9"/>
              </a:solidFill>
              <a:scene3d>
                <a:camera prst="orthographicFront"/>
                <a:lightRig rig="threePt" dir="t"/>
              </a:scene3d>
            </c:spPr>
            <c:extLst xmlns:c16r2="http://schemas.microsoft.com/office/drawing/2015/06/chart">
              <c:ext xmlns:c16="http://schemas.microsoft.com/office/drawing/2014/chart" uri="{C3380CC4-5D6E-409C-BE32-E72D297353CC}">
                <c16:uniqueId val="{00000004-833E-4A37-A340-22FCC81C3528}"/>
              </c:ext>
            </c:extLst>
          </c:dPt>
          <c:dPt>
            <c:idx val="2"/>
            <c:invertIfNegative val="0"/>
            <c:bubble3D val="0"/>
            <c:spPr>
              <a:solidFill>
                <a:srgbClr val="969696"/>
              </a:solidFill>
              <a:scene3d>
                <a:camera prst="orthographicFront"/>
                <a:lightRig rig="threePt" dir="t"/>
              </a:scene3d>
            </c:spPr>
            <c:extLst xmlns:c16r2="http://schemas.microsoft.com/office/drawing/2015/06/chart">
              <c:ext xmlns:c16="http://schemas.microsoft.com/office/drawing/2014/chart" uri="{C3380CC4-5D6E-409C-BE32-E72D297353CC}">
                <c16:uniqueId val="{00000006-833E-4A37-A340-22FCC81C3528}"/>
              </c:ext>
            </c:extLst>
          </c:dPt>
          <c:dLbls>
            <c:dLbl>
              <c:idx val="0"/>
              <c:numFmt formatCode="#,##0.0" sourceLinked="0"/>
              <c:spPr/>
              <c:txPr>
                <a:bodyPr/>
                <a:lstStyle/>
                <a:p>
                  <a:pPr>
                    <a:defRPr/>
                  </a:pPr>
                  <a:endParaRPr lang="pl-PL"/>
                </a:p>
              </c:txPr>
              <c:dLblPos val="inEnd"/>
              <c:showLegendKey val="0"/>
              <c:showVal val="1"/>
              <c:showCatName val="0"/>
              <c:showSerName val="0"/>
              <c:showPercent val="0"/>
              <c:showBubbleSize val="0"/>
            </c:dLbl>
            <c:dLbl>
              <c:idx val="1"/>
              <c:delete val="1"/>
              <c:extLst xmlns:c16r2="http://schemas.microsoft.com/office/drawing/2015/06/chart">
                <c:ext xmlns:c16="http://schemas.microsoft.com/office/drawing/2014/chart" uri="{C3380CC4-5D6E-409C-BE32-E72D297353CC}">
                  <c16:uniqueId val="{00000007-833E-4A37-A340-22FCC81C3528}"/>
                </c:ext>
                <c:ext xmlns:c15="http://schemas.microsoft.com/office/drawing/2012/chart" uri="{CE6537A1-D6FC-4f65-9D91-7224C49458BB}"/>
              </c:extLst>
            </c:dLbl>
            <c:dLbl>
              <c:idx val="2"/>
              <c:numFmt formatCode="#,##0.0" sourceLinked="0"/>
              <c:spPr/>
              <c:txPr>
                <a:bodyPr/>
                <a:lstStyle/>
                <a:p>
                  <a:pPr>
                    <a:defRPr/>
                  </a:pPr>
                  <a:endParaRPr lang="pl-PL"/>
                </a:p>
              </c:txPr>
              <c:dLblPos val="inEnd"/>
              <c:showLegendKey val="0"/>
              <c:showVal val="1"/>
              <c:showCatName val="0"/>
              <c:showSerName val="0"/>
              <c:showPercent val="0"/>
              <c:showBubbleSize val="0"/>
            </c:dLbl>
            <c:dLbl>
              <c:idx val="3"/>
              <c:delete val="1"/>
              <c:extLst xmlns:c16r2="http://schemas.microsoft.com/office/drawing/2015/06/chart">
                <c:ext xmlns:c16="http://schemas.microsoft.com/office/drawing/2014/chart" uri="{C3380CC4-5D6E-409C-BE32-E72D297353CC}">
                  <c16:uniqueId val="{00000008-833E-4A37-A340-22FCC81C3528}"/>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833E-4A37-A340-22FCC81C3528}"/>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A-833E-4A37-A340-22FCC81C3528}"/>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B-833E-4A37-A340-22FCC81C3528}"/>
                </c:ext>
                <c:ext xmlns:c15="http://schemas.microsoft.com/office/drawing/2012/chart" uri="{CE6537A1-D6FC-4f65-9D91-7224C49458BB}"/>
              </c:extLst>
            </c:dLbl>
            <c:numFmt formatCode="#,##0.0" sourceLinked="0"/>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'34 spożycie kwintyle'!$C$11:$I$11</c:f>
              <c:strCache>
                <c:ptCount val="7"/>
                <c:pt idx="0">
                  <c:v>bread and cereals</c:v>
                </c:pt>
                <c:pt idx="1">
                  <c:v>meat</c:v>
                </c:pt>
                <c:pt idx="2">
                  <c:v>vegetables</c:v>
                </c:pt>
                <c:pt idx="3">
                  <c:v>fruit</c:v>
                </c:pt>
                <c:pt idx="4">
                  <c:v>cheese and curd</c:v>
                </c:pt>
                <c:pt idx="5">
                  <c:v>sugar</c:v>
                </c:pt>
                <c:pt idx="6">
                  <c:v>mineral and spring waters
(in l)</c:v>
                </c:pt>
              </c:strCache>
            </c:strRef>
          </c:cat>
          <c:val>
            <c:numRef>
              <c:f>'34 spożycie kwintyle'!$C$13:$I$13</c:f>
              <c:numCache>
                <c:formatCode>General</c:formatCode>
                <c:ptCount val="7"/>
                <c:pt idx="0" formatCode="0.00">
                  <c:v>2.4900000000000002</c:v>
                </c:pt>
                <c:pt idx="2" formatCode="0.00">
                  <c:v>2.5099999999999998</c:v>
                </c:pt>
              </c:numCache>
            </c:numRef>
          </c:val>
          <c:extLst xmlns:c16r2="http://schemas.microsoft.com/office/drawing/2015/06/chart">
            <c:ext xmlns:c16="http://schemas.microsoft.com/office/drawing/2014/chart" uri="{C3380CC4-5D6E-409C-BE32-E72D297353CC}">
              <c16:uniqueId val="{0000000C-833E-4A37-A340-22FCC81C3528}"/>
            </c:ext>
          </c:extLst>
        </c:ser>
        <c:ser>
          <c:idx val="3"/>
          <c:order val="3"/>
          <c:tx>
            <c:strRef>
              <c:f>'34 spożycie kwintyle'!$B$15</c:f>
              <c:strCache>
                <c:ptCount val="1"/>
                <c:pt idx="0">
                  <c:v>of which potatoes</c:v>
                </c:pt>
              </c:strCache>
            </c:strRef>
          </c:tx>
          <c:spPr>
            <a:solidFill>
              <a:srgbClr val="5F5F5F"/>
            </a:solidFill>
            <a:scene3d>
              <a:camera prst="orthographicFront"/>
              <a:lightRig rig="threePt" dir="t"/>
            </a:scene3d>
          </c:spPr>
          <c:invertIfNegative val="0"/>
          <c:dPt>
            <c:idx val="0"/>
            <c:invertIfNegative val="0"/>
            <c:bubble3D val="0"/>
            <c:spPr>
              <a:solidFill>
                <a:srgbClr val="6677AD"/>
              </a:solidFill>
              <a:scene3d>
                <a:camera prst="orthographicFront"/>
                <a:lightRig rig="threePt" dir="t"/>
              </a:scene3d>
            </c:spPr>
            <c:extLst xmlns:c16r2="http://schemas.microsoft.com/office/drawing/2015/06/chart">
              <c:ext xmlns:c16="http://schemas.microsoft.com/office/drawing/2014/chart" uri="{C3380CC4-5D6E-409C-BE32-E72D297353CC}">
                <c16:uniqueId val="{0000000E-833E-4A37-A340-22FCC81C3528}"/>
              </c:ext>
            </c:extLst>
          </c:dPt>
          <c:dPt>
            <c:idx val="2"/>
            <c:invertIfNegative val="0"/>
            <c:bubble3D val="0"/>
            <c:extLst xmlns:c16r2="http://schemas.microsoft.com/office/drawing/2015/06/chart">
              <c:ext xmlns:c16="http://schemas.microsoft.com/office/drawing/2014/chart" uri="{C3380CC4-5D6E-409C-BE32-E72D297353CC}">
                <c16:uniqueId val="{0000000F-833E-4A37-A340-22FCC81C3528}"/>
              </c:ext>
            </c:extLst>
          </c:dPt>
          <c:dLbls>
            <c:dLbl>
              <c:idx val="0"/>
              <c:numFmt formatCode="#,##0.0" sourceLinked="0"/>
              <c:spPr/>
              <c:txPr>
                <a:bodyPr/>
                <a:lstStyle/>
                <a:p>
                  <a:pPr>
                    <a:defRPr>
                      <a:solidFill>
                        <a:schemeClr val="bg1"/>
                      </a:solidFill>
                    </a:defRPr>
                  </a:pPr>
                  <a:endParaRPr lang="pl-PL"/>
                </a:p>
              </c:txPr>
              <c:dLblPos val="inEnd"/>
              <c:showLegendKey val="0"/>
              <c:showVal val="1"/>
              <c:showCatName val="0"/>
              <c:showSerName val="0"/>
              <c:showPercent val="0"/>
              <c:showBubbleSize val="0"/>
            </c:dLbl>
            <c:dLbl>
              <c:idx val="1"/>
              <c:delete val="1"/>
              <c:extLst xmlns:c16r2="http://schemas.microsoft.com/office/drawing/2015/06/chart">
                <c:ext xmlns:c16="http://schemas.microsoft.com/office/drawing/2014/chart" uri="{C3380CC4-5D6E-409C-BE32-E72D297353CC}">
                  <c16:uniqueId val="{00000010-833E-4A37-A340-22FCC81C3528}"/>
                </c:ext>
                <c:ext xmlns:c15="http://schemas.microsoft.com/office/drawing/2012/chart" uri="{CE6537A1-D6FC-4f65-9D91-7224C49458BB}"/>
              </c:extLst>
            </c:dLbl>
            <c:dLbl>
              <c:idx val="2"/>
              <c:numFmt formatCode="#,##0.0" sourceLinked="0"/>
              <c:spPr/>
              <c:txPr>
                <a:bodyPr/>
                <a:lstStyle/>
                <a:p>
                  <a:pPr>
                    <a:defRPr>
                      <a:solidFill>
                        <a:schemeClr val="bg1"/>
                      </a:solidFill>
                    </a:defRPr>
                  </a:pPr>
                  <a:endParaRPr lang="pl-PL"/>
                </a:p>
              </c:txPr>
              <c:dLblPos val="inEnd"/>
              <c:showLegendKey val="0"/>
              <c:showVal val="1"/>
              <c:showCatName val="0"/>
              <c:showSerName val="0"/>
              <c:showPercent val="0"/>
              <c:showBubbleSize val="0"/>
            </c:dLbl>
            <c:dLbl>
              <c:idx val="3"/>
              <c:delete val="1"/>
              <c:extLst xmlns:c16r2="http://schemas.microsoft.com/office/drawing/2015/06/chart">
                <c:ext xmlns:c16="http://schemas.microsoft.com/office/drawing/2014/chart" uri="{C3380CC4-5D6E-409C-BE32-E72D297353CC}">
                  <c16:uniqueId val="{00000011-833E-4A37-A340-22FCC81C3528}"/>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2-833E-4A37-A340-22FCC81C3528}"/>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3-833E-4A37-A340-22FCC81C3528}"/>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4-833E-4A37-A340-22FCC81C3528}"/>
                </c:ex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a:solidFill>
                      <a:schemeClr val="bg1"/>
                    </a:solidFill>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'34 spożycie kwintyle'!$C$11:$I$11</c:f>
              <c:strCache>
                <c:ptCount val="7"/>
                <c:pt idx="0">
                  <c:v>bread and cereals</c:v>
                </c:pt>
                <c:pt idx="1">
                  <c:v>meat</c:v>
                </c:pt>
                <c:pt idx="2">
                  <c:v>vegetables</c:v>
                </c:pt>
                <c:pt idx="3">
                  <c:v>fruit</c:v>
                </c:pt>
                <c:pt idx="4">
                  <c:v>cheese and curd</c:v>
                </c:pt>
                <c:pt idx="5">
                  <c:v>sugar</c:v>
                </c:pt>
                <c:pt idx="6">
                  <c:v>mineral and spring waters
(in l)</c:v>
                </c:pt>
              </c:strCache>
            </c:strRef>
          </c:cat>
          <c:val>
            <c:numRef>
              <c:f>'34 spożycie kwintyle'!$C$15:$I$15</c:f>
              <c:numCache>
                <c:formatCode>General</c:formatCode>
                <c:ptCount val="7"/>
                <c:pt idx="0" formatCode="0.00">
                  <c:v>2.5099999999999998</c:v>
                </c:pt>
                <c:pt idx="2" formatCode="0.00">
                  <c:v>2.29</c:v>
                </c:pt>
              </c:numCache>
            </c:numRef>
          </c:val>
          <c:extLst xmlns:c16r2="http://schemas.microsoft.com/office/drawing/2015/06/chart">
            <c:ext xmlns:c16="http://schemas.microsoft.com/office/drawing/2014/chart" uri="{C3380CC4-5D6E-409C-BE32-E72D297353CC}">
              <c16:uniqueId val="{00000015-833E-4A37-A340-22FCC81C3528}"/>
            </c:ext>
          </c:extLst>
        </c:ser>
        <c:dLbls>
          <c:showLegendKey val="0"/>
          <c:showVal val="0"/>
          <c:showCatName val="0"/>
          <c:showSerName val="0"/>
          <c:showPercent val="0"/>
          <c:showBubbleSize val="0"/>
        </c:dLbls>
        <c:gapWidth val="90"/>
        <c:overlap val="-50"/>
        <c:axId val="-2098004864"/>
        <c:axId val="-2098005408"/>
      </c:barChart>
      <c:catAx>
        <c:axId val="-2098006496"/>
        <c:scaling>
          <c:orientation val="minMax"/>
        </c:scaling>
        <c:delete val="0"/>
        <c:axPos val="b"/>
        <c:numFmt formatCode="General" sourceLinked="1"/>
        <c:majorTickMark val="out"/>
        <c:minorTickMark val="none"/>
        <c:tickLblPos val="nextTo"/>
        <c:spPr>
          <a:ln w="9525">
            <a:solidFill>
              <a:sysClr val="windowText" lastClr="000000"/>
            </a:solidFill>
          </a:ln>
        </c:spPr>
        <c:txPr>
          <a:bodyPr/>
          <a:lstStyle/>
          <a:p>
            <a:pPr>
              <a:defRPr sz="800" spc="-20" baseline="0"/>
            </a:pPr>
            <a:endParaRPr lang="pl-PL"/>
          </a:p>
        </c:txPr>
        <c:crossAx val="-2098005952"/>
        <c:crosses val="autoZero"/>
        <c:auto val="1"/>
        <c:lblAlgn val="ctr"/>
        <c:lblOffset val="100"/>
        <c:noMultiLvlLbl val="0"/>
      </c:catAx>
      <c:valAx>
        <c:axId val="-2098005952"/>
        <c:scaling>
          <c:orientation val="minMax"/>
          <c:max val="1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2098006496"/>
        <c:crosses val="autoZero"/>
        <c:crossBetween val="between"/>
        <c:majorUnit val="2"/>
      </c:valAx>
      <c:valAx>
        <c:axId val="-2098005408"/>
        <c:scaling>
          <c:orientation val="minMax"/>
          <c:max val="12"/>
        </c:scaling>
        <c:delete val="1"/>
        <c:axPos val="r"/>
        <c:numFmt formatCode="0.00" sourceLinked="1"/>
        <c:majorTickMark val="out"/>
        <c:minorTickMark val="none"/>
        <c:tickLblPos val="none"/>
        <c:crossAx val="-2098004864"/>
        <c:crosses val="max"/>
        <c:crossBetween val="between"/>
      </c:valAx>
      <c:catAx>
        <c:axId val="-2098004864"/>
        <c:scaling>
          <c:orientation val="minMax"/>
        </c:scaling>
        <c:delete val="1"/>
        <c:axPos val="b"/>
        <c:numFmt formatCode="General" sourceLinked="1"/>
        <c:majorTickMark val="out"/>
        <c:minorTickMark val="none"/>
        <c:tickLblPos val="none"/>
        <c:crossAx val="-2098005408"/>
        <c:crosses val="autoZero"/>
        <c:auto val="1"/>
        <c:lblAlgn val="ctr"/>
        <c:lblOffset val="100"/>
        <c:noMultiLvlLbl val="0"/>
      </c:catAx>
    </c:plotArea>
    <c:legend>
      <c:legendPos val="r"/>
      <c:layout>
        <c:manualLayout>
          <c:xMode val="edge"/>
          <c:yMode val="edge"/>
          <c:x val="4.3389565147792741E-2"/>
          <c:y val="0.15179573995089479"/>
          <c:w val="0.94252310130999339"/>
          <c:h val="0.11035980613869749"/>
        </c:manualLayout>
      </c:layout>
      <c:overlay val="0"/>
      <c:spPr>
        <a:solidFill>
          <a:sysClr val="window" lastClr="FFFFFF"/>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896610961933961E-2"/>
          <c:y val="0.26467946761901534"/>
          <c:w val="0.94580564934031819"/>
          <c:h val="0.56780155479859307"/>
        </c:manualLayout>
      </c:layout>
      <c:barChart>
        <c:barDir val="col"/>
        <c:grouping val="clustered"/>
        <c:varyColors val="0"/>
        <c:ser>
          <c:idx val="0"/>
          <c:order val="0"/>
          <c:tx>
            <c:strRef>
              <c:f>'35 spożycie miasto wieś'!$C$14</c:f>
              <c:strCache>
                <c:ptCount val="1"/>
                <c:pt idx="0">
                  <c:v>Urban areas</c:v>
                </c:pt>
              </c:strCache>
            </c:strRef>
          </c:tx>
          <c:spPr>
            <a:solidFill>
              <a:srgbClr val="99CEB3"/>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'35 spożycie miasto wieś'!$B$15:$B$21</c:f>
              <c:strCache>
                <c:ptCount val="7"/>
                <c:pt idx="0">
                  <c:v>bread and cereals</c:v>
                </c:pt>
                <c:pt idx="1">
                  <c:v>meat</c:v>
                </c:pt>
                <c:pt idx="2">
                  <c:v>vegetables</c:v>
                </c:pt>
                <c:pt idx="3">
                  <c:v>fruit</c:v>
                </c:pt>
                <c:pt idx="4">
                  <c:v>cheese and curd</c:v>
                </c:pt>
                <c:pt idx="5">
                  <c:v>sugar</c:v>
                </c:pt>
                <c:pt idx="6">
                  <c:v>mineral and spring waters
(in l)</c:v>
                </c:pt>
              </c:strCache>
            </c:strRef>
          </c:cat>
          <c:val>
            <c:numRef>
              <c:f>'35 spożycie miasto wieś'!$C$15:$C$21</c:f>
              <c:numCache>
                <c:formatCode>0.00</c:formatCode>
                <c:ptCount val="7"/>
                <c:pt idx="0">
                  <c:v>4.8099999999999996</c:v>
                </c:pt>
                <c:pt idx="1">
                  <c:v>4.78</c:v>
                </c:pt>
                <c:pt idx="2">
                  <c:v>7.17</c:v>
                </c:pt>
                <c:pt idx="3">
                  <c:v>4.32</c:v>
                </c:pt>
                <c:pt idx="4">
                  <c:v>1.1399999999999999</c:v>
                </c:pt>
                <c:pt idx="5">
                  <c:v>0.65</c:v>
                </c:pt>
                <c:pt idx="6">
                  <c:v>6.24</c:v>
                </c:pt>
              </c:numCache>
            </c:numRef>
          </c:val>
          <c:extLst xmlns:c16r2="http://schemas.microsoft.com/office/drawing/2015/06/chart">
            <c:ext xmlns:c16="http://schemas.microsoft.com/office/drawing/2014/chart" uri="{C3380CC4-5D6E-409C-BE32-E72D297353CC}">
              <c16:uniqueId val="{00000000-C971-4430-9B2D-A81CF9D5E6C0}"/>
            </c:ext>
          </c:extLst>
        </c:ser>
        <c:ser>
          <c:idx val="2"/>
          <c:order val="2"/>
          <c:tx>
            <c:strRef>
              <c:f>'35 spożycie miasto wieś'!$E$14</c:f>
              <c:strCache>
                <c:ptCount val="1"/>
                <c:pt idx="0">
                  <c:v>Rural areas</c:v>
                </c:pt>
              </c:strCache>
            </c:strRef>
          </c:tx>
          <c:spPr>
            <a:solidFill>
              <a:srgbClr val="339D68"/>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'35 spożycie miasto wieś'!$B$15:$B$21</c:f>
              <c:strCache>
                <c:ptCount val="7"/>
                <c:pt idx="0">
                  <c:v>bread and cereals</c:v>
                </c:pt>
                <c:pt idx="1">
                  <c:v>meat</c:v>
                </c:pt>
                <c:pt idx="2">
                  <c:v>vegetables</c:v>
                </c:pt>
                <c:pt idx="3">
                  <c:v>fruit</c:v>
                </c:pt>
                <c:pt idx="4">
                  <c:v>cheese and curd</c:v>
                </c:pt>
                <c:pt idx="5">
                  <c:v>sugar</c:v>
                </c:pt>
                <c:pt idx="6">
                  <c:v>mineral and spring waters
(in l)</c:v>
                </c:pt>
              </c:strCache>
            </c:strRef>
          </c:cat>
          <c:val>
            <c:numRef>
              <c:f>'35 spożycie miasto wieś'!$E$15:$E$21</c:f>
              <c:numCache>
                <c:formatCode>0.00</c:formatCode>
                <c:ptCount val="7"/>
                <c:pt idx="0">
                  <c:v>5.29</c:v>
                </c:pt>
                <c:pt idx="1">
                  <c:v>5.33</c:v>
                </c:pt>
                <c:pt idx="2">
                  <c:v>7.04</c:v>
                </c:pt>
                <c:pt idx="3">
                  <c:v>3.36</c:v>
                </c:pt>
                <c:pt idx="4">
                  <c:v>0.96</c:v>
                </c:pt>
                <c:pt idx="5">
                  <c:v>0.93</c:v>
                </c:pt>
                <c:pt idx="6">
                  <c:v>6.47</c:v>
                </c:pt>
              </c:numCache>
            </c:numRef>
          </c:val>
          <c:extLst xmlns:c16r2="http://schemas.microsoft.com/office/drawing/2015/06/chart">
            <c:ext xmlns:c16="http://schemas.microsoft.com/office/drawing/2014/chart" uri="{C3380CC4-5D6E-409C-BE32-E72D297353CC}">
              <c16:uniqueId val="{00000001-C971-4430-9B2D-A81CF9D5E6C0}"/>
            </c:ext>
          </c:extLst>
        </c:ser>
        <c:dLbls>
          <c:showLegendKey val="0"/>
          <c:showVal val="0"/>
          <c:showCatName val="0"/>
          <c:showSerName val="0"/>
          <c:showPercent val="0"/>
          <c:showBubbleSize val="0"/>
        </c:dLbls>
        <c:gapWidth val="70"/>
        <c:axId val="-1949237984"/>
        <c:axId val="-1949237440"/>
      </c:barChart>
      <c:barChart>
        <c:barDir val="col"/>
        <c:grouping val="clustered"/>
        <c:varyColors val="0"/>
        <c:ser>
          <c:idx val="1"/>
          <c:order val="1"/>
          <c:tx>
            <c:strRef>
              <c:f>'35 spożycie miasto wieś'!$D$14</c:f>
              <c:strCache>
                <c:ptCount val="1"/>
                <c:pt idx="0">
                  <c:v>of which bread</c:v>
                </c:pt>
              </c:strCache>
            </c:strRef>
          </c:tx>
          <c:spPr>
            <a:solidFill>
              <a:srgbClr val="6677AD"/>
            </a:solidFill>
            <a:scene3d>
              <a:camera prst="orthographicFront"/>
              <a:lightRig rig="threePt" dir="t"/>
            </a:scene3d>
          </c:spPr>
          <c:invertIfNegative val="0"/>
          <c:dPt>
            <c:idx val="0"/>
            <c:invertIfNegative val="0"/>
            <c:bubble3D val="0"/>
            <c:spPr>
              <a:solidFill>
                <a:srgbClr val="99A5C9"/>
              </a:solidFill>
              <a:scene3d>
                <a:camera prst="orthographicFront"/>
                <a:lightRig rig="threePt" dir="t"/>
              </a:scene3d>
            </c:spPr>
            <c:extLst xmlns:c16r2="http://schemas.microsoft.com/office/drawing/2015/06/chart">
              <c:ext xmlns:c16="http://schemas.microsoft.com/office/drawing/2014/chart" uri="{C3380CC4-5D6E-409C-BE32-E72D297353CC}">
                <c16:uniqueId val="{00000003-C971-4430-9B2D-A81CF9D5E6C0}"/>
              </c:ext>
            </c:extLst>
          </c:dPt>
          <c:dPt>
            <c:idx val="2"/>
            <c:invertIfNegative val="0"/>
            <c:bubble3D val="0"/>
            <c:spPr>
              <a:solidFill>
                <a:srgbClr val="969696"/>
              </a:solidFill>
              <a:scene3d>
                <a:camera prst="orthographicFront"/>
                <a:lightRig rig="threePt" dir="t"/>
              </a:scene3d>
            </c:spPr>
            <c:extLst xmlns:c16r2="http://schemas.microsoft.com/office/drawing/2015/06/chart">
              <c:ext xmlns:c16="http://schemas.microsoft.com/office/drawing/2014/chart" uri="{C3380CC4-5D6E-409C-BE32-E72D297353CC}">
                <c16:uniqueId val="{00000005-C971-4430-9B2D-A81CF9D5E6C0}"/>
              </c:ext>
            </c:extLst>
          </c:dPt>
          <c:dLbls>
            <c:dLbl>
              <c:idx val="0"/>
              <c:numFmt formatCode="#,##0.0" sourceLinked="0"/>
              <c:spPr/>
              <c:txPr>
                <a:bodyPr/>
                <a:lstStyle/>
                <a:p>
                  <a:pPr>
                    <a:defRPr/>
                  </a:pPr>
                  <a:endParaRPr lang="pl-PL"/>
                </a:p>
              </c:txPr>
              <c:dLblPos val="inEnd"/>
              <c:showLegendKey val="0"/>
              <c:showVal val="1"/>
              <c:showCatName val="0"/>
              <c:showSerName val="0"/>
              <c:showPercent val="0"/>
              <c:showBubbleSize val="0"/>
            </c:dLbl>
            <c:dLbl>
              <c:idx val="1"/>
              <c:delete val="1"/>
              <c:extLst xmlns:c16r2="http://schemas.microsoft.com/office/drawing/2015/06/chart">
                <c:ext xmlns:c16="http://schemas.microsoft.com/office/drawing/2014/chart" uri="{C3380CC4-5D6E-409C-BE32-E72D297353CC}">
                  <c16:uniqueId val="{00000006-C971-4430-9B2D-A81CF9D5E6C0}"/>
                </c:ext>
                <c:ext xmlns:c15="http://schemas.microsoft.com/office/drawing/2012/chart" uri="{CE6537A1-D6FC-4f65-9D91-7224C49458BB}"/>
              </c:extLst>
            </c:dLbl>
            <c:dLbl>
              <c:idx val="2"/>
              <c:numFmt formatCode="#,##0.0" sourceLinked="0"/>
              <c:spPr/>
              <c:txPr>
                <a:bodyPr/>
                <a:lstStyle/>
                <a:p>
                  <a:pPr>
                    <a:defRPr/>
                  </a:pPr>
                  <a:endParaRPr lang="pl-PL"/>
                </a:p>
              </c:txPr>
              <c:dLblPos val="inEnd"/>
              <c:showLegendKey val="0"/>
              <c:showVal val="1"/>
              <c:showCatName val="0"/>
              <c:showSerName val="0"/>
              <c:showPercent val="0"/>
              <c:showBubbleSize val="0"/>
            </c:dLbl>
            <c:dLbl>
              <c:idx val="3"/>
              <c:delete val="1"/>
              <c:extLst xmlns:c16r2="http://schemas.microsoft.com/office/drawing/2015/06/chart">
                <c:ext xmlns:c16="http://schemas.microsoft.com/office/drawing/2014/chart" uri="{C3380CC4-5D6E-409C-BE32-E72D297353CC}">
                  <c16:uniqueId val="{00000007-C971-4430-9B2D-A81CF9D5E6C0}"/>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8-C971-4430-9B2D-A81CF9D5E6C0}"/>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9-C971-4430-9B2D-A81CF9D5E6C0}"/>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A-C971-4430-9B2D-A81CF9D5E6C0}"/>
                </c:ext>
                <c:ext xmlns:c15="http://schemas.microsoft.com/office/drawing/2012/chart" uri="{CE6537A1-D6FC-4f65-9D91-7224C49458BB}"/>
              </c:extLst>
            </c:dLbl>
            <c:numFmt formatCode="#,##0.0" sourceLinked="0"/>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'35 spożycie miasto wieś'!$B$15:$B$21</c:f>
              <c:strCache>
                <c:ptCount val="7"/>
                <c:pt idx="0">
                  <c:v>bread and cereals</c:v>
                </c:pt>
                <c:pt idx="1">
                  <c:v>meat</c:v>
                </c:pt>
                <c:pt idx="2">
                  <c:v>vegetables</c:v>
                </c:pt>
                <c:pt idx="3">
                  <c:v>fruit</c:v>
                </c:pt>
                <c:pt idx="4">
                  <c:v>cheese and curd</c:v>
                </c:pt>
                <c:pt idx="5">
                  <c:v>sugar</c:v>
                </c:pt>
                <c:pt idx="6">
                  <c:v>mineral and spring waters
(in l)</c:v>
                </c:pt>
              </c:strCache>
            </c:strRef>
          </c:cat>
          <c:val>
            <c:numRef>
              <c:f>'35 spożycie miasto wieś'!$D$15:$D$21</c:f>
              <c:numCache>
                <c:formatCode>General</c:formatCode>
                <c:ptCount val="7"/>
                <c:pt idx="0" formatCode="0.00">
                  <c:v>2.41</c:v>
                </c:pt>
                <c:pt idx="2" formatCode="0.00">
                  <c:v>2.2799999999999998</c:v>
                </c:pt>
              </c:numCache>
            </c:numRef>
          </c:val>
          <c:extLst xmlns:c16r2="http://schemas.microsoft.com/office/drawing/2015/06/chart">
            <c:ext xmlns:c16="http://schemas.microsoft.com/office/drawing/2014/chart" uri="{C3380CC4-5D6E-409C-BE32-E72D297353CC}">
              <c16:uniqueId val="{0000000B-C971-4430-9B2D-A81CF9D5E6C0}"/>
            </c:ext>
          </c:extLst>
        </c:ser>
        <c:ser>
          <c:idx val="3"/>
          <c:order val="3"/>
          <c:tx>
            <c:strRef>
              <c:f>'35 spożycie miasto wieś'!$F$14</c:f>
              <c:strCache>
                <c:ptCount val="1"/>
                <c:pt idx="0">
                  <c:v>of which potatoes</c:v>
                </c:pt>
              </c:strCache>
            </c:strRef>
          </c:tx>
          <c:spPr>
            <a:solidFill>
              <a:srgbClr val="5F5F5F"/>
            </a:solidFill>
            <a:scene3d>
              <a:camera prst="orthographicFront"/>
              <a:lightRig rig="threePt" dir="t"/>
            </a:scene3d>
          </c:spPr>
          <c:invertIfNegative val="0"/>
          <c:dPt>
            <c:idx val="0"/>
            <c:invertIfNegative val="0"/>
            <c:bubble3D val="0"/>
            <c:spPr>
              <a:solidFill>
                <a:srgbClr val="6677AD"/>
              </a:solidFill>
              <a:scene3d>
                <a:camera prst="orthographicFront"/>
                <a:lightRig rig="threePt" dir="t"/>
              </a:scene3d>
            </c:spPr>
            <c:extLst xmlns:c16r2="http://schemas.microsoft.com/office/drawing/2015/06/chart">
              <c:ext xmlns:c16="http://schemas.microsoft.com/office/drawing/2014/chart" uri="{C3380CC4-5D6E-409C-BE32-E72D297353CC}">
                <c16:uniqueId val="{0000000D-C971-4430-9B2D-A81CF9D5E6C0}"/>
              </c:ext>
            </c:extLst>
          </c:dPt>
          <c:dPt>
            <c:idx val="2"/>
            <c:invertIfNegative val="0"/>
            <c:bubble3D val="0"/>
            <c:extLst xmlns:c16r2="http://schemas.microsoft.com/office/drawing/2015/06/chart">
              <c:ext xmlns:c16="http://schemas.microsoft.com/office/drawing/2014/chart" uri="{C3380CC4-5D6E-409C-BE32-E72D297353CC}">
                <c16:uniqueId val="{0000000E-C971-4430-9B2D-A81CF9D5E6C0}"/>
              </c:ext>
            </c:extLst>
          </c:dPt>
          <c:dLbls>
            <c:dLbl>
              <c:idx val="0"/>
              <c:numFmt formatCode="#,##0.0" sourceLinked="0"/>
              <c:spPr/>
              <c:txPr>
                <a:bodyPr/>
                <a:lstStyle/>
                <a:p>
                  <a:pPr>
                    <a:defRPr>
                      <a:solidFill>
                        <a:schemeClr val="bg1"/>
                      </a:solidFill>
                    </a:defRPr>
                  </a:pPr>
                  <a:endParaRPr lang="pl-PL"/>
                </a:p>
              </c:txPr>
              <c:dLblPos val="inEnd"/>
              <c:showLegendKey val="0"/>
              <c:showVal val="1"/>
              <c:showCatName val="0"/>
              <c:showSerName val="0"/>
              <c:showPercent val="0"/>
              <c:showBubbleSize val="0"/>
            </c:dLbl>
            <c:dLbl>
              <c:idx val="1"/>
              <c:delete val="1"/>
              <c:extLst xmlns:c16r2="http://schemas.microsoft.com/office/drawing/2015/06/chart">
                <c:ext xmlns:c16="http://schemas.microsoft.com/office/drawing/2014/chart" uri="{C3380CC4-5D6E-409C-BE32-E72D297353CC}">
                  <c16:uniqueId val="{0000000F-C971-4430-9B2D-A81CF9D5E6C0}"/>
                </c:ext>
                <c:ext xmlns:c15="http://schemas.microsoft.com/office/drawing/2012/chart" uri="{CE6537A1-D6FC-4f65-9D91-7224C49458BB}"/>
              </c:extLst>
            </c:dLbl>
            <c:dLbl>
              <c:idx val="2"/>
              <c:numFmt formatCode="#,##0.0" sourceLinked="0"/>
              <c:spPr/>
              <c:txPr>
                <a:bodyPr/>
                <a:lstStyle/>
                <a:p>
                  <a:pPr>
                    <a:defRPr>
                      <a:solidFill>
                        <a:schemeClr val="bg1"/>
                      </a:solidFill>
                    </a:defRPr>
                  </a:pPr>
                  <a:endParaRPr lang="pl-PL"/>
                </a:p>
              </c:txPr>
              <c:dLblPos val="inEnd"/>
              <c:showLegendKey val="0"/>
              <c:showVal val="1"/>
              <c:showCatName val="0"/>
              <c:showSerName val="0"/>
              <c:showPercent val="0"/>
              <c:showBubbleSize val="0"/>
            </c:dLbl>
            <c:dLbl>
              <c:idx val="3"/>
              <c:delete val="1"/>
              <c:extLst xmlns:c16r2="http://schemas.microsoft.com/office/drawing/2015/06/chart">
                <c:ext xmlns:c16="http://schemas.microsoft.com/office/drawing/2014/chart" uri="{C3380CC4-5D6E-409C-BE32-E72D297353CC}">
                  <c16:uniqueId val="{00000010-C971-4430-9B2D-A81CF9D5E6C0}"/>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1-C971-4430-9B2D-A81CF9D5E6C0}"/>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2-C971-4430-9B2D-A81CF9D5E6C0}"/>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3-C971-4430-9B2D-A81CF9D5E6C0}"/>
                </c:ex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a:solidFill>
                      <a:schemeClr val="bg1"/>
                    </a:solidFill>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'35 spożycie miasto wieś'!$B$15:$B$21</c:f>
              <c:strCache>
                <c:ptCount val="7"/>
                <c:pt idx="0">
                  <c:v>bread and cereals</c:v>
                </c:pt>
                <c:pt idx="1">
                  <c:v>meat</c:v>
                </c:pt>
                <c:pt idx="2">
                  <c:v>vegetables</c:v>
                </c:pt>
                <c:pt idx="3">
                  <c:v>fruit</c:v>
                </c:pt>
                <c:pt idx="4">
                  <c:v>cheese and curd</c:v>
                </c:pt>
                <c:pt idx="5">
                  <c:v>sugar</c:v>
                </c:pt>
                <c:pt idx="6">
                  <c:v>mineral and spring waters
(in l)</c:v>
                </c:pt>
              </c:strCache>
            </c:strRef>
          </c:cat>
          <c:val>
            <c:numRef>
              <c:f>'35 spożycie miasto wieś'!$F$15:$F$21</c:f>
              <c:numCache>
                <c:formatCode>General</c:formatCode>
                <c:ptCount val="7"/>
                <c:pt idx="0" formatCode="0.00">
                  <c:v>2.79</c:v>
                </c:pt>
                <c:pt idx="2" formatCode="0.00">
                  <c:v>2.69</c:v>
                </c:pt>
              </c:numCache>
            </c:numRef>
          </c:val>
          <c:extLst xmlns:c16r2="http://schemas.microsoft.com/office/drawing/2015/06/chart">
            <c:ext xmlns:c16="http://schemas.microsoft.com/office/drawing/2014/chart" uri="{C3380CC4-5D6E-409C-BE32-E72D297353CC}">
              <c16:uniqueId val="{00000014-C971-4430-9B2D-A81CF9D5E6C0}"/>
            </c:ext>
          </c:extLst>
        </c:ser>
        <c:dLbls>
          <c:showLegendKey val="0"/>
          <c:showVal val="0"/>
          <c:showCatName val="0"/>
          <c:showSerName val="0"/>
          <c:showPercent val="0"/>
          <c:showBubbleSize val="0"/>
        </c:dLbls>
        <c:gapWidth val="90"/>
        <c:overlap val="-50"/>
        <c:axId val="-1949236352"/>
        <c:axId val="-1949236896"/>
      </c:barChart>
      <c:catAx>
        <c:axId val="-1949237984"/>
        <c:scaling>
          <c:orientation val="minMax"/>
        </c:scaling>
        <c:delete val="0"/>
        <c:axPos val="b"/>
        <c:numFmt formatCode="General" sourceLinked="1"/>
        <c:majorTickMark val="out"/>
        <c:minorTickMark val="none"/>
        <c:tickLblPos val="nextTo"/>
        <c:spPr>
          <a:ln w="9525">
            <a:solidFill>
              <a:sysClr val="windowText" lastClr="000000"/>
            </a:solidFill>
          </a:ln>
        </c:spPr>
        <c:txPr>
          <a:bodyPr/>
          <a:lstStyle/>
          <a:p>
            <a:pPr>
              <a:defRPr sz="800" spc="-10" baseline="0"/>
            </a:pPr>
            <a:endParaRPr lang="pl-PL"/>
          </a:p>
        </c:txPr>
        <c:crossAx val="-1949237440"/>
        <c:crosses val="autoZero"/>
        <c:auto val="1"/>
        <c:lblAlgn val="ctr"/>
        <c:lblOffset val="100"/>
        <c:noMultiLvlLbl val="0"/>
      </c:catAx>
      <c:valAx>
        <c:axId val="-1949237440"/>
        <c:scaling>
          <c:orientation val="minMax"/>
          <c:max val="1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949237984"/>
        <c:crosses val="autoZero"/>
        <c:crossBetween val="between"/>
        <c:majorUnit val="2"/>
      </c:valAx>
      <c:valAx>
        <c:axId val="-1949236896"/>
        <c:scaling>
          <c:orientation val="minMax"/>
          <c:max val="12"/>
        </c:scaling>
        <c:delete val="1"/>
        <c:axPos val="r"/>
        <c:numFmt formatCode="0.00" sourceLinked="1"/>
        <c:majorTickMark val="out"/>
        <c:minorTickMark val="none"/>
        <c:tickLblPos val="none"/>
        <c:crossAx val="-1949236352"/>
        <c:crosses val="max"/>
        <c:crossBetween val="between"/>
      </c:valAx>
      <c:catAx>
        <c:axId val="-1949236352"/>
        <c:scaling>
          <c:orientation val="minMax"/>
        </c:scaling>
        <c:delete val="1"/>
        <c:axPos val="b"/>
        <c:numFmt formatCode="General" sourceLinked="1"/>
        <c:majorTickMark val="out"/>
        <c:minorTickMark val="none"/>
        <c:tickLblPos val="none"/>
        <c:crossAx val="-1949236896"/>
        <c:crosses val="autoZero"/>
        <c:auto val="1"/>
        <c:lblAlgn val="ctr"/>
        <c:lblOffset val="100"/>
        <c:noMultiLvlLbl val="0"/>
      </c:catAx>
    </c:plotArea>
    <c:legend>
      <c:legendPos val="r"/>
      <c:layout>
        <c:manualLayout>
          <c:xMode val="edge"/>
          <c:yMode val="edge"/>
          <c:x val="4.1308568299546419E-2"/>
          <c:y val="0.15093289767854529"/>
          <c:w val="0.93624341025798696"/>
          <c:h val="0.10459382414883391"/>
        </c:manualLayout>
      </c:layout>
      <c:overlay val="0"/>
      <c:spPr>
        <a:solidFill>
          <a:sysClr val="window" lastClr="FFFFFF"/>
        </a:solidFill>
        <a:ln w="6350">
          <a:noFill/>
        </a:ln>
      </c:spPr>
    </c:legend>
    <c:plotVisOnly val="1"/>
    <c:dispBlanksAs val="gap"/>
    <c:showDLblsOverMax val="0"/>
  </c:chart>
  <c:spPr>
    <a:ln>
      <a:noFill/>
    </a:ln>
  </c:spPr>
  <c:txPr>
    <a:bodyPr/>
    <a:lstStyle/>
    <a:p>
      <a:pPr>
        <a:spcBef>
          <a:spcPts val="1200"/>
        </a:spcBef>
        <a:spcAft>
          <a:spcPts val="1200"/>
        </a:spcAft>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013728302549544E-2"/>
          <c:y val="0.25195082573441208"/>
          <c:w val="0.91803058831108364"/>
          <c:h val="0.60884812078902506"/>
        </c:manualLayout>
      </c:layout>
      <c:barChart>
        <c:barDir val="col"/>
        <c:grouping val="clustered"/>
        <c:varyColors val="0"/>
        <c:ser>
          <c:idx val="0"/>
          <c:order val="0"/>
          <c:tx>
            <c:strRef>
              <c:f>'37 wyposażenie kwintyl I i V'!$D$29</c:f>
              <c:strCache>
                <c:ptCount val="1"/>
                <c:pt idx="0">
                  <c:v>first quintile group</c:v>
                </c:pt>
              </c:strCache>
            </c:strRef>
          </c:tx>
          <c:spPr>
            <a:solidFill>
              <a:srgbClr val="99A5C9"/>
            </a:solidFill>
            <a:scene3d>
              <a:camera prst="orthographicFront"/>
              <a:lightRig rig="threePt" dir="t"/>
            </a:scene3d>
          </c:spPr>
          <c:invertIfNegative val="0"/>
          <c:dLbls>
            <c:numFmt formatCode="0.0%" sourceLinked="0"/>
            <c:spPr>
              <a:noFill/>
              <a:ln>
                <a:noFill/>
              </a:ln>
              <a:effectLst/>
            </c:spPr>
            <c:txPr>
              <a:bodyPr rot="0" vert="horz"/>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'37 wyposażenie kwintyl I i V'!$B$30:$B$39</c:f>
              <c:strCache>
                <c:ptCount val="5"/>
                <c:pt idx="0">
                  <c:v>access to the Internet</c:v>
                </c:pt>
                <c:pt idx="1">
                  <c:v>smartphone</c:v>
                </c:pt>
                <c:pt idx="2">
                  <c:v>TV set</c:v>
                </c:pt>
                <c:pt idx="3">
                  <c:v>dishwasher</c:v>
                </c:pt>
                <c:pt idx="4">
                  <c:v>passenger car</c:v>
                </c:pt>
              </c:strCache>
            </c:strRef>
          </c:cat>
          <c:val>
            <c:numRef>
              <c:f>'37 wyposażenie kwintyl I i V'!$D$30:$D$39</c:f>
              <c:numCache>
                <c:formatCode>0.0%</c:formatCode>
                <c:ptCount val="5"/>
                <c:pt idx="0">
                  <c:v>0.88300000000000001</c:v>
                </c:pt>
                <c:pt idx="1">
                  <c:v>0.89400000000000002</c:v>
                </c:pt>
                <c:pt idx="2">
                  <c:v>0.95900000000000007</c:v>
                </c:pt>
                <c:pt idx="3">
                  <c:v>0.53500000000000003</c:v>
                </c:pt>
                <c:pt idx="4">
                  <c:v>0.748</c:v>
                </c:pt>
              </c:numCache>
            </c:numRef>
          </c:val>
          <c:extLst xmlns:c16r2="http://schemas.microsoft.com/office/drawing/2015/06/chart">
            <c:ext xmlns:c16="http://schemas.microsoft.com/office/drawing/2014/chart" uri="{C3380CC4-5D6E-409C-BE32-E72D297353CC}">
              <c16:uniqueId val="{00000003-83F9-4C43-8C12-340F2656A5F6}"/>
            </c:ext>
          </c:extLst>
        </c:ser>
        <c:ser>
          <c:idx val="1"/>
          <c:order val="1"/>
          <c:tx>
            <c:strRef>
              <c:f>'37 wyposażenie kwintyl I i V'!$E$29</c:f>
              <c:strCache>
                <c:ptCount val="1"/>
                <c:pt idx="0">
                  <c:v>fifth quintile group</c:v>
                </c:pt>
              </c:strCache>
            </c:strRef>
          </c:tx>
          <c:spPr>
            <a:solidFill>
              <a:srgbClr val="6677AD"/>
            </a:solidFill>
            <a:ln w="3175">
              <a:noFill/>
            </a:ln>
            <a:scene3d>
              <a:camera prst="orthographicFront"/>
              <a:lightRig rig="threePt" dir="t"/>
            </a:scene3d>
          </c:spPr>
          <c:invertIfNegative val="0"/>
          <c:dPt>
            <c:idx val="0"/>
            <c:invertIfNegative val="0"/>
            <c:bubble3D val="0"/>
          </c:dPt>
          <c:dPt>
            <c:idx val="1"/>
            <c:invertIfNegative val="0"/>
            <c:bubble3D val="0"/>
          </c:dPt>
          <c:dLbls>
            <c:numFmt formatCode="0.0%" sourceLinked="0"/>
            <c:spPr>
              <a:noFill/>
              <a:ln>
                <a:noFill/>
              </a:ln>
              <a:effectLst/>
            </c:spPr>
            <c:txPr>
              <a:bodyPr rot="0" vert="horz"/>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'37 wyposażenie kwintyl I i V'!$B$30:$B$39</c:f>
              <c:strCache>
                <c:ptCount val="5"/>
                <c:pt idx="0">
                  <c:v>access to the Internet</c:v>
                </c:pt>
                <c:pt idx="1">
                  <c:v>smartphone</c:v>
                </c:pt>
                <c:pt idx="2">
                  <c:v>TV set</c:v>
                </c:pt>
                <c:pt idx="3">
                  <c:v>dishwasher</c:v>
                </c:pt>
                <c:pt idx="4">
                  <c:v>passenger car</c:v>
                </c:pt>
              </c:strCache>
            </c:strRef>
          </c:cat>
          <c:val>
            <c:numRef>
              <c:f>'37 wyposażenie kwintyl I i V'!$E$30:$E$39</c:f>
              <c:numCache>
                <c:formatCode>0.0%</c:formatCode>
                <c:ptCount val="5"/>
                <c:pt idx="0">
                  <c:v>0.95799999999999996</c:v>
                </c:pt>
                <c:pt idx="1">
                  <c:v>0.95799999999999996</c:v>
                </c:pt>
                <c:pt idx="2">
                  <c:v>0.90900000000000003</c:v>
                </c:pt>
                <c:pt idx="3">
                  <c:v>0.70900000000000007</c:v>
                </c:pt>
                <c:pt idx="4">
                  <c:v>0.79400000000000004</c:v>
                </c:pt>
              </c:numCache>
            </c:numRef>
          </c:val>
          <c:extLst xmlns:c16r2="http://schemas.microsoft.com/office/drawing/2015/06/chart">
            <c:ext xmlns:c16="http://schemas.microsoft.com/office/drawing/2014/chart" uri="{C3380CC4-5D6E-409C-BE32-E72D297353CC}">
              <c16:uniqueId val="{00000009-83F9-4C43-8C12-340F2656A5F6}"/>
            </c:ext>
          </c:extLst>
        </c:ser>
        <c:dLbls>
          <c:showLegendKey val="0"/>
          <c:showVal val="0"/>
          <c:showCatName val="0"/>
          <c:showSerName val="0"/>
          <c:showPercent val="0"/>
          <c:showBubbleSize val="0"/>
        </c:dLbls>
        <c:gapWidth val="70"/>
        <c:axId val="-79462448"/>
        <c:axId val="-79458640"/>
      </c:barChart>
      <c:catAx>
        <c:axId val="-79462448"/>
        <c:scaling>
          <c:orientation val="minMax"/>
        </c:scaling>
        <c:delete val="0"/>
        <c:axPos val="b"/>
        <c:numFmt formatCode="General" sourceLinked="1"/>
        <c:majorTickMark val="out"/>
        <c:minorTickMark val="none"/>
        <c:tickLblPos val="nextTo"/>
        <c:spPr>
          <a:ln w="9525">
            <a:solidFill>
              <a:sysClr val="windowText" lastClr="000000"/>
            </a:solidFill>
          </a:ln>
        </c:spPr>
        <c:crossAx val="-79458640"/>
        <c:crosses val="autoZero"/>
        <c:auto val="1"/>
        <c:lblAlgn val="ctr"/>
        <c:lblOffset val="100"/>
        <c:noMultiLvlLbl val="0"/>
      </c:catAx>
      <c:valAx>
        <c:axId val="-79458640"/>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crossAx val="-79462448"/>
        <c:crosses val="autoZero"/>
        <c:crossBetween val="between"/>
        <c:majorUnit val="0.2"/>
      </c:valAx>
    </c:plotArea>
    <c:legend>
      <c:legendPos val="r"/>
      <c:layout>
        <c:manualLayout>
          <c:xMode val="edge"/>
          <c:yMode val="edge"/>
          <c:x val="0.52697867954307864"/>
          <c:y val="0.10207646724571799"/>
          <c:w val="0.46918455572376622"/>
          <c:h val="8.344328093008993E-2"/>
        </c:manualLayout>
      </c:layout>
      <c:overlay val="0"/>
      <c:spPr>
        <a:solidFill>
          <a:schemeClr val="bg1"/>
        </a:solidFill>
        <a:ln w="6350">
          <a:noFill/>
        </a:ln>
      </c:spPr>
    </c:legend>
    <c:plotVisOnly val="1"/>
    <c:dispBlanksAs val="gap"/>
    <c:showDLblsOverMax val="0"/>
  </c:chart>
  <c:spPr>
    <a:ln>
      <a:noFill/>
    </a:ln>
  </c:spPr>
  <c:txPr>
    <a:bodyPr/>
    <a:lstStyle/>
    <a:p>
      <a:pPr>
        <a:spcBef>
          <a:spcPts val="1200"/>
        </a:spcBef>
        <a:spcAft>
          <a:spcPts val="1200"/>
        </a:spcAft>
        <a:defRPr sz="900">
          <a:solidFill>
            <a:sysClr val="windowText" lastClr="000000"/>
          </a:solidFill>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013728302549544E-2"/>
          <c:y val="0.21858980976603193"/>
          <c:w val="0.9179991586213494"/>
          <c:h val="0.63802577121244819"/>
        </c:manualLayout>
      </c:layout>
      <c:barChart>
        <c:barDir val="col"/>
        <c:grouping val="clustered"/>
        <c:varyColors val="0"/>
        <c:ser>
          <c:idx val="0"/>
          <c:order val="0"/>
          <c:tx>
            <c:strRef>
              <c:f>'38 wyposażenie miasto wieś'!$D$29</c:f>
              <c:strCache>
                <c:ptCount val="1"/>
                <c:pt idx="0">
                  <c:v>Urban areas</c:v>
                </c:pt>
              </c:strCache>
            </c:strRef>
          </c:tx>
          <c:spPr>
            <a:solidFill>
              <a:srgbClr val="99A5C9"/>
            </a:solidFill>
            <a:scene3d>
              <a:camera prst="orthographicFront"/>
              <a:lightRig rig="threePt" dir="t"/>
            </a:scene3d>
          </c:spPr>
          <c:invertIfNegative val="0"/>
          <c:dLbls>
            <c:numFmt formatCode="0.0%" sourceLinked="0"/>
            <c:spPr>
              <a:noFill/>
              <a:ln>
                <a:noFill/>
              </a:ln>
              <a:effectLst/>
            </c:spPr>
            <c:txPr>
              <a:bodyPr rot="0" vert="horz" wrap="square" lIns="38100" tIns="19050" rIns="38100" bIns="19050" anchor="ctr">
                <a:spAutoFit/>
              </a:bodyPr>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'38 wyposażenie miasto wieś'!$B$30:$B$39</c:f>
              <c:strCache>
                <c:ptCount val="5"/>
                <c:pt idx="0">
                  <c:v>access to the Internet</c:v>
                </c:pt>
                <c:pt idx="1">
                  <c:v>smartphone</c:v>
                </c:pt>
                <c:pt idx="2">
                  <c:v>TV set</c:v>
                </c:pt>
                <c:pt idx="3">
                  <c:v>dishwasher</c:v>
                </c:pt>
                <c:pt idx="4">
                  <c:v>passenger car</c:v>
                </c:pt>
              </c:strCache>
            </c:strRef>
          </c:cat>
          <c:val>
            <c:numRef>
              <c:f>'38 wyposażenie miasto wieś'!$D$30:$D$39</c:f>
              <c:numCache>
                <c:formatCode>0.0%</c:formatCode>
                <c:ptCount val="5"/>
                <c:pt idx="0">
                  <c:v>0.89900000000000002</c:v>
                </c:pt>
                <c:pt idx="1">
                  <c:v>0.90300000000000002</c:v>
                </c:pt>
                <c:pt idx="2">
                  <c:v>0.93799999999999994</c:v>
                </c:pt>
                <c:pt idx="3">
                  <c:v>0.58599999999999997</c:v>
                </c:pt>
                <c:pt idx="4">
                  <c:v>0.69400000000000006</c:v>
                </c:pt>
              </c:numCache>
            </c:numRef>
          </c:val>
          <c:extLst xmlns:c16r2="http://schemas.microsoft.com/office/drawing/2015/06/chart">
            <c:ext xmlns:c16="http://schemas.microsoft.com/office/drawing/2014/chart" uri="{C3380CC4-5D6E-409C-BE32-E72D297353CC}">
              <c16:uniqueId val="{00000003-0341-420C-803E-6BF3DB669A51}"/>
            </c:ext>
          </c:extLst>
        </c:ser>
        <c:ser>
          <c:idx val="1"/>
          <c:order val="1"/>
          <c:tx>
            <c:strRef>
              <c:f>'38 wyposażenie miasto wieś'!$E$29</c:f>
              <c:strCache>
                <c:ptCount val="1"/>
                <c:pt idx="0">
                  <c:v>Rural areas</c:v>
                </c:pt>
              </c:strCache>
            </c:strRef>
          </c:tx>
          <c:spPr>
            <a:solidFill>
              <a:srgbClr val="6677AD"/>
            </a:solidFill>
            <a:ln w="3175">
              <a:noFill/>
            </a:ln>
            <a:scene3d>
              <a:camera prst="orthographicFront"/>
              <a:lightRig rig="threePt" dir="t"/>
            </a:scene3d>
          </c:spPr>
          <c:invertIfNegative val="0"/>
          <c:dPt>
            <c:idx val="0"/>
            <c:invertIfNegative val="0"/>
            <c:bubble3D val="0"/>
          </c:dPt>
          <c:dPt>
            <c:idx val="1"/>
            <c:invertIfNegative val="0"/>
            <c:bubble3D val="0"/>
          </c:dPt>
          <c:dLbls>
            <c:numFmt formatCode="0.0%" sourceLinked="0"/>
            <c:spPr>
              <a:noFill/>
              <a:ln>
                <a:noFill/>
              </a:ln>
              <a:effectLst/>
            </c:spPr>
            <c:txPr>
              <a:bodyPr rot="0" vert="horz" wrap="square" lIns="38100" tIns="19050" rIns="38100" bIns="19050" anchor="ctr">
                <a:spAutoFit/>
              </a:bodyPr>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'38 wyposażenie miasto wieś'!$B$30:$B$39</c:f>
              <c:strCache>
                <c:ptCount val="5"/>
                <c:pt idx="0">
                  <c:v>access to the Internet</c:v>
                </c:pt>
                <c:pt idx="1">
                  <c:v>smartphone</c:v>
                </c:pt>
                <c:pt idx="2">
                  <c:v>TV set</c:v>
                </c:pt>
                <c:pt idx="3">
                  <c:v>dishwasher</c:v>
                </c:pt>
                <c:pt idx="4">
                  <c:v>passenger car</c:v>
                </c:pt>
              </c:strCache>
            </c:strRef>
          </c:cat>
          <c:val>
            <c:numRef>
              <c:f>'38 wyposażenie miasto wieś'!$E$30:$E$39</c:f>
              <c:numCache>
                <c:formatCode>0.0%</c:formatCode>
                <c:ptCount val="5"/>
                <c:pt idx="0">
                  <c:v>0.88700000000000001</c:v>
                </c:pt>
                <c:pt idx="1">
                  <c:v>0.8909999999999999</c:v>
                </c:pt>
                <c:pt idx="2">
                  <c:v>0.98499999999999999</c:v>
                </c:pt>
                <c:pt idx="3">
                  <c:v>0.63400000000000001</c:v>
                </c:pt>
                <c:pt idx="4">
                  <c:v>0.86299999999999999</c:v>
                </c:pt>
              </c:numCache>
            </c:numRef>
          </c:val>
          <c:extLst xmlns:c16r2="http://schemas.microsoft.com/office/drawing/2015/06/chart">
            <c:ext xmlns:c16="http://schemas.microsoft.com/office/drawing/2014/chart" uri="{C3380CC4-5D6E-409C-BE32-E72D297353CC}">
              <c16:uniqueId val="{00000009-0341-420C-803E-6BF3DB669A51}"/>
            </c:ext>
          </c:extLst>
        </c:ser>
        <c:dLbls>
          <c:showLegendKey val="0"/>
          <c:showVal val="0"/>
          <c:showCatName val="0"/>
          <c:showSerName val="0"/>
          <c:showPercent val="0"/>
          <c:showBubbleSize val="0"/>
        </c:dLbls>
        <c:gapWidth val="70"/>
        <c:axId val="-1949235808"/>
        <c:axId val="-75154288"/>
      </c:barChart>
      <c:catAx>
        <c:axId val="-1949235808"/>
        <c:scaling>
          <c:orientation val="minMax"/>
        </c:scaling>
        <c:delete val="0"/>
        <c:axPos val="b"/>
        <c:numFmt formatCode="General" sourceLinked="1"/>
        <c:majorTickMark val="out"/>
        <c:minorTickMark val="none"/>
        <c:tickLblPos val="nextTo"/>
        <c:spPr>
          <a:ln w="9525">
            <a:solidFill>
              <a:sysClr val="windowText" lastClr="000000"/>
            </a:solidFill>
          </a:ln>
        </c:spPr>
        <c:txPr>
          <a:bodyPr/>
          <a:lstStyle/>
          <a:p>
            <a:pPr>
              <a:defRPr sz="900" spc="-10" baseline="0"/>
            </a:pPr>
            <a:endParaRPr lang="pl-PL"/>
          </a:p>
        </c:txPr>
        <c:crossAx val="-75154288"/>
        <c:crosses val="autoZero"/>
        <c:auto val="1"/>
        <c:lblAlgn val="ctr"/>
        <c:lblOffset val="100"/>
        <c:noMultiLvlLbl val="0"/>
      </c:catAx>
      <c:valAx>
        <c:axId val="-75154288"/>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949235808"/>
        <c:crosses val="autoZero"/>
        <c:crossBetween val="between"/>
        <c:majorUnit val="0.2"/>
      </c:valAx>
    </c:plotArea>
    <c:legend>
      <c:legendPos val="r"/>
      <c:layout>
        <c:manualLayout>
          <c:xMode val="edge"/>
          <c:yMode val="edge"/>
          <c:x val="0.63814549213330485"/>
          <c:y val="0.10312877159723333"/>
          <c:w val="0.35252379432489123"/>
          <c:h val="8.9633515715183992E-2"/>
        </c:manualLayout>
      </c:layout>
      <c:overlay val="0"/>
      <c:spPr>
        <a:solidFill>
          <a:schemeClr val="bg1"/>
        </a:solidFill>
        <a:ln w="6350">
          <a:noFill/>
        </a:ln>
      </c:spPr>
      <c:txPr>
        <a:bodyPr/>
        <a:lstStyle/>
        <a:p>
          <a:pPr>
            <a:defRPr sz="900"/>
          </a:pPr>
          <a:endParaRPr lang="pl-PL"/>
        </a:p>
      </c:txPr>
    </c:legend>
    <c:plotVisOnly val="1"/>
    <c:dispBlanksAs val="gap"/>
    <c:showDLblsOverMax val="0"/>
  </c:chart>
  <c:spPr>
    <a:ln>
      <a:noFill/>
    </a:ln>
  </c:spPr>
  <c:txPr>
    <a:bodyPr/>
    <a:lstStyle/>
    <a:p>
      <a:pPr>
        <a:spcBef>
          <a:spcPts val="1200"/>
        </a:spcBef>
        <a:spcAft>
          <a:spcPts val="1200"/>
        </a:spcAft>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10975190601174E-2"/>
          <c:y val="0.25719861679433897"/>
          <c:w val="0.91803234525026134"/>
          <c:h val="0.56410324896633512"/>
        </c:manualLayout>
      </c:layout>
      <c:barChart>
        <c:barDir val="col"/>
        <c:grouping val="clustered"/>
        <c:varyColors val="0"/>
        <c:ser>
          <c:idx val="0"/>
          <c:order val="0"/>
          <c:tx>
            <c:strRef>
              <c:f>'46 w. sanit-tech. miasto wieś'!$C$13</c:f>
              <c:strCache>
                <c:ptCount val="1"/>
                <c:pt idx="0">
                  <c:v>Urban areas</c:v>
                </c:pt>
              </c:strCache>
            </c:strRef>
          </c:tx>
          <c:spPr>
            <a:solidFill>
              <a:srgbClr val="99CEB3"/>
            </a:solidFill>
            <a:ln>
              <a:noFill/>
            </a:ln>
            <a:scene3d>
              <a:camera prst="orthographicFront"/>
              <a:lightRig rig="threePt" dir="t"/>
            </a:scene3d>
          </c:spPr>
          <c:invertIfNegative val="0"/>
          <c:dLbls>
            <c:dLbl>
              <c:idx val="0"/>
              <c:layout>
                <c:manualLayout>
                  <c:x val="0"/>
                  <c:y val="-4.430430533482066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93C-44D2-AB5A-D55B5628F010}"/>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85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'46 w. sanit-tech. miasto wieś'!$B$14:$B$19</c:f>
              <c:strCache>
                <c:ptCount val="6"/>
                <c:pt idx="0">
                  <c:v>water supply</c:v>
                </c:pt>
                <c:pt idx="1">
                  <c:v>flushing toilet</c:v>
                </c:pt>
                <c:pt idx="2">
                  <c:v>bathroom</c:v>
                </c:pt>
                <c:pt idx="3">
                  <c:v>hot running water</c:v>
                </c:pt>
                <c:pt idx="4">
                  <c:v>gas (from network or cylinder)</c:v>
                </c:pt>
                <c:pt idx="5">
                  <c:v>central heating</c:v>
                </c:pt>
              </c:strCache>
            </c:strRef>
          </c:cat>
          <c:val>
            <c:numRef>
              <c:f>'46 w. sanit-tech. miasto wieś'!$C$14:$C$19</c:f>
              <c:numCache>
                <c:formatCode>0.0%</c:formatCode>
                <c:ptCount val="6"/>
                <c:pt idx="0">
                  <c:v>0.99970000000000003</c:v>
                </c:pt>
                <c:pt idx="1">
                  <c:v>0.99629999999999996</c:v>
                </c:pt>
                <c:pt idx="2">
                  <c:v>0.9948999999999999</c:v>
                </c:pt>
                <c:pt idx="3">
                  <c:v>0.99719999999999998</c:v>
                </c:pt>
                <c:pt idx="4">
                  <c:v>0.81330000000000002</c:v>
                </c:pt>
                <c:pt idx="5">
                  <c:v>0.87549999999999994</c:v>
                </c:pt>
              </c:numCache>
            </c:numRef>
          </c:val>
          <c:extLst xmlns:c16r2="http://schemas.microsoft.com/office/drawing/2015/06/chart">
            <c:ext xmlns:c16="http://schemas.microsoft.com/office/drawing/2014/chart" uri="{C3380CC4-5D6E-409C-BE32-E72D297353CC}">
              <c16:uniqueId val="{00000001-993C-44D2-AB5A-D55B5628F010}"/>
            </c:ext>
          </c:extLst>
        </c:ser>
        <c:ser>
          <c:idx val="1"/>
          <c:order val="1"/>
          <c:tx>
            <c:strRef>
              <c:f>'46 w. sanit-tech. miasto wieś'!$D$13</c:f>
              <c:strCache>
                <c:ptCount val="1"/>
                <c:pt idx="0">
                  <c:v>Rural areas</c:v>
                </c:pt>
              </c:strCache>
            </c:strRef>
          </c:tx>
          <c:spPr>
            <a:solidFill>
              <a:srgbClr val="339D68"/>
            </a:solidFill>
            <a:scene3d>
              <a:camera prst="orthographicFront"/>
              <a:lightRig rig="threePt" dir="t"/>
            </a:scene3d>
          </c:spPr>
          <c:invertIfNegative val="0"/>
          <c:dLbls>
            <c:dLbl>
              <c:idx val="0"/>
              <c:layout>
                <c:manualLayout>
                  <c:x val="7.4358656586937435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93C-44D2-AB5A-D55B5628F010}"/>
                </c:ext>
                <c:ext xmlns:c15="http://schemas.microsoft.com/office/drawing/2012/chart" uri="{CE6537A1-D6FC-4f65-9D91-7224C49458BB}">
                  <c15:layout/>
                </c:ext>
              </c:extLst>
            </c:dLbl>
            <c:dLbl>
              <c:idx val="2"/>
              <c:layout>
                <c:manualLayout>
                  <c:x val="4.9572437724625107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93C-44D2-AB5A-D55B5628F010}"/>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85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'46 w. sanit-tech. miasto wieś'!$B$14:$B$19</c:f>
              <c:strCache>
                <c:ptCount val="6"/>
                <c:pt idx="0">
                  <c:v>water supply</c:v>
                </c:pt>
                <c:pt idx="1">
                  <c:v>flushing toilet</c:v>
                </c:pt>
                <c:pt idx="2">
                  <c:v>bathroom</c:v>
                </c:pt>
                <c:pt idx="3">
                  <c:v>hot running water</c:v>
                </c:pt>
                <c:pt idx="4">
                  <c:v>gas (from network or cylinder)</c:v>
                </c:pt>
                <c:pt idx="5">
                  <c:v>central heating</c:v>
                </c:pt>
              </c:strCache>
            </c:strRef>
          </c:cat>
          <c:val>
            <c:numRef>
              <c:f>'46 w. sanit-tech. miasto wieś'!$D$14:$D$19</c:f>
              <c:numCache>
                <c:formatCode>0.0%</c:formatCode>
                <c:ptCount val="6"/>
                <c:pt idx="0">
                  <c:v>0.99790000000000001</c:v>
                </c:pt>
                <c:pt idx="1">
                  <c:v>0.98640000000000005</c:v>
                </c:pt>
                <c:pt idx="2">
                  <c:v>0.98599999999999999</c:v>
                </c:pt>
                <c:pt idx="3">
                  <c:v>0.98970000000000002</c:v>
                </c:pt>
                <c:pt idx="4">
                  <c:v>0.85219999999999996</c:v>
                </c:pt>
                <c:pt idx="5">
                  <c:v>0.83290000000000008</c:v>
                </c:pt>
              </c:numCache>
            </c:numRef>
          </c:val>
          <c:extLst xmlns:c16r2="http://schemas.microsoft.com/office/drawing/2015/06/chart">
            <c:ext xmlns:c16="http://schemas.microsoft.com/office/drawing/2014/chart" uri="{C3380CC4-5D6E-409C-BE32-E72D297353CC}">
              <c16:uniqueId val="{00000004-993C-44D2-AB5A-D55B5628F010}"/>
            </c:ext>
          </c:extLst>
        </c:ser>
        <c:dLbls>
          <c:showLegendKey val="0"/>
          <c:showVal val="0"/>
          <c:showCatName val="0"/>
          <c:showSerName val="0"/>
          <c:showPercent val="0"/>
          <c:showBubbleSize val="0"/>
        </c:dLbls>
        <c:gapWidth val="45"/>
        <c:axId val="-2103614272"/>
        <c:axId val="-2103612640"/>
      </c:barChart>
      <c:catAx>
        <c:axId val="-2103614272"/>
        <c:scaling>
          <c:orientation val="minMax"/>
        </c:scaling>
        <c:delete val="0"/>
        <c:axPos val="b"/>
        <c:numFmt formatCode="General" sourceLinked="1"/>
        <c:majorTickMark val="out"/>
        <c:minorTickMark val="none"/>
        <c:tickLblPos val="nextTo"/>
        <c:spPr>
          <a:ln w="9525">
            <a:solidFill>
              <a:sysClr val="windowText" lastClr="000000"/>
            </a:solidFill>
          </a:ln>
        </c:spPr>
        <c:crossAx val="-2103612640"/>
        <c:crosses val="autoZero"/>
        <c:auto val="1"/>
        <c:lblAlgn val="ctr"/>
        <c:lblOffset val="100"/>
        <c:noMultiLvlLbl val="0"/>
      </c:catAx>
      <c:valAx>
        <c:axId val="-2103612640"/>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2103614272"/>
        <c:crosses val="autoZero"/>
        <c:crossBetween val="between"/>
        <c:majorUnit val="0.2"/>
        <c:minorUnit val="0.1"/>
      </c:valAx>
      <c:spPr>
        <a:noFill/>
        <a:ln w="25400">
          <a:noFill/>
        </a:ln>
      </c:spPr>
    </c:plotArea>
    <c:legend>
      <c:legendPos val="r"/>
      <c:layout>
        <c:manualLayout>
          <c:xMode val="edge"/>
          <c:yMode val="edge"/>
          <c:x val="0.65125264882982958"/>
          <c:y val="9.8130844408182788E-2"/>
          <c:w val="0.34472946427613022"/>
          <c:h val="9.7283306312927947E-2"/>
        </c:manualLayout>
      </c:layout>
      <c:overlay val="0"/>
      <c:spPr>
        <a:solidFill>
          <a:schemeClr val="bg1"/>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10975190601174E-2"/>
          <c:y val="0.27744036461721872"/>
          <c:w val="0.91803156438840472"/>
          <c:h val="0.54416693335396504"/>
        </c:manualLayout>
      </c:layout>
      <c:barChart>
        <c:barDir val="col"/>
        <c:grouping val="clustered"/>
        <c:varyColors val="0"/>
        <c:ser>
          <c:idx val="0"/>
          <c:order val="0"/>
          <c:tx>
            <c:strRef>
              <c:f>'47 w.sanit-tech kwintyle'!$C$13</c:f>
              <c:strCache>
                <c:ptCount val="1"/>
                <c:pt idx="0">
                  <c:v>first quintile group</c:v>
                </c:pt>
              </c:strCache>
            </c:strRef>
          </c:tx>
          <c:spPr>
            <a:solidFill>
              <a:srgbClr val="99CEB3"/>
            </a:solidFill>
            <a:ln>
              <a:noFill/>
            </a:ln>
            <a:scene3d>
              <a:camera prst="orthographicFront"/>
              <a:lightRig rig="threePt" dir="t"/>
            </a:scene3d>
          </c:spPr>
          <c:invertIfNegative val="0"/>
          <c:dLbls>
            <c:spPr>
              <a:noFill/>
              <a:ln>
                <a:noFill/>
              </a:ln>
              <a:effectLst/>
            </c:spPr>
            <c:txPr>
              <a:bodyPr wrap="square" lIns="38100" tIns="19050" rIns="38100" bIns="19050" anchor="ctr">
                <a:spAutoFit/>
              </a:bodyPr>
              <a:lstStyle/>
              <a:p>
                <a:pPr>
                  <a:defRPr sz="85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'47 w.sanit-tech kwintyle'!$B$14:$B$19</c:f>
              <c:strCache>
                <c:ptCount val="6"/>
                <c:pt idx="0">
                  <c:v>water supply</c:v>
                </c:pt>
                <c:pt idx="1">
                  <c:v>flushing toilet</c:v>
                </c:pt>
                <c:pt idx="2">
                  <c:v>bathroom</c:v>
                </c:pt>
                <c:pt idx="3">
                  <c:v>hot running water</c:v>
                </c:pt>
                <c:pt idx="4">
                  <c:v>gas (from network or cylinder)</c:v>
                </c:pt>
                <c:pt idx="5">
                  <c:v>central heating</c:v>
                </c:pt>
              </c:strCache>
            </c:strRef>
          </c:cat>
          <c:val>
            <c:numRef>
              <c:f>'47 w.sanit-tech kwintyle'!$C$14:$C$19</c:f>
              <c:numCache>
                <c:formatCode>0.0%</c:formatCode>
                <c:ptCount val="6"/>
                <c:pt idx="0">
                  <c:v>0.99639999999999995</c:v>
                </c:pt>
                <c:pt idx="1">
                  <c:v>0.98060000000000003</c:v>
                </c:pt>
                <c:pt idx="2">
                  <c:v>0.97709999999999997</c:v>
                </c:pt>
                <c:pt idx="3">
                  <c:v>0.98360000000000003</c:v>
                </c:pt>
                <c:pt idx="4">
                  <c:v>0.84450000000000003</c:v>
                </c:pt>
                <c:pt idx="5">
                  <c:v>0.83799999999999997</c:v>
                </c:pt>
              </c:numCache>
            </c:numRef>
          </c:val>
          <c:extLst xmlns:c16r2="http://schemas.microsoft.com/office/drawing/2015/06/chart">
            <c:ext xmlns:c16="http://schemas.microsoft.com/office/drawing/2014/chart" uri="{C3380CC4-5D6E-409C-BE32-E72D297353CC}">
              <c16:uniqueId val="{00000000-3A62-489D-99E2-7EE87A96F2AA}"/>
            </c:ext>
          </c:extLst>
        </c:ser>
        <c:ser>
          <c:idx val="1"/>
          <c:order val="1"/>
          <c:tx>
            <c:strRef>
              <c:f>'47 w.sanit-tech kwintyle'!$D$13</c:f>
              <c:strCache>
                <c:ptCount val="1"/>
                <c:pt idx="0">
                  <c:v>fifth quintile group</c:v>
                </c:pt>
              </c:strCache>
            </c:strRef>
          </c:tx>
          <c:spPr>
            <a:solidFill>
              <a:srgbClr val="339D68"/>
            </a:solidFill>
            <a:scene3d>
              <a:camera prst="orthographicFront"/>
              <a:lightRig rig="threePt" dir="t"/>
            </a:scene3d>
          </c:spPr>
          <c:invertIfNegative val="0"/>
          <c:dLbls>
            <c:dLbl>
              <c:idx val="0"/>
              <c:layout>
                <c:manualLayout>
                  <c:x val="7.4349442379182153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A62-489D-99E2-7EE87A96F2AA}"/>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85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'47 w.sanit-tech kwintyle'!$B$14:$B$19</c:f>
              <c:strCache>
                <c:ptCount val="6"/>
                <c:pt idx="0">
                  <c:v>water supply</c:v>
                </c:pt>
                <c:pt idx="1">
                  <c:v>flushing toilet</c:v>
                </c:pt>
                <c:pt idx="2">
                  <c:v>bathroom</c:v>
                </c:pt>
                <c:pt idx="3">
                  <c:v>hot running water</c:v>
                </c:pt>
                <c:pt idx="4">
                  <c:v>gas (from network or cylinder)</c:v>
                </c:pt>
                <c:pt idx="5">
                  <c:v>central heating</c:v>
                </c:pt>
              </c:strCache>
            </c:strRef>
          </c:cat>
          <c:val>
            <c:numRef>
              <c:f>'47 w.sanit-tech kwintyle'!$D$14:$D$19</c:f>
              <c:numCache>
                <c:formatCode>0.0%</c:formatCode>
                <c:ptCount val="6"/>
                <c:pt idx="0">
                  <c:v>0.9998999999999999</c:v>
                </c:pt>
                <c:pt idx="1">
                  <c:v>0.99870000000000003</c:v>
                </c:pt>
                <c:pt idx="2">
                  <c:v>0.99829999999999997</c:v>
                </c:pt>
                <c:pt idx="3">
                  <c:v>0.99900000000000011</c:v>
                </c:pt>
                <c:pt idx="4">
                  <c:v>0.74540000000000006</c:v>
                </c:pt>
                <c:pt idx="5">
                  <c:v>0.8901</c:v>
                </c:pt>
              </c:numCache>
            </c:numRef>
          </c:val>
          <c:extLst xmlns:c16r2="http://schemas.microsoft.com/office/drawing/2015/06/chart">
            <c:ext xmlns:c16="http://schemas.microsoft.com/office/drawing/2014/chart" uri="{C3380CC4-5D6E-409C-BE32-E72D297353CC}">
              <c16:uniqueId val="{00000002-3A62-489D-99E2-7EE87A96F2AA}"/>
            </c:ext>
          </c:extLst>
        </c:ser>
        <c:dLbls>
          <c:showLegendKey val="0"/>
          <c:showVal val="0"/>
          <c:showCatName val="0"/>
          <c:showSerName val="0"/>
          <c:showPercent val="0"/>
          <c:showBubbleSize val="0"/>
        </c:dLbls>
        <c:gapWidth val="45"/>
        <c:axId val="-2103616992"/>
        <c:axId val="-2103612096"/>
      </c:barChart>
      <c:catAx>
        <c:axId val="-2103616992"/>
        <c:scaling>
          <c:orientation val="minMax"/>
        </c:scaling>
        <c:delete val="0"/>
        <c:axPos val="b"/>
        <c:numFmt formatCode="General" sourceLinked="1"/>
        <c:majorTickMark val="out"/>
        <c:minorTickMark val="none"/>
        <c:tickLblPos val="nextTo"/>
        <c:spPr>
          <a:ln w="9525">
            <a:solidFill>
              <a:sysClr val="windowText" lastClr="000000"/>
            </a:solidFill>
          </a:ln>
        </c:spPr>
        <c:crossAx val="-2103612096"/>
        <c:crosses val="autoZero"/>
        <c:auto val="1"/>
        <c:lblAlgn val="ctr"/>
        <c:lblOffset val="100"/>
        <c:noMultiLvlLbl val="0"/>
      </c:catAx>
      <c:valAx>
        <c:axId val="-2103612096"/>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2103616992"/>
        <c:crosses val="autoZero"/>
        <c:crossBetween val="between"/>
        <c:majorUnit val="0.2"/>
        <c:minorUnit val="0.1"/>
      </c:valAx>
      <c:spPr>
        <a:noFill/>
        <a:ln w="25400">
          <a:noFill/>
        </a:ln>
      </c:spPr>
    </c:plotArea>
    <c:legend>
      <c:legendPos val="r"/>
      <c:layout>
        <c:manualLayout>
          <c:xMode val="edge"/>
          <c:yMode val="edge"/>
          <c:x val="0.42669239606484666"/>
          <c:y val="0.10309193150766828"/>
          <c:w val="0.57093170974446039"/>
          <c:h val="8.5017760430032022E-2"/>
        </c:manualLayout>
      </c:layout>
      <c:overlay val="0"/>
      <c:spPr>
        <a:solidFill>
          <a:schemeClr val="bg1"/>
        </a:solidFill>
        <a:ln w="6350">
          <a:noFill/>
        </a:ln>
      </c:spPr>
      <c:txPr>
        <a:bodyPr/>
        <a:lstStyle/>
        <a:p>
          <a:pPr>
            <a:defRPr sz="900" spc="-10" baseline="0"/>
          </a:pPr>
          <a:endParaRPr lang="pl-PL"/>
        </a:p>
      </c:tx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10321139199362"/>
          <c:y val="0.12303232495391815"/>
          <c:w val="0.806830003445553"/>
          <c:h val="0.83138584290142292"/>
        </c:manualLayout>
      </c:layout>
      <c:barChart>
        <c:barDir val="bar"/>
        <c:grouping val="clustered"/>
        <c:varyColors val="0"/>
        <c:ser>
          <c:idx val="1"/>
          <c:order val="0"/>
          <c:tx>
            <c:strRef>
              <c:f>'49 ocena syt. mat. gr. społ-ek.'!$B$21</c:f>
              <c:strCache>
                <c:ptCount val="1"/>
                <c:pt idx="0">
                  <c:v>bad + rather bad</c:v>
                </c:pt>
              </c:strCache>
            </c:strRef>
          </c:tx>
          <c:spPr>
            <a:solidFill>
              <a:srgbClr val="99A5C9"/>
            </a:solidFill>
            <a:ln w="3175">
              <a:noFill/>
            </a:ln>
            <a:effectLst/>
            <a:scene3d>
              <a:camera prst="orthographicFront"/>
              <a:lightRig rig="threePt" dir="t"/>
            </a:scene3d>
          </c:spPr>
          <c:invertIfNegative val="0"/>
          <c:dLbls>
            <c:spPr>
              <a:noFill/>
              <a:ln>
                <a:noFill/>
              </a:ln>
              <a:effectLst/>
            </c:spPr>
            <c:txPr>
              <a:bodyPr rot="0" vert="horz"/>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'49 ocena syt. mat. gr. społ-ek.'!$C$19:$N$19</c:f>
              <c:strCache>
                <c:ptCount val="6"/>
                <c:pt idx="0">
                  <c:v>pensioners</c:v>
                </c:pt>
                <c:pt idx="1">
                  <c:v>retirees</c:v>
                </c:pt>
                <c:pt idx="2">
                  <c:v>self-employed</c:v>
                </c:pt>
                <c:pt idx="3">
                  <c:v>farmers</c:v>
                </c:pt>
                <c:pt idx="4">
                  <c:v>employees</c:v>
                </c:pt>
                <c:pt idx="5">
                  <c:v>Total</c:v>
                </c:pt>
              </c:strCache>
            </c:strRef>
          </c:cat>
          <c:val>
            <c:numRef>
              <c:f>'49 ocena syt. mat. gr. społ-ek.'!$C$21:$N$21</c:f>
              <c:numCache>
                <c:formatCode>0.0%</c:formatCode>
                <c:ptCount val="6"/>
                <c:pt idx="0">
                  <c:v>0.172078548823932</c:v>
                </c:pt>
                <c:pt idx="1">
                  <c:v>6.2767265169768119E-2</c:v>
                </c:pt>
                <c:pt idx="2">
                  <c:v>1.2307403155756862E-2</c:v>
                </c:pt>
                <c:pt idx="3">
                  <c:v>3.2855681173514874E-2</c:v>
                </c:pt>
                <c:pt idx="4">
                  <c:v>2.2631769394059885E-2</c:v>
                </c:pt>
                <c:pt idx="5">
                  <c:v>4.2964565863378122E-2</c:v>
                </c:pt>
              </c:numCache>
            </c:numRef>
          </c:val>
          <c:extLst xmlns:c16r2="http://schemas.microsoft.com/office/drawing/2015/06/chart">
            <c:ext xmlns:c16="http://schemas.microsoft.com/office/drawing/2014/chart" uri="{C3380CC4-5D6E-409C-BE32-E72D297353CC}">
              <c16:uniqueId val="{00000000-1B86-4AB8-9353-F040CD8010B9}"/>
            </c:ext>
          </c:extLst>
        </c:ser>
        <c:ser>
          <c:idx val="0"/>
          <c:order val="1"/>
          <c:tx>
            <c:strRef>
              <c:f>'49 ocena syt. mat. gr. społ-ek.'!$B$22</c:f>
              <c:strCache>
                <c:ptCount val="1"/>
                <c:pt idx="0">
                  <c:v>neither good nor bad</c:v>
                </c:pt>
              </c:strCache>
            </c:strRef>
          </c:tx>
          <c:spPr>
            <a:solidFill>
              <a:srgbClr val="6677AD"/>
            </a:solidFill>
            <a:ln w="3175">
              <a:noFill/>
            </a:ln>
            <a:effectLst/>
            <a:scene3d>
              <a:camera prst="orthographicFront"/>
              <a:lightRig rig="threePt" dir="t"/>
            </a:scene3d>
          </c:spPr>
          <c:invertIfNegative val="0"/>
          <c:dLbls>
            <c:spPr>
              <a:noFill/>
              <a:ln>
                <a:noFill/>
              </a:ln>
              <a:effectLst/>
            </c:spPr>
            <c:txPr>
              <a:bodyPr rot="0" vert="horz"/>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'49 ocena syt. mat. gr. społ-ek.'!$C$19:$N$19</c:f>
              <c:strCache>
                <c:ptCount val="6"/>
                <c:pt idx="0">
                  <c:v>pensioners</c:v>
                </c:pt>
                <c:pt idx="1">
                  <c:v>retirees</c:v>
                </c:pt>
                <c:pt idx="2">
                  <c:v>self-employed</c:v>
                </c:pt>
                <c:pt idx="3">
                  <c:v>farmers</c:v>
                </c:pt>
                <c:pt idx="4">
                  <c:v>employees</c:v>
                </c:pt>
                <c:pt idx="5">
                  <c:v>Total</c:v>
                </c:pt>
              </c:strCache>
            </c:strRef>
          </c:cat>
          <c:val>
            <c:numRef>
              <c:f>'49 ocena syt. mat. gr. społ-ek.'!$C$22:$N$22</c:f>
              <c:numCache>
                <c:formatCode>0.0%</c:formatCode>
                <c:ptCount val="6"/>
                <c:pt idx="0">
                  <c:v>0.58178366900456857</c:v>
                </c:pt>
                <c:pt idx="1">
                  <c:v>0.4680365808854941</c:v>
                </c:pt>
                <c:pt idx="2">
                  <c:v>0.22612827988810569</c:v>
                </c:pt>
                <c:pt idx="3">
                  <c:v>0.45119134451738391</c:v>
                </c:pt>
                <c:pt idx="4">
                  <c:v>0.34253086177249337</c:v>
                </c:pt>
                <c:pt idx="5">
                  <c:v>0.38032442659753757</c:v>
                </c:pt>
              </c:numCache>
            </c:numRef>
          </c:val>
          <c:extLst xmlns:c16r2="http://schemas.microsoft.com/office/drawing/2015/06/chart">
            <c:ext xmlns:c16="http://schemas.microsoft.com/office/drawing/2014/chart" uri="{C3380CC4-5D6E-409C-BE32-E72D297353CC}">
              <c16:uniqueId val="{00000001-1B86-4AB8-9353-F040CD8010B9}"/>
            </c:ext>
          </c:extLst>
        </c:ser>
        <c:ser>
          <c:idx val="3"/>
          <c:order val="2"/>
          <c:tx>
            <c:strRef>
              <c:f>'49 ocena syt. mat. gr. społ-ek.'!$B$23</c:f>
              <c:strCache>
                <c:ptCount val="1"/>
                <c:pt idx="0">
                  <c:v>good + rather good</c:v>
                </c:pt>
              </c:strCache>
            </c:strRef>
          </c:tx>
          <c:spPr>
            <a:solidFill>
              <a:srgbClr val="334A92"/>
            </a:solidFill>
            <a:ln w="3175">
              <a:noFill/>
            </a:ln>
            <a:effectLst/>
            <a:scene3d>
              <a:camera prst="orthographicFront"/>
              <a:lightRig rig="threePt" dir="t"/>
            </a:scene3d>
          </c:spPr>
          <c:invertIfNegative val="0"/>
          <c:dLbls>
            <c:spPr>
              <a:noFill/>
              <a:ln>
                <a:noFill/>
              </a:ln>
              <a:effectLst/>
            </c:spPr>
            <c:txPr>
              <a:bodyPr rot="0" vert="horz"/>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'49 ocena syt. mat. gr. społ-ek.'!$C$19:$N$19</c:f>
              <c:strCache>
                <c:ptCount val="6"/>
                <c:pt idx="0">
                  <c:v>pensioners</c:v>
                </c:pt>
                <c:pt idx="1">
                  <c:v>retirees</c:v>
                </c:pt>
                <c:pt idx="2">
                  <c:v>self-employed</c:v>
                </c:pt>
                <c:pt idx="3">
                  <c:v>farmers</c:v>
                </c:pt>
                <c:pt idx="4">
                  <c:v>employees</c:v>
                </c:pt>
                <c:pt idx="5">
                  <c:v>Total</c:v>
                </c:pt>
              </c:strCache>
            </c:strRef>
          </c:cat>
          <c:val>
            <c:numRef>
              <c:f>'49 ocena syt. mat. gr. społ-ek.'!$C$23:$N$23</c:f>
              <c:numCache>
                <c:formatCode>0.0%</c:formatCode>
                <c:ptCount val="6"/>
                <c:pt idx="0">
                  <c:v>0.24613778217149943</c:v>
                </c:pt>
                <c:pt idx="1">
                  <c:v>0.46919615394473779</c:v>
                </c:pt>
                <c:pt idx="2">
                  <c:v>0.76156431695613747</c:v>
                </c:pt>
                <c:pt idx="3">
                  <c:v>0.51595297430910125</c:v>
                </c:pt>
                <c:pt idx="4">
                  <c:v>0.63383736883344677</c:v>
                </c:pt>
                <c:pt idx="5">
                  <c:v>0.57671100753908433</c:v>
                </c:pt>
              </c:numCache>
            </c:numRef>
          </c:val>
          <c:extLst xmlns:c16r2="http://schemas.microsoft.com/office/drawing/2015/06/chart">
            <c:ext xmlns:c16="http://schemas.microsoft.com/office/drawing/2014/chart" uri="{C3380CC4-5D6E-409C-BE32-E72D297353CC}">
              <c16:uniqueId val="{00000002-1B86-4AB8-9353-F040CD8010B9}"/>
            </c:ext>
          </c:extLst>
        </c:ser>
        <c:dLbls>
          <c:showLegendKey val="0"/>
          <c:showVal val="0"/>
          <c:showCatName val="0"/>
          <c:showSerName val="0"/>
          <c:showPercent val="0"/>
          <c:showBubbleSize val="0"/>
        </c:dLbls>
        <c:gapWidth val="57"/>
        <c:axId val="-2103619168"/>
        <c:axId val="-2103613184"/>
      </c:barChart>
      <c:catAx>
        <c:axId val="-2103619168"/>
        <c:scaling>
          <c:orientation val="minMax"/>
        </c:scaling>
        <c:delete val="0"/>
        <c:axPos val="l"/>
        <c:numFmt formatCode="General" sourceLinked="1"/>
        <c:majorTickMark val="out"/>
        <c:minorTickMark val="none"/>
        <c:tickLblPos val="nextTo"/>
        <c:spPr>
          <a:ln w="9525">
            <a:solidFill>
              <a:sysClr val="windowText" lastClr="000000"/>
            </a:solidFill>
          </a:ln>
        </c:spPr>
        <c:crossAx val="-2103613184"/>
        <c:crosses val="autoZero"/>
        <c:auto val="1"/>
        <c:lblAlgn val="ctr"/>
        <c:lblOffset val="100"/>
        <c:noMultiLvlLbl val="0"/>
      </c:catAx>
      <c:valAx>
        <c:axId val="-2103613184"/>
        <c:scaling>
          <c:orientation val="minMax"/>
          <c:max val="1"/>
          <c:min val="0"/>
        </c:scaling>
        <c:delete val="0"/>
        <c:axPos val="b"/>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2103619168"/>
        <c:crosses val="autoZero"/>
        <c:crossBetween val="between"/>
        <c:majorUnit val="0.2"/>
        <c:minorUnit val="0.1"/>
      </c:valAx>
    </c:plotArea>
    <c:legend>
      <c:legendPos val="r"/>
      <c:layout>
        <c:manualLayout>
          <c:xMode val="edge"/>
          <c:yMode val="edge"/>
          <c:x val="0.24042697526327245"/>
          <c:y val="5.9618495110439637E-2"/>
          <c:w val="0.75740261920588303"/>
          <c:h val="5.0186557562657601E-2"/>
        </c:manualLayout>
      </c:layout>
      <c:overlay val="0"/>
      <c:spPr>
        <a:solidFill>
          <a:schemeClr val="bg1"/>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238961297558148"/>
          <c:y val="0.16744307182109402"/>
          <c:w val="0.77624447501683103"/>
          <c:h val="0.76673553898375713"/>
        </c:manualLayout>
      </c:layout>
      <c:barChart>
        <c:barDir val="bar"/>
        <c:grouping val="clustered"/>
        <c:varyColors val="0"/>
        <c:ser>
          <c:idx val="2"/>
          <c:order val="0"/>
          <c:tx>
            <c:strRef>
              <c:f>'50 ocena syt. mat. miasto wieś'!$B$24</c:f>
              <c:strCache>
                <c:ptCount val="1"/>
                <c:pt idx="0">
                  <c:v>good + rather good</c:v>
                </c:pt>
              </c:strCache>
            </c:strRef>
          </c:tx>
          <c:spPr>
            <a:solidFill>
              <a:srgbClr val="334A92"/>
            </a:solidFill>
            <a:ln w="3175">
              <a:noFill/>
            </a:ln>
            <a:scene3d>
              <a:camera prst="orthographicFront"/>
              <a:lightRig rig="threePt" dir="t"/>
            </a:scene3d>
          </c:spPr>
          <c:invertIfNegative val="0"/>
          <c:dLbls>
            <c:spPr>
              <a:noFill/>
              <a:ln>
                <a:noFill/>
              </a:ln>
              <a:effectLst/>
            </c:spPr>
            <c:txPr>
              <a:bodyPr wrap="square" lIns="38100" tIns="19050" rIns="38100" bIns="19050" anchor="ctr">
                <a:spAutoFit/>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'50 ocena syt. mat. miasto wieś'!$C$22:$J$22</c:f>
              <c:strCache>
                <c:ptCount val="4"/>
                <c:pt idx="0">
                  <c:v>Total</c:v>
                </c:pt>
                <c:pt idx="1">
                  <c:v>Urban areas in total</c:v>
                </c:pt>
                <c:pt idx="2">
                  <c:v>Cities 500 thousand
or over</c:v>
                </c:pt>
                <c:pt idx="3">
                  <c:v>Rural areas</c:v>
                </c:pt>
              </c:strCache>
            </c:strRef>
          </c:cat>
          <c:val>
            <c:numRef>
              <c:f>'50 ocena syt. mat. miasto wieś'!$C$24:$J$24</c:f>
              <c:numCache>
                <c:formatCode>0.0%</c:formatCode>
                <c:ptCount val="4"/>
                <c:pt idx="0">
                  <c:v>0.57671100753908433</c:v>
                </c:pt>
                <c:pt idx="1">
                  <c:v>0.60147264663152777</c:v>
                </c:pt>
                <c:pt idx="2">
                  <c:v>0.69848200730025156</c:v>
                </c:pt>
                <c:pt idx="3">
                  <c:v>0.52784900579474381</c:v>
                </c:pt>
              </c:numCache>
            </c:numRef>
          </c:val>
          <c:extLst xmlns:c16r2="http://schemas.microsoft.com/office/drawing/2015/06/chart">
            <c:ext xmlns:c16="http://schemas.microsoft.com/office/drawing/2014/chart" uri="{C3380CC4-5D6E-409C-BE32-E72D297353CC}">
              <c16:uniqueId val="{00000000-F3AC-492D-BB88-0B4BF9F8C799}"/>
            </c:ext>
          </c:extLst>
        </c:ser>
        <c:ser>
          <c:idx val="1"/>
          <c:order val="1"/>
          <c:tx>
            <c:strRef>
              <c:f>'50 ocena syt. mat. miasto wieś'!$B$25</c:f>
              <c:strCache>
                <c:ptCount val="1"/>
                <c:pt idx="0">
                  <c:v>neither good nor bad</c:v>
                </c:pt>
              </c:strCache>
            </c:strRef>
          </c:tx>
          <c:spPr>
            <a:solidFill>
              <a:srgbClr val="6677AD"/>
            </a:solidFill>
            <a:ln w="3175">
              <a:noFill/>
            </a:ln>
            <a:scene3d>
              <a:camera prst="orthographicFront"/>
              <a:lightRig rig="threePt" dir="t"/>
            </a:scene3d>
          </c:spPr>
          <c:invertIfNegative val="0"/>
          <c:dLbls>
            <c:numFmt formatCode="0.0%" sourceLinked="0"/>
            <c:spPr>
              <a:noFill/>
              <a:ln>
                <a:noFill/>
              </a:ln>
              <a:effectLst/>
            </c:spPr>
            <c:txPr>
              <a:bodyPr wrap="square" lIns="38100" tIns="19050" rIns="38100" bIns="19050" anchor="ctr">
                <a:spAutoFit/>
              </a:bodyPr>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'50 ocena syt. mat. miasto wieś'!$C$22:$J$22</c:f>
              <c:strCache>
                <c:ptCount val="4"/>
                <c:pt idx="0">
                  <c:v>Total</c:v>
                </c:pt>
                <c:pt idx="1">
                  <c:v>Urban areas in total</c:v>
                </c:pt>
                <c:pt idx="2">
                  <c:v>Cities 500 thousand
or over</c:v>
                </c:pt>
                <c:pt idx="3">
                  <c:v>Rural areas</c:v>
                </c:pt>
              </c:strCache>
            </c:strRef>
          </c:cat>
          <c:val>
            <c:numRef>
              <c:f>'50 ocena syt. mat. miasto wieś'!$C$25:$J$25</c:f>
              <c:numCache>
                <c:formatCode>0.0%</c:formatCode>
                <c:ptCount val="4"/>
                <c:pt idx="0">
                  <c:v>0.38032442659753757</c:v>
                </c:pt>
                <c:pt idx="1">
                  <c:v>0.35650463175625285</c:v>
                </c:pt>
                <c:pt idx="2">
                  <c:v>0.27064619206067081</c:v>
                </c:pt>
                <c:pt idx="3">
                  <c:v>0.42732789243190833</c:v>
                </c:pt>
              </c:numCache>
            </c:numRef>
          </c:val>
          <c:extLst xmlns:c16r2="http://schemas.microsoft.com/office/drawing/2015/06/chart">
            <c:ext xmlns:c16="http://schemas.microsoft.com/office/drawing/2014/chart" uri="{C3380CC4-5D6E-409C-BE32-E72D297353CC}">
              <c16:uniqueId val="{00000001-F3AC-492D-BB88-0B4BF9F8C799}"/>
            </c:ext>
          </c:extLst>
        </c:ser>
        <c:ser>
          <c:idx val="0"/>
          <c:order val="2"/>
          <c:tx>
            <c:strRef>
              <c:f>'50 ocena syt. mat. miasto wieś'!$B$26</c:f>
              <c:strCache>
                <c:ptCount val="1"/>
                <c:pt idx="0">
                  <c:v>bad + rather bad</c:v>
                </c:pt>
              </c:strCache>
            </c:strRef>
          </c:tx>
          <c:spPr>
            <a:solidFill>
              <a:srgbClr val="99A5C9"/>
            </a:solidFill>
            <a:ln w="3175">
              <a:noFill/>
            </a:ln>
            <a:scene3d>
              <a:camera prst="orthographicFront"/>
              <a:lightRig rig="threePt" dir="t"/>
            </a:scene3d>
          </c:spPr>
          <c:invertIfNegative val="0"/>
          <c:dLbls>
            <c:spPr>
              <a:noFill/>
              <a:ln>
                <a:noFill/>
              </a:ln>
              <a:effectLst/>
            </c:spPr>
            <c:txPr>
              <a:bodyPr wrap="square" lIns="38100" tIns="19050" rIns="38100" bIns="19050" anchor="ctr">
                <a:spAutoFit/>
              </a:bodyPr>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'50 ocena syt. mat. miasto wieś'!$C$22:$J$22</c:f>
              <c:strCache>
                <c:ptCount val="4"/>
                <c:pt idx="0">
                  <c:v>Total</c:v>
                </c:pt>
                <c:pt idx="1">
                  <c:v>Urban areas in total</c:v>
                </c:pt>
                <c:pt idx="2">
                  <c:v>Cities 500 thousand
or over</c:v>
                </c:pt>
                <c:pt idx="3">
                  <c:v>Rural areas</c:v>
                </c:pt>
              </c:strCache>
            </c:strRef>
          </c:cat>
          <c:val>
            <c:numRef>
              <c:f>'50 ocena syt. mat. miasto wieś'!$C$26:$J$26</c:f>
              <c:numCache>
                <c:formatCode>0.0%</c:formatCode>
                <c:ptCount val="4"/>
                <c:pt idx="0">
                  <c:v>4.2964565863378122E-2</c:v>
                </c:pt>
                <c:pt idx="1">
                  <c:v>4.2022721612219358E-2</c:v>
                </c:pt>
                <c:pt idx="2">
                  <c:v>3.0871800639077615E-2</c:v>
                </c:pt>
                <c:pt idx="3">
                  <c:v>4.4823101773347855E-2</c:v>
                </c:pt>
              </c:numCache>
            </c:numRef>
          </c:val>
          <c:extLst xmlns:c16r2="http://schemas.microsoft.com/office/drawing/2015/06/chart">
            <c:ext xmlns:c16="http://schemas.microsoft.com/office/drawing/2014/chart" uri="{C3380CC4-5D6E-409C-BE32-E72D297353CC}">
              <c16:uniqueId val="{00000002-F3AC-492D-BB88-0B4BF9F8C799}"/>
            </c:ext>
          </c:extLst>
        </c:ser>
        <c:dLbls>
          <c:showLegendKey val="0"/>
          <c:showVal val="0"/>
          <c:showCatName val="0"/>
          <c:showSerName val="0"/>
          <c:showPercent val="0"/>
          <c:showBubbleSize val="0"/>
        </c:dLbls>
        <c:gapWidth val="65"/>
        <c:axId val="-2103618624"/>
        <c:axId val="-2103613728"/>
      </c:barChart>
      <c:catAx>
        <c:axId val="-2103618624"/>
        <c:scaling>
          <c:orientation val="maxMin"/>
        </c:scaling>
        <c:delete val="0"/>
        <c:axPos val="l"/>
        <c:numFmt formatCode="General" sourceLinked="1"/>
        <c:majorTickMark val="out"/>
        <c:minorTickMark val="none"/>
        <c:tickLblPos val="nextTo"/>
        <c:spPr>
          <a:ln w="9525">
            <a:solidFill>
              <a:sysClr val="windowText" lastClr="000000"/>
            </a:solidFill>
          </a:ln>
        </c:spPr>
        <c:crossAx val="-2103613728"/>
        <c:crossesAt val="0"/>
        <c:auto val="1"/>
        <c:lblAlgn val="ctr"/>
        <c:lblOffset val="100"/>
        <c:noMultiLvlLbl val="0"/>
      </c:catAx>
      <c:valAx>
        <c:axId val="-2103613728"/>
        <c:scaling>
          <c:orientation val="minMax"/>
          <c:max val="1"/>
          <c:min val="0"/>
        </c:scaling>
        <c:delete val="0"/>
        <c:axPos val="b"/>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2103618624"/>
        <c:crosses val="max"/>
        <c:crossBetween val="between"/>
        <c:majorUnit val="0.2"/>
        <c:minorUnit val="5.0000000000000024E-2"/>
      </c:valAx>
    </c:plotArea>
    <c:legend>
      <c:legendPos val="r"/>
      <c:layout>
        <c:manualLayout>
          <c:xMode val="edge"/>
          <c:yMode val="edge"/>
          <c:x val="0.15094664858971468"/>
          <c:y val="9.034861546386086E-2"/>
          <c:w val="0.82431584300381922"/>
          <c:h val="6.8082422533004269E-2"/>
        </c:manualLayout>
      </c:layout>
      <c:overlay val="0"/>
      <c:spPr>
        <a:solidFill>
          <a:schemeClr val="bg1"/>
        </a:solidFill>
        <a:ln>
          <a:noFill/>
        </a:ln>
      </c:spPr>
      <c:txPr>
        <a:bodyPr/>
        <a:lstStyle/>
        <a:p>
          <a:pPr>
            <a:defRPr sz="900"/>
          </a:pPr>
          <a:endParaRPr lang="pl-PL"/>
        </a:p>
      </c:tx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245043235344933"/>
          <c:y val="0.1621134259259259"/>
          <c:w val="0.76618341078506869"/>
          <c:h val="0.75527017195767199"/>
        </c:manualLayout>
      </c:layout>
      <c:barChart>
        <c:barDir val="bar"/>
        <c:grouping val="clustered"/>
        <c:varyColors val="0"/>
        <c:ser>
          <c:idx val="0"/>
          <c:order val="0"/>
          <c:spPr>
            <a:solidFill>
              <a:srgbClr val="334A92"/>
            </a:solidFill>
            <a:ln w="38100"/>
            <a:scene3d>
              <a:camera prst="orthographicFront"/>
              <a:lightRig rig="threePt" dir="t"/>
            </a:scene3d>
          </c:spPr>
          <c:invertIfNegative val="0"/>
          <c:dPt>
            <c:idx val="0"/>
            <c:invertIfNegative val="0"/>
            <c:bubble3D val="0"/>
            <c:extLst xmlns:c16r2="http://schemas.microsoft.com/office/drawing/2015/06/chart">
              <c:ext xmlns:c16="http://schemas.microsoft.com/office/drawing/2014/chart" uri="{C3380CC4-5D6E-409C-BE32-E72D297353CC}">
                <c16:uniqueId val="{00000000-B47E-452B-B180-0EF2F999839E}"/>
              </c:ext>
            </c:extLst>
          </c:dPt>
          <c:dPt>
            <c:idx val="1"/>
            <c:invertIfNegative val="0"/>
            <c:bubble3D val="0"/>
            <c:extLst xmlns:c16r2="http://schemas.microsoft.com/office/drawing/2015/06/chart">
              <c:ext xmlns:c16="http://schemas.microsoft.com/office/drawing/2014/chart" uri="{C3380CC4-5D6E-409C-BE32-E72D297353CC}">
                <c16:uniqueId val="{00000001-B47E-452B-B180-0EF2F999839E}"/>
              </c:ext>
            </c:extLst>
          </c:dPt>
          <c:dPt>
            <c:idx val="2"/>
            <c:invertIfNegative val="0"/>
            <c:bubble3D val="0"/>
            <c:extLst xmlns:c16r2="http://schemas.microsoft.com/office/drawing/2015/06/chart">
              <c:ext xmlns:c16="http://schemas.microsoft.com/office/drawing/2014/chart" uri="{C3380CC4-5D6E-409C-BE32-E72D297353CC}">
                <c16:uniqueId val="{00000002-B47E-452B-B180-0EF2F999839E}"/>
              </c:ext>
            </c:extLst>
          </c:dPt>
          <c:dPt>
            <c:idx val="3"/>
            <c:invertIfNegative val="0"/>
            <c:bubble3D val="0"/>
            <c:extLst xmlns:c16r2="http://schemas.microsoft.com/office/drawing/2015/06/chart">
              <c:ext xmlns:c16="http://schemas.microsoft.com/office/drawing/2014/chart" uri="{C3380CC4-5D6E-409C-BE32-E72D297353CC}">
                <c16:uniqueId val="{00000003-B47E-452B-B180-0EF2F999839E}"/>
              </c:ext>
            </c:extLst>
          </c:dPt>
          <c:dPt>
            <c:idx val="4"/>
            <c:invertIfNegative val="0"/>
            <c:bubble3D val="0"/>
            <c:extLst xmlns:c16r2="http://schemas.microsoft.com/office/drawing/2015/06/chart">
              <c:ext xmlns:c16="http://schemas.microsoft.com/office/drawing/2014/chart" uri="{C3380CC4-5D6E-409C-BE32-E72D297353CC}">
                <c16:uniqueId val="{00000004-B47E-452B-B180-0EF2F999839E}"/>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multiLvlStrRef>
              <c:f>'57 pomoc Ukr. kwartały'!$B$7:$M$8</c:f>
              <c:multiLvlStrCache>
                <c:ptCount val="12"/>
                <c:lvl>
                  <c:pt idx="0">
                    <c:v>1st quarter</c:v>
                  </c:pt>
                  <c:pt idx="1">
                    <c:v>2nd quarter</c:v>
                  </c:pt>
                  <c:pt idx="2">
                    <c:v>3rd quarter</c:v>
                  </c:pt>
                  <c:pt idx="3">
                    <c:v>4th quarter</c:v>
                  </c:pt>
                  <c:pt idx="4">
                    <c:v>1st quarter</c:v>
                  </c:pt>
                  <c:pt idx="5">
                    <c:v>2nd quarter</c:v>
                  </c:pt>
                  <c:pt idx="6">
                    <c:v>3rd quarter</c:v>
                  </c:pt>
                  <c:pt idx="7">
                    <c:v>4th quarter</c:v>
                  </c:pt>
                  <c:pt idx="8">
                    <c:v>1st quarter</c:v>
                  </c:pt>
                  <c:pt idx="9">
                    <c:v>2nd quarter</c:v>
                  </c:pt>
                  <c:pt idx="10">
                    <c:v>3rd quarter</c:v>
                  </c:pt>
                  <c:pt idx="11">
                    <c:v>4th quarter</c:v>
                  </c:pt>
                </c:lvl>
                <c:lvl>
                  <c:pt idx="0">
                    <c:v>2022</c:v>
                  </c:pt>
                  <c:pt idx="4">
                    <c:v>2023</c:v>
                  </c:pt>
                  <c:pt idx="8">
                    <c:v>2024</c:v>
                  </c:pt>
                </c:lvl>
              </c:multiLvlStrCache>
            </c:multiLvlStrRef>
          </c:cat>
          <c:val>
            <c:numRef>
              <c:f>'57 pomoc Ukr. kwartały'!$B$9:$M$9</c:f>
              <c:numCache>
                <c:formatCode>0.0%</c:formatCode>
                <c:ptCount val="12"/>
                <c:pt idx="0">
                  <c:v>0.69299999999999995</c:v>
                </c:pt>
                <c:pt idx="1">
                  <c:v>0.52900000000000003</c:v>
                </c:pt>
                <c:pt idx="2">
                  <c:v>0.27600000000000002</c:v>
                </c:pt>
                <c:pt idx="3">
                  <c:v>0.23300000000000001</c:v>
                </c:pt>
                <c:pt idx="4">
                  <c:v>0.222</c:v>
                </c:pt>
                <c:pt idx="5">
                  <c:v>0.19899999999999998</c:v>
                </c:pt>
                <c:pt idx="6">
                  <c:v>0.12300000000000001</c:v>
                </c:pt>
                <c:pt idx="7">
                  <c:v>9.3000000000000013E-2</c:v>
                </c:pt>
                <c:pt idx="8">
                  <c:v>8.900000000000001E-2</c:v>
                </c:pt>
                <c:pt idx="9">
                  <c:v>8.1000000000000003E-2</c:v>
                </c:pt>
                <c:pt idx="10">
                  <c:v>7.2000000000000008E-2</c:v>
                </c:pt>
                <c:pt idx="11">
                  <c:v>0.06</c:v>
                </c:pt>
              </c:numCache>
            </c:numRef>
          </c:val>
          <c:extLst xmlns:c16r2="http://schemas.microsoft.com/office/drawing/2015/06/chart">
            <c:ext xmlns:c16="http://schemas.microsoft.com/office/drawing/2014/chart" uri="{C3380CC4-5D6E-409C-BE32-E72D297353CC}">
              <c16:uniqueId val="{00000005-B47E-452B-B180-0EF2F999839E}"/>
            </c:ext>
          </c:extLst>
        </c:ser>
        <c:dLbls>
          <c:showLegendKey val="0"/>
          <c:showVal val="1"/>
          <c:showCatName val="0"/>
          <c:showSerName val="0"/>
          <c:showPercent val="0"/>
          <c:showBubbleSize val="0"/>
        </c:dLbls>
        <c:gapWidth val="100"/>
        <c:axId val="-2103616448"/>
        <c:axId val="-2103615360"/>
      </c:barChart>
      <c:catAx>
        <c:axId val="-2103616448"/>
        <c:scaling>
          <c:orientation val="maxMin"/>
        </c:scaling>
        <c:delete val="0"/>
        <c:axPos val="l"/>
        <c:numFmt formatCode="General" sourceLinked="1"/>
        <c:majorTickMark val="out"/>
        <c:minorTickMark val="none"/>
        <c:tickLblPos val="nextTo"/>
        <c:spPr>
          <a:ln w="9525">
            <a:solidFill>
              <a:sysClr val="windowText" lastClr="000000"/>
            </a:solidFill>
          </a:ln>
        </c:spPr>
        <c:txPr>
          <a:bodyPr/>
          <a:lstStyle/>
          <a:p>
            <a:pPr>
              <a:defRPr sz="900" spc="-20" baseline="0"/>
            </a:pPr>
            <a:endParaRPr lang="pl-PL"/>
          </a:p>
        </c:txPr>
        <c:crossAx val="-2103615360"/>
        <c:crosses val="autoZero"/>
        <c:auto val="1"/>
        <c:lblAlgn val="ctr"/>
        <c:lblOffset val="100"/>
        <c:noMultiLvlLbl val="0"/>
      </c:catAx>
      <c:valAx>
        <c:axId val="-2103615360"/>
        <c:scaling>
          <c:orientation val="minMax"/>
          <c:max val="1"/>
          <c:min val="0"/>
        </c:scaling>
        <c:delete val="0"/>
        <c:axPos val="b"/>
        <c:majorGridlines>
          <c:spPr>
            <a:ln w="6350">
              <a:solidFill>
                <a:sysClr val="window" lastClr="FFFFFF">
                  <a:lumMod val="50000"/>
                  <a:alpha val="76000"/>
                </a:sysClr>
              </a:solidFill>
            </a:ln>
          </c:spPr>
        </c:majorGridlines>
        <c:numFmt formatCode="0%" sourceLinked="0"/>
        <c:majorTickMark val="out"/>
        <c:minorTickMark val="none"/>
        <c:tickLblPos val="nextTo"/>
        <c:spPr>
          <a:ln>
            <a:noFill/>
          </a:ln>
        </c:spPr>
        <c:txPr>
          <a:bodyPr/>
          <a:lstStyle/>
          <a:p>
            <a:pPr>
              <a:defRPr sz="900"/>
            </a:pPr>
            <a:endParaRPr lang="pl-PL"/>
          </a:p>
        </c:txPr>
        <c:crossAx val="-2103616448"/>
        <c:crosses val="max"/>
        <c:crossBetween val="between"/>
        <c:majorUnit val="0.2"/>
        <c:minorUnit val="0.2"/>
      </c:valAx>
    </c:plotArea>
    <c:plotVisOnly val="1"/>
    <c:dispBlanksAs val="gap"/>
    <c:showDLblsOverMax val="0"/>
  </c:chart>
  <c:spPr>
    <a:ln>
      <a:noFill/>
    </a:ln>
  </c:spPr>
  <c:txPr>
    <a:bodyPr/>
    <a:lstStyle/>
    <a:p>
      <a:pPr>
        <a:defRPr>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04682242908554E-2"/>
          <c:y val="0.23549149150971174"/>
          <c:w val="0.92747530768397335"/>
          <c:h val="0.6779395959906126"/>
        </c:manualLayout>
      </c:layout>
      <c:barChart>
        <c:barDir val="col"/>
        <c:grouping val="clustered"/>
        <c:varyColors val="0"/>
        <c:ser>
          <c:idx val="0"/>
          <c:order val="0"/>
          <c:tx>
            <c:strRef>
              <c:f>'58 pomoc Ukr. gr. społ-ek'!$C$13</c:f>
              <c:strCache>
                <c:ptCount val="1"/>
                <c:pt idx="0">
                  <c:v>1st quarter</c:v>
                </c:pt>
              </c:strCache>
            </c:strRef>
          </c:tx>
          <c:spPr>
            <a:solidFill>
              <a:srgbClr val="001D77"/>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'58 pomoc Ukr. gr. społ-ek'!$B$14:$B$19</c:f>
              <c:strCache>
                <c:ptCount val="6"/>
                <c:pt idx="0">
                  <c:v>Poland</c:v>
                </c:pt>
                <c:pt idx="1">
                  <c:v>employees</c:v>
                </c:pt>
                <c:pt idx="2">
                  <c:v>farmers</c:v>
                </c:pt>
                <c:pt idx="3">
                  <c:v>self-employed</c:v>
                </c:pt>
                <c:pt idx="4">
                  <c:v>retirees</c:v>
                </c:pt>
                <c:pt idx="5">
                  <c:v>pensioners</c:v>
                </c:pt>
              </c:strCache>
            </c:strRef>
          </c:cat>
          <c:val>
            <c:numRef>
              <c:f>'58 pomoc Ukr. gr. społ-ek'!$C$14:$C$19</c:f>
              <c:numCache>
                <c:formatCode>0.0%</c:formatCode>
                <c:ptCount val="6"/>
                <c:pt idx="0">
                  <c:v>8.900000000000001E-2</c:v>
                </c:pt>
                <c:pt idx="1">
                  <c:v>8.5000000000000006E-2</c:v>
                </c:pt>
                <c:pt idx="2">
                  <c:v>5.9000000000000004E-2</c:v>
                </c:pt>
                <c:pt idx="3">
                  <c:v>0.129</c:v>
                </c:pt>
                <c:pt idx="4">
                  <c:v>9.3000000000000013E-2</c:v>
                </c:pt>
                <c:pt idx="5">
                  <c:v>0.05</c:v>
                </c:pt>
              </c:numCache>
            </c:numRef>
          </c:val>
          <c:extLst xmlns:c16r2="http://schemas.microsoft.com/office/drawing/2015/06/chart">
            <c:ext xmlns:c16="http://schemas.microsoft.com/office/drawing/2014/chart" uri="{C3380CC4-5D6E-409C-BE32-E72D297353CC}">
              <c16:uniqueId val="{00000000-D067-4697-A66B-F63D1CA7F325}"/>
            </c:ext>
          </c:extLst>
        </c:ser>
        <c:ser>
          <c:idx val="1"/>
          <c:order val="1"/>
          <c:tx>
            <c:strRef>
              <c:f>'58 pomoc Ukr. gr. społ-ek'!$D$13</c:f>
              <c:strCache>
                <c:ptCount val="1"/>
                <c:pt idx="0">
                  <c:v>2nd quarter</c:v>
                </c:pt>
              </c:strCache>
            </c:strRef>
          </c:tx>
          <c:spPr>
            <a:solidFill>
              <a:srgbClr val="334A9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'58 pomoc Ukr. gr. społ-ek'!$B$14:$B$19</c:f>
              <c:strCache>
                <c:ptCount val="6"/>
                <c:pt idx="0">
                  <c:v>Poland</c:v>
                </c:pt>
                <c:pt idx="1">
                  <c:v>employees</c:v>
                </c:pt>
                <c:pt idx="2">
                  <c:v>farmers</c:v>
                </c:pt>
                <c:pt idx="3">
                  <c:v>self-employed</c:v>
                </c:pt>
                <c:pt idx="4">
                  <c:v>retirees</c:v>
                </c:pt>
                <c:pt idx="5">
                  <c:v>pensioners</c:v>
                </c:pt>
              </c:strCache>
            </c:strRef>
          </c:cat>
          <c:val>
            <c:numRef>
              <c:f>'58 pomoc Ukr. gr. społ-ek'!$D$14:$D$19</c:f>
              <c:numCache>
                <c:formatCode>0.0%</c:formatCode>
                <c:ptCount val="6"/>
                <c:pt idx="0">
                  <c:v>8.1000000000000003E-2</c:v>
                </c:pt>
                <c:pt idx="1">
                  <c:v>7.2000000000000008E-2</c:v>
                </c:pt>
                <c:pt idx="2">
                  <c:v>0.04</c:v>
                </c:pt>
                <c:pt idx="3">
                  <c:v>0.121</c:v>
                </c:pt>
                <c:pt idx="4">
                  <c:v>9.1999999999999998E-2</c:v>
                </c:pt>
                <c:pt idx="5">
                  <c:v>5.5999999999999994E-2</c:v>
                </c:pt>
              </c:numCache>
            </c:numRef>
          </c:val>
          <c:extLst xmlns:c16r2="http://schemas.microsoft.com/office/drawing/2015/06/chart">
            <c:ext xmlns:c16="http://schemas.microsoft.com/office/drawing/2014/chart" uri="{C3380CC4-5D6E-409C-BE32-E72D297353CC}">
              <c16:uniqueId val="{00000001-D067-4697-A66B-F63D1CA7F325}"/>
            </c:ext>
          </c:extLst>
        </c:ser>
        <c:ser>
          <c:idx val="2"/>
          <c:order val="2"/>
          <c:tx>
            <c:strRef>
              <c:f>'58 pomoc Ukr. gr. społ-ek'!$E$13</c:f>
              <c:strCache>
                <c:ptCount val="1"/>
                <c:pt idx="0">
                  <c:v>3rd quarter</c:v>
                </c:pt>
              </c:strCache>
            </c:strRef>
          </c:tx>
          <c:spPr>
            <a:solidFill>
              <a:srgbClr val="6677AD"/>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'58 pomoc Ukr. gr. społ-ek'!$B$14:$B$19</c:f>
              <c:strCache>
                <c:ptCount val="6"/>
                <c:pt idx="0">
                  <c:v>Poland</c:v>
                </c:pt>
                <c:pt idx="1">
                  <c:v>employees</c:v>
                </c:pt>
                <c:pt idx="2">
                  <c:v>farmers</c:v>
                </c:pt>
                <c:pt idx="3">
                  <c:v>self-employed</c:v>
                </c:pt>
                <c:pt idx="4">
                  <c:v>retirees</c:v>
                </c:pt>
                <c:pt idx="5">
                  <c:v>pensioners</c:v>
                </c:pt>
              </c:strCache>
            </c:strRef>
          </c:cat>
          <c:val>
            <c:numRef>
              <c:f>'58 pomoc Ukr. gr. społ-ek'!$E$14:$E$19</c:f>
              <c:numCache>
                <c:formatCode>0.0%</c:formatCode>
                <c:ptCount val="6"/>
                <c:pt idx="0">
                  <c:v>7.2000000000000008E-2</c:v>
                </c:pt>
                <c:pt idx="1">
                  <c:v>7.5999999999999998E-2</c:v>
                </c:pt>
                <c:pt idx="2">
                  <c:v>1.6E-2</c:v>
                </c:pt>
                <c:pt idx="3">
                  <c:v>9.0999999999999998E-2</c:v>
                </c:pt>
                <c:pt idx="4">
                  <c:v>6.3E-2</c:v>
                </c:pt>
                <c:pt idx="5">
                  <c:v>6.0999999999999999E-2</c:v>
                </c:pt>
              </c:numCache>
            </c:numRef>
          </c:val>
          <c:extLst xmlns:c16r2="http://schemas.microsoft.com/office/drawing/2015/06/chart">
            <c:ext xmlns:c16="http://schemas.microsoft.com/office/drawing/2014/chart" uri="{C3380CC4-5D6E-409C-BE32-E72D297353CC}">
              <c16:uniqueId val="{00000002-D067-4697-A66B-F63D1CA7F325}"/>
            </c:ext>
          </c:extLst>
        </c:ser>
        <c:ser>
          <c:idx val="3"/>
          <c:order val="3"/>
          <c:tx>
            <c:strRef>
              <c:f>'58 pomoc Ukr. gr. społ-ek'!$F$13</c:f>
              <c:strCache>
                <c:ptCount val="1"/>
                <c:pt idx="0">
                  <c:v>4th quarter</c:v>
                </c:pt>
              </c:strCache>
            </c:strRef>
          </c:tx>
          <c:spPr>
            <a:solidFill>
              <a:srgbClr val="99A4C8"/>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'58 pomoc Ukr. gr. społ-ek'!$B$14:$B$19</c:f>
              <c:strCache>
                <c:ptCount val="6"/>
                <c:pt idx="0">
                  <c:v>Poland</c:v>
                </c:pt>
                <c:pt idx="1">
                  <c:v>employees</c:v>
                </c:pt>
                <c:pt idx="2">
                  <c:v>farmers</c:v>
                </c:pt>
                <c:pt idx="3">
                  <c:v>self-employed</c:v>
                </c:pt>
                <c:pt idx="4">
                  <c:v>retirees</c:v>
                </c:pt>
                <c:pt idx="5">
                  <c:v>pensioners</c:v>
                </c:pt>
              </c:strCache>
            </c:strRef>
          </c:cat>
          <c:val>
            <c:numRef>
              <c:f>'58 pomoc Ukr. gr. społ-ek'!$F$14:$F$19</c:f>
              <c:numCache>
                <c:formatCode>0.0%</c:formatCode>
                <c:ptCount val="6"/>
                <c:pt idx="0">
                  <c:v>0.06</c:v>
                </c:pt>
                <c:pt idx="1">
                  <c:v>5.9000000000000004E-2</c:v>
                </c:pt>
                <c:pt idx="2">
                  <c:v>6.6000000000000003E-2</c:v>
                </c:pt>
                <c:pt idx="3">
                  <c:v>8.199999999999999E-2</c:v>
                </c:pt>
                <c:pt idx="4">
                  <c:v>5.5999999999999994E-2</c:v>
                </c:pt>
                <c:pt idx="5">
                  <c:v>7.4999999999999997E-2</c:v>
                </c:pt>
              </c:numCache>
            </c:numRef>
          </c:val>
          <c:extLst xmlns:c16r2="http://schemas.microsoft.com/office/drawing/2015/06/chart">
            <c:ext xmlns:c16="http://schemas.microsoft.com/office/drawing/2014/chart" uri="{C3380CC4-5D6E-409C-BE32-E72D297353CC}">
              <c16:uniqueId val="{00000003-D067-4697-A66B-F63D1CA7F325}"/>
            </c:ext>
          </c:extLst>
        </c:ser>
        <c:dLbls>
          <c:dLblPos val="outEnd"/>
          <c:showLegendKey val="0"/>
          <c:showVal val="1"/>
          <c:showCatName val="0"/>
          <c:showSerName val="0"/>
          <c:showPercent val="0"/>
          <c:showBubbleSize val="0"/>
        </c:dLbls>
        <c:gapWidth val="100"/>
        <c:axId val="-2103618080"/>
        <c:axId val="-2103617536"/>
      </c:barChart>
      <c:catAx>
        <c:axId val="-210361808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2103617536"/>
        <c:crosses val="autoZero"/>
        <c:auto val="1"/>
        <c:lblAlgn val="ctr"/>
        <c:lblOffset val="100"/>
        <c:noMultiLvlLbl val="0"/>
      </c:catAx>
      <c:valAx>
        <c:axId val="-2103617536"/>
        <c:scaling>
          <c:orientation val="minMax"/>
          <c:max val="0.2"/>
        </c:scaling>
        <c:delete val="0"/>
        <c:axPos val="l"/>
        <c:majorGridlines>
          <c:spPr>
            <a:ln w="6350" cap="flat" cmpd="sng" algn="ctr">
              <a:solidFill>
                <a:schemeClr val="bg1">
                  <a:lumMod val="6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2103618080"/>
        <c:crosses val="autoZero"/>
        <c:crossBetween val="between"/>
        <c:majorUnit val="5.000000000000001E-2"/>
        <c:minorUnit val="5.000000000000001E-2"/>
      </c:valAx>
      <c:spPr>
        <a:noFill/>
        <a:ln>
          <a:noFill/>
        </a:ln>
        <a:effectLst/>
      </c:spPr>
    </c:plotArea>
    <c:legend>
      <c:legendPos val="t"/>
      <c:layout>
        <c:manualLayout>
          <c:xMode val="edge"/>
          <c:yMode val="edge"/>
          <c:x val="0.17735988654077223"/>
          <c:y val="0.1415765578049262"/>
          <c:w val="0.68246857763084567"/>
          <c:h val="9.675900540287617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914745031871022E-2"/>
          <c:y val="0.23958961505650719"/>
          <c:w val="0.92008928571428572"/>
          <c:h val="0.68514536354096678"/>
        </c:manualLayout>
      </c:layout>
      <c:barChart>
        <c:barDir val="col"/>
        <c:grouping val="clustered"/>
        <c:varyColors val="0"/>
        <c:ser>
          <c:idx val="0"/>
          <c:order val="0"/>
          <c:tx>
            <c:strRef>
              <c:f>'4 dochody,wydatki gr. społ-ek.'!$B$12</c:f>
              <c:strCache>
                <c:ptCount val="1"/>
                <c:pt idx="0">
                  <c:v>Available income </c:v>
                </c:pt>
              </c:strCache>
            </c:strRef>
          </c:tx>
          <c:spPr>
            <a:solidFill>
              <a:srgbClr val="334A92"/>
            </a:solidFill>
            <a:scene3d>
              <a:camera prst="orthographicFront"/>
              <a:lightRig rig="threePt" dir="t"/>
            </a:scene3d>
          </c:spPr>
          <c:invertIfNegative val="0"/>
          <c:dLbls>
            <c:dLbl>
              <c:idx val="3"/>
              <c:layout>
                <c:manualLayout>
                  <c:x val="0"/>
                  <c:y val="1.150527325023969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wrap="square" lIns="38100" tIns="19050" rIns="38100" bIns="19050" anchor="ctr">
                <a:spAutoFit/>
              </a:bodyPr>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 dochody,wydatki gr. społ-ek.'!$C$10:$N$10</c:f>
              <c:strCache>
                <c:ptCount val="6"/>
                <c:pt idx="0">
                  <c:v>Total</c:v>
                </c:pt>
                <c:pt idx="1">
                  <c:v>employees</c:v>
                </c:pt>
                <c:pt idx="2">
                  <c:v>farmers</c:v>
                </c:pt>
                <c:pt idx="3">
                  <c:v>self-employed</c:v>
                </c:pt>
                <c:pt idx="4">
                  <c:v>retirees</c:v>
                </c:pt>
                <c:pt idx="5">
                  <c:v>pensioners</c:v>
                </c:pt>
              </c:strCache>
            </c:strRef>
          </c:cat>
          <c:val>
            <c:numRef>
              <c:f>'4 dochody,wydatki gr. społ-ek.'!$C$12:$N$12</c:f>
              <c:numCache>
                <c:formatCode>0.00</c:formatCode>
                <c:ptCount val="6"/>
                <c:pt idx="0">
                  <c:v>3167.17</c:v>
                </c:pt>
                <c:pt idx="1">
                  <c:v>3163.41</c:v>
                </c:pt>
                <c:pt idx="2">
                  <c:v>3309.22</c:v>
                </c:pt>
                <c:pt idx="3">
                  <c:v>3789.82</c:v>
                </c:pt>
                <c:pt idx="4">
                  <c:v>3017.35</c:v>
                </c:pt>
                <c:pt idx="5">
                  <c:v>2448.81</c:v>
                </c:pt>
              </c:numCache>
            </c:numRef>
          </c:val>
          <c:extLst xmlns:c16r2="http://schemas.microsoft.com/office/drawing/2015/06/chart">
            <c:ext xmlns:c16="http://schemas.microsoft.com/office/drawing/2014/chart" uri="{C3380CC4-5D6E-409C-BE32-E72D297353CC}">
              <c16:uniqueId val="{00000002-9146-481E-A3D3-ADEB64C7EE40}"/>
            </c:ext>
          </c:extLst>
        </c:ser>
        <c:ser>
          <c:idx val="1"/>
          <c:order val="1"/>
          <c:tx>
            <c:strRef>
              <c:f>'4 dochody,wydatki gr. społ-ek.'!$B$13</c:f>
              <c:strCache>
                <c:ptCount val="1"/>
                <c:pt idx="0">
                  <c:v>Expenditure</c:v>
                </c:pt>
              </c:strCache>
            </c:strRef>
          </c:tx>
          <c:spPr>
            <a:solidFill>
              <a:srgbClr val="66B68E"/>
            </a:solidFill>
            <a:scene3d>
              <a:camera prst="orthographicFront"/>
              <a:lightRig rig="threePt" dir="t"/>
            </a:scene3d>
          </c:spPr>
          <c:invertIfNegative val="0"/>
          <c:dLbls>
            <c:numFmt formatCode="0" sourceLinked="0"/>
            <c:spPr>
              <a:noFill/>
              <a:ln>
                <a:noFill/>
              </a:ln>
              <a:effectLst/>
            </c:spPr>
            <c:txPr>
              <a:bodyPr wrap="square" lIns="38100" tIns="19050" rIns="38100" bIns="19050" anchor="ctr">
                <a:spAutoFit/>
              </a:bodyPr>
              <a:lstStyle/>
              <a:p>
                <a:pPr>
                  <a:defRPr sz="900"/>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 dochody,wydatki gr. społ-ek.'!$C$10:$N$10</c:f>
              <c:strCache>
                <c:ptCount val="6"/>
                <c:pt idx="0">
                  <c:v>Total</c:v>
                </c:pt>
                <c:pt idx="1">
                  <c:v>employees</c:v>
                </c:pt>
                <c:pt idx="2">
                  <c:v>farmers</c:v>
                </c:pt>
                <c:pt idx="3">
                  <c:v>self-employed</c:v>
                </c:pt>
                <c:pt idx="4">
                  <c:v>retirees</c:v>
                </c:pt>
                <c:pt idx="5">
                  <c:v>pensioners</c:v>
                </c:pt>
              </c:strCache>
            </c:strRef>
          </c:cat>
          <c:val>
            <c:numRef>
              <c:f>'4 dochody,wydatki gr. społ-ek.'!$C$13:$N$13</c:f>
              <c:numCache>
                <c:formatCode>0.00</c:formatCode>
                <c:ptCount val="6"/>
                <c:pt idx="0">
                  <c:v>1878.49</c:v>
                </c:pt>
                <c:pt idx="1">
                  <c:v>1860.38</c:v>
                </c:pt>
                <c:pt idx="2">
                  <c:v>1311.01</c:v>
                </c:pt>
                <c:pt idx="3">
                  <c:v>2151.15</c:v>
                </c:pt>
                <c:pt idx="4">
                  <c:v>1969.43</c:v>
                </c:pt>
                <c:pt idx="5">
                  <c:v>1902.57</c:v>
                </c:pt>
              </c:numCache>
            </c:numRef>
          </c:val>
          <c:extLst xmlns:c16r2="http://schemas.microsoft.com/office/drawing/2015/06/chart">
            <c:ext xmlns:c16="http://schemas.microsoft.com/office/drawing/2014/chart" uri="{C3380CC4-5D6E-409C-BE32-E72D297353CC}">
              <c16:uniqueId val="{00000005-9146-481E-A3D3-ADEB64C7EE40}"/>
            </c:ext>
          </c:extLst>
        </c:ser>
        <c:dLbls>
          <c:showLegendKey val="0"/>
          <c:showVal val="0"/>
          <c:showCatName val="0"/>
          <c:showSerName val="0"/>
          <c:showPercent val="0"/>
          <c:showBubbleSize val="0"/>
        </c:dLbls>
        <c:gapWidth val="50"/>
        <c:overlap val="80"/>
        <c:axId val="-83299232"/>
        <c:axId val="-83293792"/>
      </c:barChart>
      <c:barChart>
        <c:barDir val="col"/>
        <c:grouping val="clustered"/>
        <c:varyColors val="0"/>
        <c:ser>
          <c:idx val="2"/>
          <c:order val="2"/>
          <c:tx>
            <c:strRef>
              <c:f>'4 dochody,wydatki gr. społ-ek.'!$B$14</c:f>
              <c:strCache>
                <c:ptCount val="1"/>
                <c:pt idx="0">
                  <c:v>The share of expenditure in available income</c:v>
                </c:pt>
              </c:strCache>
            </c:strRef>
          </c:tx>
          <c:spPr>
            <a:solidFill>
              <a:srgbClr val="4D4D4D">
                <a:lumMod val="20000"/>
                <a:lumOff val="80000"/>
              </a:srgbClr>
            </a:solidFill>
            <a:ln w="3175">
              <a:solidFill>
                <a:srgbClr val="4D4D4D">
                  <a:lumMod val="40000"/>
                  <a:lumOff val="60000"/>
                </a:srgbClr>
              </a:solidFill>
            </a:ln>
            <a:scene3d>
              <a:camera prst="orthographicFront"/>
              <a:lightRig rig="threePt" dir="t"/>
            </a:scene3d>
          </c:spPr>
          <c:invertIfNegative val="0"/>
          <c:dPt>
            <c:idx val="0"/>
            <c:invertIfNegative val="0"/>
            <c:bubble3D val="0"/>
            <c:spPr>
              <a:noFill/>
              <a:ln w="3175">
                <a:noFill/>
              </a:ln>
              <a:scene3d>
                <a:camera prst="orthographicFront"/>
                <a:lightRig rig="threePt" dir="t"/>
              </a:scene3d>
            </c:spPr>
          </c:dPt>
          <c:dPt>
            <c:idx val="1"/>
            <c:invertIfNegative val="0"/>
            <c:bubble3D val="0"/>
            <c:spPr>
              <a:noFill/>
              <a:ln w="3175">
                <a:noFill/>
              </a:ln>
              <a:scene3d>
                <a:camera prst="orthographicFront"/>
                <a:lightRig rig="threePt" dir="t"/>
              </a:scene3d>
            </c:spPr>
          </c:dPt>
          <c:dPt>
            <c:idx val="2"/>
            <c:invertIfNegative val="0"/>
            <c:bubble3D val="0"/>
            <c:spPr>
              <a:noFill/>
              <a:ln w="3175">
                <a:noFill/>
              </a:ln>
              <a:scene3d>
                <a:camera prst="orthographicFront"/>
                <a:lightRig rig="threePt" dir="t"/>
              </a:scene3d>
            </c:spPr>
          </c:dPt>
          <c:dPt>
            <c:idx val="3"/>
            <c:invertIfNegative val="0"/>
            <c:bubble3D val="0"/>
            <c:spPr>
              <a:noFill/>
              <a:ln w="3175">
                <a:noFill/>
              </a:ln>
              <a:scene3d>
                <a:camera prst="orthographicFront"/>
                <a:lightRig rig="threePt" dir="t"/>
              </a:scene3d>
            </c:spPr>
          </c:dPt>
          <c:dPt>
            <c:idx val="4"/>
            <c:invertIfNegative val="0"/>
            <c:bubble3D val="0"/>
            <c:spPr>
              <a:noFill/>
              <a:ln w="3175">
                <a:noFill/>
              </a:ln>
              <a:scene3d>
                <a:camera prst="orthographicFront"/>
                <a:lightRig rig="threePt" dir="t"/>
              </a:scene3d>
            </c:spPr>
          </c:dPt>
          <c:dPt>
            <c:idx val="5"/>
            <c:invertIfNegative val="0"/>
            <c:bubble3D val="0"/>
            <c:spPr>
              <a:noFill/>
              <a:ln w="3175">
                <a:noFill/>
              </a:ln>
              <a:scene3d>
                <a:camera prst="orthographicFront"/>
                <a:lightRig rig="threePt" dir="t"/>
              </a:scene3d>
            </c:spPr>
          </c:dPt>
          <c:dLbls>
            <c:spPr>
              <a:solidFill>
                <a:srgbClr val="4D4D4D">
                  <a:lumMod val="20000"/>
                  <a:lumOff val="80000"/>
                </a:srgbClr>
              </a:solidFill>
              <a:ln w="6350">
                <a:solidFill>
                  <a:sysClr val="window" lastClr="FFFFFF">
                    <a:lumMod val="65000"/>
                  </a:sysClr>
                </a:solidFill>
              </a:ln>
              <a:effectLst/>
            </c:spPr>
            <c:txPr>
              <a:bodyPr wrap="square" lIns="18000" tIns="19050" rIns="18000" bIns="19050" anchor="ctr">
                <a:spAutoFit/>
              </a:bodyPr>
              <a:lstStyle/>
              <a:p>
                <a:pPr>
                  <a:defRPr sz="900" spc="-30" baseline="0"/>
                </a:pPr>
                <a:endParaRPr lang="pl-PL"/>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0"/>
              </c:ext>
            </c:extLst>
          </c:dLbls>
          <c:cat>
            <c:multiLvlStrRef>
              <c:f>'4 dochody,wydatki gr. społ-ek.'!$C$10:$N$11</c:f>
              <c:multiLvlStrCache>
                <c:ptCount val="6"/>
                <c:lvl>
                  <c:pt idx="0">
                    <c:v>2024</c:v>
                  </c:pt>
                  <c:pt idx="1">
                    <c:v>2024</c:v>
                  </c:pt>
                  <c:pt idx="2">
                    <c:v>2024</c:v>
                  </c:pt>
                  <c:pt idx="3">
                    <c:v>2024</c:v>
                  </c:pt>
                  <c:pt idx="4">
                    <c:v>2024</c:v>
                  </c:pt>
                  <c:pt idx="5">
                    <c:v>2024</c:v>
                  </c:pt>
                </c:lvl>
                <c:lvl>
                  <c:pt idx="0">
                    <c:v>Total</c:v>
                  </c:pt>
                  <c:pt idx="1">
                    <c:v>employees</c:v>
                  </c:pt>
                  <c:pt idx="2">
                    <c:v>farmers</c:v>
                  </c:pt>
                  <c:pt idx="3">
                    <c:v>self-employed</c:v>
                  </c:pt>
                  <c:pt idx="4">
                    <c:v>retirees</c:v>
                  </c:pt>
                  <c:pt idx="5">
                    <c:v>pensioners</c:v>
                  </c:pt>
                </c:lvl>
              </c:multiLvlStrCache>
            </c:multiLvlStrRef>
          </c:cat>
          <c:val>
            <c:numRef>
              <c:f>'4 dochody,wydatki gr. społ-ek.'!$C$14:$N$14</c:f>
              <c:numCache>
                <c:formatCode>0.0%</c:formatCode>
                <c:ptCount val="6"/>
                <c:pt idx="0">
                  <c:v>0.59311309465548101</c:v>
                </c:pt>
                <c:pt idx="1">
                  <c:v>0.58809322850974111</c:v>
                </c:pt>
                <c:pt idx="2">
                  <c:v>0.39616888571929337</c:v>
                </c:pt>
                <c:pt idx="3">
                  <c:v>0.56761270983846202</c:v>
                </c:pt>
                <c:pt idx="4">
                  <c:v>0.6527018741611017</c:v>
                </c:pt>
                <c:pt idx="5">
                  <c:v>0.77693655285628527</c:v>
                </c:pt>
              </c:numCache>
            </c:numRef>
          </c:val>
          <c:extLst xmlns:c16r2="http://schemas.microsoft.com/office/drawing/2015/06/chart">
            <c:ext xmlns:c16="http://schemas.microsoft.com/office/drawing/2014/chart" uri="{C3380CC4-5D6E-409C-BE32-E72D297353CC}">
              <c16:uniqueId val="{0000001E-9146-481E-A3D3-ADEB64C7EE40}"/>
            </c:ext>
          </c:extLst>
        </c:ser>
        <c:dLbls>
          <c:showLegendKey val="0"/>
          <c:showVal val="0"/>
          <c:showCatName val="0"/>
          <c:showSerName val="0"/>
          <c:showPercent val="0"/>
          <c:showBubbleSize val="0"/>
        </c:dLbls>
        <c:gapWidth val="500"/>
        <c:overlap val="-100"/>
        <c:axId val="-83296512"/>
        <c:axId val="-83298688"/>
      </c:barChart>
      <c:catAx>
        <c:axId val="-83299232"/>
        <c:scaling>
          <c:orientation val="minMax"/>
        </c:scaling>
        <c:delete val="0"/>
        <c:axPos val="b"/>
        <c:numFmt formatCode="General" sourceLinked="1"/>
        <c:majorTickMark val="out"/>
        <c:minorTickMark val="none"/>
        <c:tickLblPos val="nextTo"/>
        <c:spPr>
          <a:ln w="9525">
            <a:solidFill>
              <a:sysClr val="windowText" lastClr="000000"/>
            </a:solidFill>
          </a:ln>
        </c:spPr>
        <c:crossAx val="-83293792"/>
        <c:crosses val="autoZero"/>
        <c:auto val="1"/>
        <c:lblAlgn val="ctr"/>
        <c:lblOffset val="100"/>
        <c:noMultiLvlLbl val="0"/>
      </c:catAx>
      <c:valAx>
        <c:axId val="-83293792"/>
        <c:scaling>
          <c:orientation val="minMax"/>
          <c:max val="400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83299232"/>
        <c:crosses val="autoZero"/>
        <c:crossBetween val="between"/>
        <c:majorUnit val="1000"/>
      </c:valAx>
      <c:valAx>
        <c:axId val="-83298688"/>
        <c:scaling>
          <c:orientation val="minMax"/>
          <c:max val="1"/>
          <c:min val="0.60000000000000064"/>
        </c:scaling>
        <c:delete val="1"/>
        <c:axPos val="r"/>
        <c:numFmt formatCode="0.0%" sourceLinked="1"/>
        <c:majorTickMark val="none"/>
        <c:minorTickMark val="none"/>
        <c:tickLblPos val="none"/>
        <c:crossAx val="-83296512"/>
        <c:crosses val="max"/>
        <c:crossBetween val="between"/>
      </c:valAx>
      <c:catAx>
        <c:axId val="-83296512"/>
        <c:scaling>
          <c:orientation val="minMax"/>
        </c:scaling>
        <c:delete val="1"/>
        <c:axPos val="b"/>
        <c:numFmt formatCode="General" sourceLinked="1"/>
        <c:majorTickMark val="out"/>
        <c:minorTickMark val="none"/>
        <c:tickLblPos val="none"/>
        <c:crossAx val="-83298688"/>
        <c:crosses val="autoZero"/>
        <c:auto val="1"/>
        <c:lblAlgn val="ctr"/>
        <c:lblOffset val="100"/>
        <c:noMultiLvlLbl val="0"/>
      </c:catAx>
    </c:plotArea>
    <c:legend>
      <c:legendPos val="r"/>
      <c:layout>
        <c:manualLayout>
          <c:xMode val="edge"/>
          <c:yMode val="edge"/>
          <c:x val="6.7069786600215328E-2"/>
          <c:y val="0.12917583288666099"/>
          <c:w val="0.92993765184556387"/>
          <c:h val="9.1484669470825578E-2"/>
        </c:manualLayout>
      </c:layout>
      <c:overlay val="0"/>
      <c:spPr>
        <a:solidFill>
          <a:sysClr val="window" lastClr="FFFFFF"/>
        </a:solidFill>
        <a:ln w="6350">
          <a:noFill/>
        </a:ln>
      </c:spPr>
    </c:legend>
    <c:plotVisOnly val="1"/>
    <c:dispBlanksAs val="gap"/>
    <c:showDLblsOverMax val="0"/>
  </c:chart>
  <c:spPr>
    <a:ln>
      <a:noFill/>
    </a:ln>
  </c:spPr>
  <c:txPr>
    <a:bodyPr/>
    <a:lstStyle/>
    <a:p>
      <a:pPr algn="ct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04682242908554E-2"/>
          <c:y val="0.2503983958526923"/>
          <c:w val="0.92499607128878325"/>
          <c:h val="0.659591351363366"/>
        </c:manualLayout>
      </c:layout>
      <c:barChart>
        <c:barDir val="col"/>
        <c:grouping val="clustered"/>
        <c:varyColors val="0"/>
        <c:ser>
          <c:idx val="0"/>
          <c:order val="0"/>
          <c:tx>
            <c:strRef>
              <c:f>'59 pomoc Ukr. kwintyle'!$C$13</c:f>
              <c:strCache>
                <c:ptCount val="1"/>
                <c:pt idx="0">
                  <c:v>1st quarter</c:v>
                </c:pt>
              </c:strCache>
            </c:strRef>
          </c:tx>
          <c:spPr>
            <a:solidFill>
              <a:srgbClr val="001D77"/>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'59 pomoc Ukr. kwintyle'!$B$14:$B$19</c:f>
              <c:strCache>
                <c:ptCount val="6"/>
                <c:pt idx="0">
                  <c:v>Poland</c:v>
                </c:pt>
                <c:pt idx="1">
                  <c:v>first</c:v>
                </c:pt>
                <c:pt idx="2">
                  <c:v>second</c:v>
                </c:pt>
                <c:pt idx="3">
                  <c:v>third</c:v>
                </c:pt>
                <c:pt idx="4">
                  <c:v>fourth</c:v>
                </c:pt>
                <c:pt idx="5">
                  <c:v>fifth</c:v>
                </c:pt>
              </c:strCache>
            </c:strRef>
          </c:cat>
          <c:val>
            <c:numRef>
              <c:f>'59 pomoc Ukr. kwintyle'!$C$14:$C$19</c:f>
              <c:numCache>
                <c:formatCode>0.0%</c:formatCode>
                <c:ptCount val="6"/>
                <c:pt idx="0">
                  <c:v>8.900000000000001E-2</c:v>
                </c:pt>
                <c:pt idx="1">
                  <c:v>8.1000000000000003E-2</c:v>
                </c:pt>
                <c:pt idx="2">
                  <c:v>5.9000000000000004E-2</c:v>
                </c:pt>
                <c:pt idx="3">
                  <c:v>7.5999999999999998E-2</c:v>
                </c:pt>
                <c:pt idx="4">
                  <c:v>9.6999999999999989E-2</c:v>
                </c:pt>
                <c:pt idx="5">
                  <c:v>0.115</c:v>
                </c:pt>
              </c:numCache>
            </c:numRef>
          </c:val>
          <c:extLst xmlns:c16r2="http://schemas.microsoft.com/office/drawing/2015/06/chart">
            <c:ext xmlns:c16="http://schemas.microsoft.com/office/drawing/2014/chart" uri="{C3380CC4-5D6E-409C-BE32-E72D297353CC}">
              <c16:uniqueId val="{00000000-D2E6-44BB-8992-115F0DCEC09A}"/>
            </c:ext>
          </c:extLst>
        </c:ser>
        <c:ser>
          <c:idx val="1"/>
          <c:order val="1"/>
          <c:tx>
            <c:strRef>
              <c:f>'59 pomoc Ukr. kwintyle'!$D$13</c:f>
              <c:strCache>
                <c:ptCount val="1"/>
                <c:pt idx="0">
                  <c:v>2nd quarter</c:v>
                </c:pt>
              </c:strCache>
            </c:strRef>
          </c:tx>
          <c:spPr>
            <a:solidFill>
              <a:srgbClr val="334A9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'59 pomoc Ukr. kwintyle'!$B$14:$B$19</c:f>
              <c:strCache>
                <c:ptCount val="6"/>
                <c:pt idx="0">
                  <c:v>Poland</c:v>
                </c:pt>
                <c:pt idx="1">
                  <c:v>first</c:v>
                </c:pt>
                <c:pt idx="2">
                  <c:v>second</c:v>
                </c:pt>
                <c:pt idx="3">
                  <c:v>third</c:v>
                </c:pt>
                <c:pt idx="4">
                  <c:v>fourth</c:v>
                </c:pt>
                <c:pt idx="5">
                  <c:v>fifth</c:v>
                </c:pt>
              </c:strCache>
            </c:strRef>
          </c:cat>
          <c:val>
            <c:numRef>
              <c:f>'59 pomoc Ukr. kwintyle'!$D$14:$D$19</c:f>
              <c:numCache>
                <c:formatCode>0.0%</c:formatCode>
                <c:ptCount val="6"/>
                <c:pt idx="0">
                  <c:v>8.1000000000000003E-2</c:v>
                </c:pt>
                <c:pt idx="1">
                  <c:v>0.05</c:v>
                </c:pt>
                <c:pt idx="2">
                  <c:v>6.6000000000000003E-2</c:v>
                </c:pt>
                <c:pt idx="3">
                  <c:v>6.3E-2</c:v>
                </c:pt>
                <c:pt idx="4">
                  <c:v>0.08</c:v>
                </c:pt>
                <c:pt idx="5">
                  <c:v>0.121</c:v>
                </c:pt>
              </c:numCache>
            </c:numRef>
          </c:val>
          <c:extLst xmlns:c16r2="http://schemas.microsoft.com/office/drawing/2015/06/chart">
            <c:ext xmlns:c16="http://schemas.microsoft.com/office/drawing/2014/chart" uri="{C3380CC4-5D6E-409C-BE32-E72D297353CC}">
              <c16:uniqueId val="{00000001-D2E6-44BB-8992-115F0DCEC09A}"/>
            </c:ext>
          </c:extLst>
        </c:ser>
        <c:ser>
          <c:idx val="2"/>
          <c:order val="2"/>
          <c:tx>
            <c:strRef>
              <c:f>'59 pomoc Ukr. kwintyle'!$E$13</c:f>
              <c:strCache>
                <c:ptCount val="1"/>
                <c:pt idx="0">
                  <c:v>3rd quarter</c:v>
                </c:pt>
              </c:strCache>
            </c:strRef>
          </c:tx>
          <c:spPr>
            <a:solidFill>
              <a:srgbClr val="6677AD"/>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'59 pomoc Ukr. kwintyle'!$B$14:$B$19</c:f>
              <c:strCache>
                <c:ptCount val="6"/>
                <c:pt idx="0">
                  <c:v>Poland</c:v>
                </c:pt>
                <c:pt idx="1">
                  <c:v>first</c:v>
                </c:pt>
                <c:pt idx="2">
                  <c:v>second</c:v>
                </c:pt>
                <c:pt idx="3">
                  <c:v>third</c:v>
                </c:pt>
                <c:pt idx="4">
                  <c:v>fourth</c:v>
                </c:pt>
                <c:pt idx="5">
                  <c:v>fifth</c:v>
                </c:pt>
              </c:strCache>
            </c:strRef>
          </c:cat>
          <c:val>
            <c:numRef>
              <c:f>'59 pomoc Ukr. kwintyle'!$E$14:$E$19</c:f>
              <c:numCache>
                <c:formatCode>0.0%</c:formatCode>
                <c:ptCount val="6"/>
                <c:pt idx="0">
                  <c:v>7.2000000000000008E-2</c:v>
                </c:pt>
                <c:pt idx="1">
                  <c:v>5.5E-2</c:v>
                </c:pt>
                <c:pt idx="2">
                  <c:v>6.0999999999999999E-2</c:v>
                </c:pt>
                <c:pt idx="3">
                  <c:v>5.0999999999999997E-2</c:v>
                </c:pt>
                <c:pt idx="4">
                  <c:v>8.199999999999999E-2</c:v>
                </c:pt>
                <c:pt idx="5">
                  <c:v>9.4E-2</c:v>
                </c:pt>
              </c:numCache>
            </c:numRef>
          </c:val>
          <c:extLst xmlns:c16r2="http://schemas.microsoft.com/office/drawing/2015/06/chart">
            <c:ext xmlns:c16="http://schemas.microsoft.com/office/drawing/2014/chart" uri="{C3380CC4-5D6E-409C-BE32-E72D297353CC}">
              <c16:uniqueId val="{00000002-D2E6-44BB-8992-115F0DCEC09A}"/>
            </c:ext>
          </c:extLst>
        </c:ser>
        <c:ser>
          <c:idx val="3"/>
          <c:order val="3"/>
          <c:tx>
            <c:strRef>
              <c:f>'59 pomoc Ukr. kwintyle'!$F$13</c:f>
              <c:strCache>
                <c:ptCount val="1"/>
                <c:pt idx="0">
                  <c:v>4th quarter</c:v>
                </c:pt>
              </c:strCache>
            </c:strRef>
          </c:tx>
          <c:spPr>
            <a:solidFill>
              <a:srgbClr val="99A4C8"/>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'59 pomoc Ukr. kwintyle'!$B$14:$B$19</c:f>
              <c:strCache>
                <c:ptCount val="6"/>
                <c:pt idx="0">
                  <c:v>Poland</c:v>
                </c:pt>
                <c:pt idx="1">
                  <c:v>first</c:v>
                </c:pt>
                <c:pt idx="2">
                  <c:v>second</c:v>
                </c:pt>
                <c:pt idx="3">
                  <c:v>third</c:v>
                </c:pt>
                <c:pt idx="4">
                  <c:v>fourth</c:v>
                </c:pt>
                <c:pt idx="5">
                  <c:v>fifth</c:v>
                </c:pt>
              </c:strCache>
            </c:strRef>
          </c:cat>
          <c:val>
            <c:numRef>
              <c:f>'59 pomoc Ukr. kwintyle'!$F$14:$F$19</c:f>
              <c:numCache>
                <c:formatCode>0.0%</c:formatCode>
                <c:ptCount val="6"/>
                <c:pt idx="0">
                  <c:v>0.06</c:v>
                </c:pt>
                <c:pt idx="1">
                  <c:v>4.2000000000000003E-2</c:v>
                </c:pt>
                <c:pt idx="2">
                  <c:v>4.8000000000000001E-2</c:v>
                </c:pt>
                <c:pt idx="3">
                  <c:v>5.7000000000000002E-2</c:v>
                </c:pt>
                <c:pt idx="4">
                  <c:v>7.0000000000000007E-2</c:v>
                </c:pt>
                <c:pt idx="5">
                  <c:v>7.4999999999999997E-2</c:v>
                </c:pt>
              </c:numCache>
            </c:numRef>
          </c:val>
          <c:extLst xmlns:c16r2="http://schemas.microsoft.com/office/drawing/2015/06/chart">
            <c:ext xmlns:c16="http://schemas.microsoft.com/office/drawing/2014/chart" uri="{C3380CC4-5D6E-409C-BE32-E72D297353CC}">
              <c16:uniqueId val="{00000003-D2E6-44BB-8992-115F0DCEC09A}"/>
            </c:ext>
          </c:extLst>
        </c:ser>
        <c:dLbls>
          <c:dLblPos val="outEnd"/>
          <c:showLegendKey val="0"/>
          <c:showVal val="1"/>
          <c:showCatName val="0"/>
          <c:showSerName val="0"/>
          <c:showPercent val="0"/>
          <c:showBubbleSize val="0"/>
        </c:dLbls>
        <c:gapWidth val="100"/>
        <c:axId val="-2103615904"/>
        <c:axId val="-2103614816"/>
      </c:barChart>
      <c:catAx>
        <c:axId val="-2103615904"/>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2103614816"/>
        <c:crosses val="autoZero"/>
        <c:auto val="1"/>
        <c:lblAlgn val="ctr"/>
        <c:lblOffset val="100"/>
        <c:noMultiLvlLbl val="0"/>
      </c:catAx>
      <c:valAx>
        <c:axId val="-2103614816"/>
        <c:scaling>
          <c:orientation val="minMax"/>
          <c:max val="0.2"/>
        </c:scaling>
        <c:delete val="0"/>
        <c:axPos val="l"/>
        <c:majorGridlines>
          <c:spPr>
            <a:ln w="6350" cap="flat" cmpd="sng" algn="ctr">
              <a:solidFill>
                <a:schemeClr val="bg1">
                  <a:lumMod val="6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2103615904"/>
        <c:crosses val="autoZero"/>
        <c:crossBetween val="between"/>
        <c:majorUnit val="5.000000000000001E-2"/>
        <c:minorUnit val="5.000000000000001E-2"/>
      </c:valAx>
      <c:spPr>
        <a:noFill/>
        <a:ln>
          <a:noFill/>
        </a:ln>
        <a:effectLst/>
      </c:spPr>
    </c:plotArea>
    <c:legend>
      <c:legendPos val="t"/>
      <c:layout>
        <c:manualLayout>
          <c:xMode val="edge"/>
          <c:yMode val="edge"/>
          <c:x val="0.18479759572634305"/>
          <c:y val="0.15086164025308668"/>
          <c:w val="0.67998934123565535"/>
          <c:h val="9.322049281595622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005295219466112E-2"/>
          <c:y val="0.23549149150971174"/>
          <c:w val="0.9175583621032124"/>
          <c:h val="0.53775447308336732"/>
        </c:manualLayout>
      </c:layout>
      <c:barChart>
        <c:barDir val="col"/>
        <c:grouping val="clustered"/>
        <c:varyColors val="0"/>
        <c:ser>
          <c:idx val="0"/>
          <c:order val="0"/>
          <c:tx>
            <c:strRef>
              <c:f>'60 pomoc Ukr. klm'!$C$14</c:f>
              <c:strCache>
                <c:ptCount val="1"/>
                <c:pt idx="0">
                  <c:v>1st quarter</c:v>
                </c:pt>
              </c:strCache>
            </c:strRef>
          </c:tx>
          <c:spPr>
            <a:solidFill>
              <a:srgbClr val="001D77"/>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'60 pomoc Ukr. klm'!$B$15:$B$21</c:f>
              <c:strCache>
                <c:ptCount val="7"/>
                <c:pt idx="0">
                  <c:v>Poland</c:v>
                </c:pt>
                <c:pt idx="1">
                  <c:v>Urban areas 
in total</c:v>
                </c:pt>
                <c:pt idx="2">
                  <c:v>Cities 
500 thousand 
and over</c:v>
                </c:pt>
                <c:pt idx="3">
                  <c:v>Towns 
and cities 
100-499 
thousand</c:v>
                </c:pt>
                <c:pt idx="4">
                  <c:v>Towns 
20-99 
thousand</c:v>
                </c:pt>
                <c:pt idx="5">
                  <c:v>Towns 
below 20 
thousand</c:v>
                </c:pt>
                <c:pt idx="6">
                  <c:v>Rural areas</c:v>
                </c:pt>
              </c:strCache>
            </c:strRef>
          </c:cat>
          <c:val>
            <c:numRef>
              <c:f>'60 pomoc Ukr. klm'!$C$15:$C$21</c:f>
              <c:numCache>
                <c:formatCode>0.0%</c:formatCode>
                <c:ptCount val="7"/>
                <c:pt idx="0">
                  <c:v>8.900000000000001E-2</c:v>
                </c:pt>
                <c:pt idx="1">
                  <c:v>9.6999999999999989E-2</c:v>
                </c:pt>
                <c:pt idx="2">
                  <c:v>0.13900000000000001</c:v>
                </c:pt>
                <c:pt idx="3">
                  <c:v>8.8000000000000009E-2</c:v>
                </c:pt>
                <c:pt idx="4">
                  <c:v>8.8000000000000009E-2</c:v>
                </c:pt>
                <c:pt idx="5">
                  <c:v>7.2999999999999995E-2</c:v>
                </c:pt>
                <c:pt idx="6">
                  <c:v>7.2999999999999995E-2</c:v>
                </c:pt>
              </c:numCache>
            </c:numRef>
          </c:val>
          <c:extLst xmlns:c16r2="http://schemas.microsoft.com/office/drawing/2015/06/chart">
            <c:ext xmlns:c16="http://schemas.microsoft.com/office/drawing/2014/chart" uri="{C3380CC4-5D6E-409C-BE32-E72D297353CC}">
              <c16:uniqueId val="{00000000-2EBC-484F-818E-A3EEAF873955}"/>
            </c:ext>
          </c:extLst>
        </c:ser>
        <c:ser>
          <c:idx val="1"/>
          <c:order val="1"/>
          <c:tx>
            <c:strRef>
              <c:f>'60 pomoc Ukr. klm'!$D$14</c:f>
              <c:strCache>
                <c:ptCount val="1"/>
                <c:pt idx="0">
                  <c:v>2nd quarter</c:v>
                </c:pt>
              </c:strCache>
            </c:strRef>
          </c:tx>
          <c:spPr>
            <a:solidFill>
              <a:srgbClr val="334A9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'60 pomoc Ukr. klm'!$B$15:$B$21</c:f>
              <c:strCache>
                <c:ptCount val="7"/>
                <c:pt idx="0">
                  <c:v>Poland</c:v>
                </c:pt>
                <c:pt idx="1">
                  <c:v>Urban areas 
in total</c:v>
                </c:pt>
                <c:pt idx="2">
                  <c:v>Cities 
500 thousand 
and over</c:v>
                </c:pt>
                <c:pt idx="3">
                  <c:v>Towns 
and cities 
100-499 
thousand</c:v>
                </c:pt>
                <c:pt idx="4">
                  <c:v>Towns 
20-99 
thousand</c:v>
                </c:pt>
                <c:pt idx="5">
                  <c:v>Towns 
below 20 
thousand</c:v>
                </c:pt>
                <c:pt idx="6">
                  <c:v>Rural areas</c:v>
                </c:pt>
              </c:strCache>
            </c:strRef>
          </c:cat>
          <c:val>
            <c:numRef>
              <c:f>'60 pomoc Ukr. klm'!$D$15:$D$21</c:f>
              <c:numCache>
                <c:formatCode>0.0%</c:formatCode>
                <c:ptCount val="7"/>
                <c:pt idx="0">
                  <c:v>8.1000000000000003E-2</c:v>
                </c:pt>
                <c:pt idx="1">
                  <c:v>9.9000000000000005E-2</c:v>
                </c:pt>
                <c:pt idx="2">
                  <c:v>0.122</c:v>
                </c:pt>
                <c:pt idx="3">
                  <c:v>9.0999999999999998E-2</c:v>
                </c:pt>
                <c:pt idx="4">
                  <c:v>0.109</c:v>
                </c:pt>
                <c:pt idx="5">
                  <c:v>7.2000000000000008E-2</c:v>
                </c:pt>
                <c:pt idx="6">
                  <c:v>4.4000000000000004E-2</c:v>
                </c:pt>
              </c:numCache>
            </c:numRef>
          </c:val>
          <c:extLst xmlns:c16r2="http://schemas.microsoft.com/office/drawing/2015/06/chart">
            <c:ext xmlns:c16="http://schemas.microsoft.com/office/drawing/2014/chart" uri="{C3380CC4-5D6E-409C-BE32-E72D297353CC}">
              <c16:uniqueId val="{00000001-2EBC-484F-818E-A3EEAF873955}"/>
            </c:ext>
          </c:extLst>
        </c:ser>
        <c:ser>
          <c:idx val="2"/>
          <c:order val="2"/>
          <c:tx>
            <c:strRef>
              <c:f>'60 pomoc Ukr. klm'!$E$14</c:f>
              <c:strCache>
                <c:ptCount val="1"/>
                <c:pt idx="0">
                  <c:v>3rd quarter</c:v>
                </c:pt>
              </c:strCache>
            </c:strRef>
          </c:tx>
          <c:spPr>
            <a:solidFill>
              <a:srgbClr val="6677AD"/>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'60 pomoc Ukr. klm'!$B$15:$B$21</c:f>
              <c:strCache>
                <c:ptCount val="7"/>
                <c:pt idx="0">
                  <c:v>Poland</c:v>
                </c:pt>
                <c:pt idx="1">
                  <c:v>Urban areas 
in total</c:v>
                </c:pt>
                <c:pt idx="2">
                  <c:v>Cities 
500 thousand 
and over</c:v>
                </c:pt>
                <c:pt idx="3">
                  <c:v>Towns 
and cities 
100-499 
thousand</c:v>
                </c:pt>
                <c:pt idx="4">
                  <c:v>Towns 
20-99 
thousand</c:v>
                </c:pt>
                <c:pt idx="5">
                  <c:v>Towns 
below 20 
thousand</c:v>
                </c:pt>
                <c:pt idx="6">
                  <c:v>Rural areas</c:v>
                </c:pt>
              </c:strCache>
            </c:strRef>
          </c:cat>
          <c:val>
            <c:numRef>
              <c:f>'60 pomoc Ukr. klm'!$E$15:$E$21</c:f>
              <c:numCache>
                <c:formatCode>0.0%</c:formatCode>
                <c:ptCount val="7"/>
                <c:pt idx="0">
                  <c:v>7.2000000000000008E-2</c:v>
                </c:pt>
                <c:pt idx="1">
                  <c:v>8.6999999999999994E-2</c:v>
                </c:pt>
                <c:pt idx="2">
                  <c:v>0.13200000000000001</c:v>
                </c:pt>
                <c:pt idx="3">
                  <c:v>6.8000000000000005E-2</c:v>
                </c:pt>
                <c:pt idx="4">
                  <c:v>8.199999999999999E-2</c:v>
                </c:pt>
                <c:pt idx="5">
                  <c:v>6.4000000000000001E-2</c:v>
                </c:pt>
                <c:pt idx="6">
                  <c:v>4.2000000000000003E-2</c:v>
                </c:pt>
              </c:numCache>
            </c:numRef>
          </c:val>
          <c:extLst xmlns:c16r2="http://schemas.microsoft.com/office/drawing/2015/06/chart">
            <c:ext xmlns:c16="http://schemas.microsoft.com/office/drawing/2014/chart" uri="{C3380CC4-5D6E-409C-BE32-E72D297353CC}">
              <c16:uniqueId val="{00000002-2EBC-484F-818E-A3EEAF873955}"/>
            </c:ext>
          </c:extLst>
        </c:ser>
        <c:ser>
          <c:idx val="3"/>
          <c:order val="3"/>
          <c:tx>
            <c:strRef>
              <c:f>'60 pomoc Ukr. klm'!$F$14</c:f>
              <c:strCache>
                <c:ptCount val="1"/>
                <c:pt idx="0">
                  <c:v>4th quarter</c:v>
                </c:pt>
              </c:strCache>
            </c:strRef>
          </c:tx>
          <c:spPr>
            <a:solidFill>
              <a:srgbClr val="99A4C8"/>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'60 pomoc Ukr. klm'!$B$15:$B$21</c:f>
              <c:strCache>
                <c:ptCount val="7"/>
                <c:pt idx="0">
                  <c:v>Poland</c:v>
                </c:pt>
                <c:pt idx="1">
                  <c:v>Urban areas 
in total</c:v>
                </c:pt>
                <c:pt idx="2">
                  <c:v>Cities 
500 thousand 
and over</c:v>
                </c:pt>
                <c:pt idx="3">
                  <c:v>Towns 
and cities 
100-499 
thousand</c:v>
                </c:pt>
                <c:pt idx="4">
                  <c:v>Towns 
20-99 
thousand</c:v>
                </c:pt>
                <c:pt idx="5">
                  <c:v>Towns 
below 20 
thousand</c:v>
                </c:pt>
                <c:pt idx="6">
                  <c:v>Rural areas</c:v>
                </c:pt>
              </c:strCache>
            </c:strRef>
          </c:cat>
          <c:val>
            <c:numRef>
              <c:f>'60 pomoc Ukr. klm'!$F$15:$F$21</c:f>
              <c:numCache>
                <c:formatCode>0.0%</c:formatCode>
                <c:ptCount val="7"/>
                <c:pt idx="0">
                  <c:v>0.06</c:v>
                </c:pt>
                <c:pt idx="1">
                  <c:v>6.3E-2</c:v>
                </c:pt>
                <c:pt idx="2">
                  <c:v>8.4000000000000005E-2</c:v>
                </c:pt>
                <c:pt idx="3">
                  <c:v>8.1000000000000003E-2</c:v>
                </c:pt>
                <c:pt idx="4">
                  <c:v>5.2000000000000005E-2</c:v>
                </c:pt>
                <c:pt idx="5">
                  <c:v>3.3000000000000002E-2</c:v>
                </c:pt>
                <c:pt idx="6">
                  <c:v>5.4000000000000006E-2</c:v>
                </c:pt>
              </c:numCache>
            </c:numRef>
          </c:val>
          <c:extLst xmlns:c16r2="http://schemas.microsoft.com/office/drawing/2015/06/chart">
            <c:ext xmlns:c16="http://schemas.microsoft.com/office/drawing/2014/chart" uri="{C3380CC4-5D6E-409C-BE32-E72D297353CC}">
              <c16:uniqueId val="{00000003-2EBC-484F-818E-A3EEAF873955}"/>
            </c:ext>
          </c:extLst>
        </c:ser>
        <c:dLbls>
          <c:dLblPos val="outEnd"/>
          <c:showLegendKey val="0"/>
          <c:showVal val="1"/>
          <c:showCatName val="0"/>
          <c:showSerName val="0"/>
          <c:showPercent val="0"/>
          <c:showBubbleSize val="0"/>
        </c:dLbls>
        <c:gapWidth val="100"/>
        <c:axId val="-75152160"/>
        <c:axId val="-75148896"/>
      </c:barChart>
      <c:catAx>
        <c:axId val="-7515216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75148896"/>
        <c:crosses val="autoZero"/>
        <c:auto val="1"/>
        <c:lblAlgn val="ctr"/>
        <c:lblOffset val="100"/>
        <c:noMultiLvlLbl val="0"/>
      </c:catAx>
      <c:valAx>
        <c:axId val="-75148896"/>
        <c:scaling>
          <c:orientation val="minMax"/>
          <c:max val="0.2"/>
        </c:scaling>
        <c:delete val="0"/>
        <c:axPos val="l"/>
        <c:majorGridlines>
          <c:spPr>
            <a:ln w="6350" cap="flat" cmpd="sng" algn="ctr">
              <a:solidFill>
                <a:schemeClr val="bg1">
                  <a:lumMod val="6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75152160"/>
        <c:crosses val="autoZero"/>
        <c:crossBetween val="between"/>
        <c:majorUnit val="5.000000000000001E-2"/>
        <c:minorUnit val="5.000000000000001E-2"/>
      </c:valAx>
      <c:spPr>
        <a:noFill/>
        <a:ln>
          <a:noFill/>
        </a:ln>
        <a:effectLst/>
      </c:spPr>
    </c:plotArea>
    <c:legend>
      <c:legendPos val="t"/>
      <c:layout>
        <c:manualLayout>
          <c:xMode val="edge"/>
          <c:yMode val="edge"/>
          <c:x val="0.17735988654077223"/>
          <c:y val="0.14633881416111996"/>
          <c:w val="0.6874270504212262"/>
          <c:h val="8.224708956584396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725659292588453E-2"/>
          <c:y val="0.25184207808487985"/>
          <c:w val="0.91432281902262214"/>
          <c:h val="0.64955145532181602"/>
        </c:manualLayout>
      </c:layout>
      <c:barChart>
        <c:barDir val="col"/>
        <c:grouping val="clustered"/>
        <c:varyColors val="0"/>
        <c:ser>
          <c:idx val="0"/>
          <c:order val="0"/>
          <c:tx>
            <c:strRef>
              <c:f>'3 wskaź. doch,wyd gosp. ogółem'!$B$10</c:f>
              <c:strCache>
                <c:ptCount val="1"/>
                <c:pt idx="0">
                  <c:v>Available income </c:v>
                </c:pt>
              </c:strCache>
            </c:strRef>
          </c:tx>
          <c:spPr>
            <a:solidFill>
              <a:srgbClr val="334A92"/>
            </a:solidFill>
            <a:scene3d>
              <a:camera prst="orthographicFront"/>
              <a:lightRig rig="threePt" dir="t"/>
            </a:scene3d>
          </c:spPr>
          <c:invertIfNegative val="0"/>
          <c:dLbls>
            <c:dLbl>
              <c:idx val="2"/>
              <c:layout>
                <c:manualLayout>
                  <c:x val="-2.4792363951903723E-3"/>
                  <c:y val="4.522840343735866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D62-45BD-890F-F6F1B1004425}"/>
                </c:ext>
                <c:ext xmlns:c15="http://schemas.microsoft.com/office/drawing/2012/chart" uri="{CE6537A1-D6FC-4f65-9D91-7224C49458BB}">
                  <c15:layout/>
                </c:ext>
              </c:extLst>
            </c:dLbl>
            <c:numFmt formatCode="0.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 wskaź. doch,wyd gosp. ogółem'!$C$9:$G$9</c:f>
              <c:strCache>
                <c:ptCount val="5"/>
                <c:pt idx="0">
                  <c:v>employees</c:v>
                </c:pt>
                <c:pt idx="1">
                  <c:v>farmers</c:v>
                </c:pt>
                <c:pt idx="2">
                  <c:v>self-employed</c:v>
                </c:pt>
                <c:pt idx="3">
                  <c:v>retirees</c:v>
                </c:pt>
                <c:pt idx="4">
                  <c:v>pensioners</c:v>
                </c:pt>
              </c:strCache>
            </c:strRef>
          </c:cat>
          <c:val>
            <c:numRef>
              <c:f>'3 wskaź. doch,wyd gosp. ogółem'!$C$10:$G$10</c:f>
              <c:numCache>
                <c:formatCode>0.0%</c:formatCode>
                <c:ptCount val="5"/>
                <c:pt idx="0">
                  <c:v>0.99881282027803997</c:v>
                </c:pt>
                <c:pt idx="1">
                  <c:v>1.0448507658256423</c:v>
                </c:pt>
                <c:pt idx="2">
                  <c:v>1.1965950675208468</c:v>
                </c:pt>
                <c:pt idx="3">
                  <c:v>0.95269593990849866</c:v>
                </c:pt>
                <c:pt idx="4">
                  <c:v>0.77318552524809214</c:v>
                </c:pt>
              </c:numCache>
            </c:numRef>
          </c:val>
          <c:extLst xmlns:c16r2="http://schemas.microsoft.com/office/drawing/2015/06/chart">
            <c:ext xmlns:c16="http://schemas.microsoft.com/office/drawing/2014/chart" uri="{C3380CC4-5D6E-409C-BE32-E72D297353CC}">
              <c16:uniqueId val="{00000001-DD62-45BD-890F-F6F1B1004425}"/>
            </c:ext>
          </c:extLst>
        </c:ser>
        <c:ser>
          <c:idx val="1"/>
          <c:order val="1"/>
          <c:tx>
            <c:strRef>
              <c:f>'3 wskaź. doch,wyd gosp. ogółem'!$B$11</c:f>
              <c:strCache>
                <c:ptCount val="1"/>
                <c:pt idx="0">
                  <c:v>Expenditure</c:v>
                </c:pt>
              </c:strCache>
            </c:strRef>
          </c:tx>
          <c:spPr>
            <a:solidFill>
              <a:srgbClr val="66B68E"/>
            </a:solidFill>
            <a:scene3d>
              <a:camera prst="orthographicFront"/>
              <a:lightRig rig="threePt" dir="t"/>
            </a:scene3d>
          </c:spPr>
          <c:invertIfNegative val="0"/>
          <c:dLbls>
            <c:dLbl>
              <c:idx val="2"/>
              <c:layout>
                <c:manualLayout>
                  <c:x val="7.437709185570753E-3"/>
                  <c:y val="-3.9924045181944231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 wskaź. doch,wyd gosp. ogółem'!$C$9:$G$9</c:f>
              <c:strCache>
                <c:ptCount val="5"/>
                <c:pt idx="0">
                  <c:v>employees</c:v>
                </c:pt>
                <c:pt idx="1">
                  <c:v>farmers</c:v>
                </c:pt>
                <c:pt idx="2">
                  <c:v>self-employed</c:v>
                </c:pt>
                <c:pt idx="3">
                  <c:v>retirees</c:v>
                </c:pt>
                <c:pt idx="4">
                  <c:v>pensioners</c:v>
                </c:pt>
              </c:strCache>
            </c:strRef>
          </c:cat>
          <c:val>
            <c:numRef>
              <c:f>'3 wskaź. doch,wyd gosp. ogółem'!$C$11:$G$11</c:f>
              <c:numCache>
                <c:formatCode>0.0%</c:formatCode>
                <c:ptCount val="5"/>
                <c:pt idx="0">
                  <c:v>0.99035927793067846</c:v>
                </c:pt>
                <c:pt idx="1">
                  <c:v>0.69790629707903684</c:v>
                </c:pt>
                <c:pt idx="2">
                  <c:v>1.1451484969310457</c:v>
                </c:pt>
                <c:pt idx="3">
                  <c:v>1.0484112239085648</c:v>
                </c:pt>
                <c:pt idx="4">
                  <c:v>1.0128188065946584</c:v>
                </c:pt>
              </c:numCache>
            </c:numRef>
          </c:val>
          <c:extLst xmlns:c16r2="http://schemas.microsoft.com/office/drawing/2015/06/chart">
            <c:ext xmlns:c16="http://schemas.microsoft.com/office/drawing/2014/chart" uri="{C3380CC4-5D6E-409C-BE32-E72D297353CC}">
              <c16:uniqueId val="{00000003-DD62-45BD-890F-F6F1B1004425}"/>
            </c:ext>
          </c:extLst>
        </c:ser>
        <c:dLbls>
          <c:showLegendKey val="0"/>
          <c:showVal val="0"/>
          <c:showCatName val="0"/>
          <c:showSerName val="0"/>
          <c:showPercent val="0"/>
          <c:showBubbleSize val="0"/>
        </c:dLbls>
        <c:gapWidth val="50"/>
        <c:axId val="-83295424"/>
        <c:axId val="-75155376"/>
      </c:barChart>
      <c:catAx>
        <c:axId val="-83295424"/>
        <c:scaling>
          <c:orientation val="minMax"/>
        </c:scaling>
        <c:delete val="0"/>
        <c:axPos val="b"/>
        <c:numFmt formatCode="General" sourceLinked="1"/>
        <c:majorTickMark val="none"/>
        <c:minorTickMark val="none"/>
        <c:tickLblPos val="low"/>
        <c:spPr>
          <a:ln w="9525">
            <a:solidFill>
              <a:sysClr val="windowText" lastClr="000000"/>
            </a:solidFill>
          </a:ln>
        </c:spPr>
        <c:crossAx val="-75155376"/>
        <c:crossesAt val="1"/>
        <c:auto val="1"/>
        <c:lblAlgn val="ctr"/>
        <c:lblOffset val="100"/>
        <c:noMultiLvlLbl val="0"/>
      </c:catAx>
      <c:valAx>
        <c:axId val="-75155376"/>
        <c:scaling>
          <c:orientation val="minMax"/>
          <c:max val="1.3"/>
          <c:min val="0.60000000000000309"/>
        </c:scaling>
        <c:delete val="0"/>
        <c:axPos val="l"/>
        <c:majorGridlines>
          <c:spPr>
            <a:ln w="6350">
              <a:solidFill>
                <a:schemeClr val="bg1">
                  <a:lumMod val="65000"/>
                </a:scheme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83295424"/>
        <c:crossesAt val="1"/>
        <c:crossBetween val="between"/>
      </c:valAx>
    </c:plotArea>
    <c:legend>
      <c:legendPos val="r"/>
      <c:legendEntry>
        <c:idx val="0"/>
        <c:txPr>
          <a:bodyPr/>
          <a:lstStyle/>
          <a:p>
            <a:pPr>
              <a:defRPr sz="900"/>
            </a:pPr>
            <a:endParaRPr lang="pl-PL"/>
          </a:p>
        </c:txPr>
      </c:legendEntry>
      <c:layout>
        <c:manualLayout>
          <c:xMode val="edge"/>
          <c:yMode val="edge"/>
          <c:x val="7.9866355493216745E-2"/>
          <c:y val="0.16018230907465125"/>
          <c:w val="0.76348026225245469"/>
          <c:h val="8.7264651532130574E-2"/>
        </c:manualLayout>
      </c:layout>
      <c:overlay val="0"/>
      <c:spPr>
        <a:solidFill>
          <a:sysClr val="window" lastClr="FFFFFF"/>
        </a:solidFill>
        <a:ln w="6350">
          <a:noFill/>
        </a:ln>
      </c:spPr>
      <c:txPr>
        <a:bodyPr/>
        <a:lstStyle/>
        <a:p>
          <a:pPr>
            <a:defRPr sz="900"/>
          </a:pPr>
          <a:endParaRPr lang="pl-PL"/>
        </a:p>
      </c:tx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713496750406198"/>
          <c:y val="0.11074432748258516"/>
          <c:w val="0.54659280871141114"/>
          <c:h val="0.72590778201283257"/>
        </c:manualLayout>
      </c:layout>
      <c:barChart>
        <c:barDir val="bar"/>
        <c:grouping val="clustered"/>
        <c:varyColors val="0"/>
        <c:ser>
          <c:idx val="1"/>
          <c:order val="1"/>
          <c:tx>
            <c:strRef>
              <c:f>'6 struktura dochodu'!$D$21</c:f>
              <c:strCache>
                <c:ptCount val="1"/>
                <c:pt idx="0">
                  <c:v>2024</c:v>
                </c:pt>
              </c:strCache>
            </c:strRef>
          </c:tx>
          <c:spPr>
            <a:solidFill>
              <a:srgbClr val="334A92"/>
            </a:solidFill>
          </c:spPr>
          <c:invertIfNegative val="0"/>
          <c:dPt>
            <c:idx val="4"/>
            <c:invertIfNegative val="0"/>
            <c:bubble3D val="0"/>
            <c:spPr>
              <a:solidFill>
                <a:srgbClr val="99A5C9"/>
              </a:solidFill>
            </c:spPr>
            <c:extLst xmlns:c16r2="http://schemas.microsoft.com/office/drawing/2015/06/chart">
              <c:ext xmlns:c16="http://schemas.microsoft.com/office/drawing/2014/chart" uri="{C3380CC4-5D6E-409C-BE32-E72D297353CC}">
                <c16:uniqueId val="{00000008-A024-4FD0-9CF0-E12192553282}"/>
              </c:ext>
            </c:extLst>
          </c:dPt>
          <c:dPt>
            <c:idx val="5"/>
            <c:invertIfNegative val="0"/>
            <c:bubble3D val="0"/>
            <c:spPr>
              <a:solidFill>
                <a:srgbClr val="99A5C9"/>
              </a:solidFill>
            </c:spPr>
            <c:extLst xmlns:c16r2="http://schemas.microsoft.com/office/drawing/2015/06/chart">
              <c:ext xmlns:c16="http://schemas.microsoft.com/office/drawing/2014/chart" uri="{C3380CC4-5D6E-409C-BE32-E72D297353CC}">
                <c16:uniqueId val="{0000000A-A024-4FD0-9CF0-E12192553282}"/>
              </c:ext>
            </c:extLst>
          </c:dPt>
          <c:dPt>
            <c:idx val="7"/>
            <c:invertIfNegative val="0"/>
            <c:bubble3D val="0"/>
            <c:spPr>
              <a:solidFill>
                <a:srgbClr val="99A5C9"/>
              </a:solidFill>
            </c:spPr>
            <c:extLst xmlns:c16r2="http://schemas.microsoft.com/office/drawing/2015/06/chart">
              <c:ext xmlns:c16="http://schemas.microsoft.com/office/drawing/2014/chart" uri="{C3380CC4-5D6E-409C-BE32-E72D297353CC}">
                <c16:uniqueId val="{0000000C-A024-4FD0-9CF0-E12192553282}"/>
              </c:ext>
            </c:extLst>
          </c:dPt>
          <c:dLbls>
            <c:spPr>
              <a:noFill/>
              <a:ln>
                <a:noFill/>
              </a:ln>
              <a:effectLst/>
            </c:spPr>
            <c:txPr>
              <a:bodyPr wrap="square" lIns="38100" tIns="19050" rIns="38100" bIns="19050" anchor="ctr">
                <a:spAutoFit/>
              </a:bodyPr>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'6 struktura dochodu'!$B$22:$B$30</c:f>
              <c:strCache>
                <c:ptCount val="9"/>
                <c:pt idx="0">
                  <c:v>Income from hired work</c:v>
                </c:pt>
                <c:pt idx="1">
                  <c:v>Income from self-employment</c:v>
                </c:pt>
                <c:pt idx="2">
                  <c:v>Income from private farm in agriculture</c:v>
                </c:pt>
                <c:pt idx="3">
                  <c:v>Income from social security benefits</c:v>
                </c:pt>
                <c:pt idx="4">
                  <c:v>   of which: from retirement pensions     </c:v>
                </c:pt>
                <c:pt idx="5">
                  <c:v>   from pensions     </c:v>
                </c:pt>
                <c:pt idx="6">
                  <c:v>Income from other social benefits</c:v>
                </c:pt>
                <c:pt idx="7">
                  <c:v>   of which from child-raising benefit     </c:v>
                </c:pt>
                <c:pt idx="8">
                  <c:v>Other income*</c:v>
                </c:pt>
              </c:strCache>
            </c:strRef>
          </c:cat>
          <c:val>
            <c:numRef>
              <c:f>'6 struktura dochodu'!$D$22:$D$30</c:f>
              <c:numCache>
                <c:formatCode>0.0%</c:formatCode>
                <c:ptCount val="9"/>
                <c:pt idx="0">
                  <c:v>0.54719197264434805</c:v>
                </c:pt>
                <c:pt idx="1">
                  <c:v>0.10281734166464067</c:v>
                </c:pt>
                <c:pt idx="2">
                  <c:v>3.2701118032817937E-2</c:v>
                </c:pt>
                <c:pt idx="3">
                  <c:v>0.23674131795893494</c:v>
                </c:pt>
                <c:pt idx="4">
                  <c:v>0.2109422607564482</c:v>
                </c:pt>
                <c:pt idx="5">
                  <c:v>2.3418382972811687E-2</c:v>
                </c:pt>
                <c:pt idx="6">
                  <c:v>6.4098232807206432E-2</c:v>
                </c:pt>
                <c:pt idx="7">
                  <c:v>4.5886390689479889E-2</c:v>
                </c:pt>
                <c:pt idx="8">
                  <c:v>1.6453174284929449E-2</c:v>
                </c:pt>
              </c:numCache>
            </c:numRef>
          </c:val>
          <c:extLst xmlns:c16r2="http://schemas.microsoft.com/office/drawing/2015/06/chart">
            <c:ext xmlns:c16="http://schemas.microsoft.com/office/drawing/2014/chart" uri="{C3380CC4-5D6E-409C-BE32-E72D297353CC}">
              <c16:uniqueId val="{0000000D-A024-4FD0-9CF0-E12192553282}"/>
            </c:ext>
          </c:extLst>
        </c:ser>
        <c:dLbls>
          <c:showLegendKey val="0"/>
          <c:showVal val="0"/>
          <c:showCatName val="0"/>
          <c:showSerName val="0"/>
          <c:showPercent val="0"/>
          <c:showBubbleSize val="0"/>
        </c:dLbls>
        <c:gapWidth val="50"/>
        <c:axId val="-75160816"/>
        <c:axId val="-75159728"/>
        <c:extLst>
          <c:ext xmlns:c15="http://schemas.microsoft.com/office/drawing/2012/chart" uri="{02D57815-91ED-43cb-92C2-25804820EDAC}">
            <c15:filteredBarSeries>
              <c15:ser>
                <c:idx val="0"/>
                <c:order val="0"/>
                <c:tx>
                  <c:strRef>
                    <c:extLst>
                      <c:ext uri="{02D57815-91ED-43cb-92C2-25804820EDAC}">
                        <c15:formulaRef>
                          <c15:sqref>'6 struktura dochodu'!$C$21</c15:sqref>
                        </c15:formulaRef>
                      </c:ext>
                    </c:extLst>
                    <c:strCache>
                      <c:ptCount val="1"/>
                      <c:pt idx="0">
                        <c:v>2023</c:v>
                      </c:pt>
                    </c:strCache>
                  </c:strRef>
                </c:tx>
                <c:spPr>
                  <a:solidFill>
                    <a:srgbClr val="66B68E"/>
                  </a:solidFill>
                  <a:ln>
                    <a:noFill/>
                  </a:ln>
                  <a:scene3d>
                    <a:camera prst="orthographicFront"/>
                    <a:lightRig rig="threePt" dir="t"/>
                  </a:scene3d>
                </c:spPr>
                <c:invertIfNegative val="0"/>
                <c:dPt>
                  <c:idx val="4"/>
                  <c:invertIfNegative val="0"/>
                  <c:bubble3D val="0"/>
                  <c:spPr>
                    <a:solidFill>
                      <a:srgbClr val="99CEB3"/>
                    </a:solidFill>
                    <a:ln>
                      <a:noFill/>
                    </a:ln>
                    <a:scene3d>
                      <a:camera prst="orthographicFront"/>
                      <a:lightRig rig="threePt" dir="t"/>
                    </a:scene3d>
                  </c:spPr>
                  <c:extLst xmlns:c16r2="http://schemas.microsoft.com/office/drawing/2015/06/chart">
                    <c:ext xmlns:c16="http://schemas.microsoft.com/office/drawing/2014/chart" uri="{C3380CC4-5D6E-409C-BE32-E72D297353CC}">
                      <c16:uniqueId val="{00000001-A024-4FD0-9CF0-E12192553282}"/>
                    </c:ext>
                  </c:extLst>
                </c:dPt>
                <c:dPt>
                  <c:idx val="5"/>
                  <c:invertIfNegative val="0"/>
                  <c:bubble3D val="0"/>
                  <c:spPr>
                    <a:solidFill>
                      <a:srgbClr val="99CEB3"/>
                    </a:solidFill>
                    <a:ln>
                      <a:noFill/>
                    </a:ln>
                    <a:scene3d>
                      <a:camera prst="orthographicFront"/>
                      <a:lightRig rig="threePt" dir="t"/>
                    </a:scene3d>
                  </c:spPr>
                  <c:extLst xmlns:c16r2="http://schemas.microsoft.com/office/drawing/2015/06/chart">
                    <c:ext xmlns:c16="http://schemas.microsoft.com/office/drawing/2014/chart" uri="{C3380CC4-5D6E-409C-BE32-E72D297353CC}">
                      <c16:uniqueId val="{00000003-A024-4FD0-9CF0-E12192553282}"/>
                    </c:ext>
                  </c:extLst>
                </c:dPt>
                <c:dPt>
                  <c:idx val="7"/>
                  <c:invertIfNegative val="0"/>
                  <c:bubble3D val="0"/>
                  <c:spPr>
                    <a:solidFill>
                      <a:srgbClr val="99CEB3"/>
                    </a:solidFill>
                    <a:ln>
                      <a:noFill/>
                    </a:ln>
                    <a:scene3d>
                      <a:camera prst="orthographicFront"/>
                      <a:lightRig rig="threePt" dir="t"/>
                    </a:scene3d>
                  </c:spPr>
                  <c:extLst xmlns:c16r2="http://schemas.microsoft.com/office/drawing/2015/06/chart">
                    <c:ext xmlns:c16="http://schemas.microsoft.com/office/drawing/2014/chart" uri="{C3380CC4-5D6E-409C-BE32-E72D297353CC}">
                      <c16:uniqueId val="{00000005-A024-4FD0-9CF0-E12192553282}"/>
                    </c:ext>
                  </c:extLst>
                </c:dPt>
                <c:dLbls>
                  <c:numFmt formatCode="0.0%" sourceLinked="0"/>
                  <c:spPr>
                    <a:noFill/>
                    <a:ln>
                      <a:noFill/>
                    </a:ln>
                    <a:effectLst/>
                  </c:spPr>
                  <c:txPr>
                    <a:bodyPr wrap="square" lIns="38100" tIns="19050" rIns="38100" bIns="19050" anchor="ctr">
                      <a:spAutoFit/>
                    </a:bodyPr>
                    <a:lstStyle/>
                    <a:p>
                      <a:pPr>
                        <a:defRPr sz="800"/>
                      </a:pPr>
                      <a:endParaRPr lang="pl-PL"/>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0"/>
                    </c:ext>
                  </c:extLst>
                </c:dLbls>
                <c:cat>
                  <c:strRef>
                    <c:extLst>
                      <c:ext uri="{02D57815-91ED-43cb-92C2-25804820EDAC}">
                        <c15:formulaRef>
                          <c15:sqref>'6 struktura dochodu'!$B$22:$B$30</c15:sqref>
                        </c15:formulaRef>
                      </c:ext>
                    </c:extLst>
                    <c:strCache>
                      <c:ptCount val="9"/>
                      <c:pt idx="0">
                        <c:v>Income from hired work</c:v>
                      </c:pt>
                      <c:pt idx="1">
                        <c:v>Income from self-employment</c:v>
                      </c:pt>
                      <c:pt idx="2">
                        <c:v>Income from private farm in agriculture</c:v>
                      </c:pt>
                      <c:pt idx="3">
                        <c:v>Income from social security benefits</c:v>
                      </c:pt>
                      <c:pt idx="4">
                        <c:v>   of which: from retirement pensions     </c:v>
                      </c:pt>
                      <c:pt idx="5">
                        <c:v>   from pensions     </c:v>
                      </c:pt>
                      <c:pt idx="6">
                        <c:v>Income from other social benefits</c:v>
                      </c:pt>
                      <c:pt idx="7">
                        <c:v>   of which from child-raising benefit     </c:v>
                      </c:pt>
                      <c:pt idx="8">
                        <c:v>Other income*</c:v>
                      </c:pt>
                    </c:strCache>
                  </c:strRef>
                </c:cat>
                <c:val>
                  <c:numRef>
                    <c:extLst>
                      <c:ext uri="{02D57815-91ED-43cb-92C2-25804820EDAC}">
                        <c15:formulaRef>
                          <c15:sqref>'6 struktura dochodu'!$C$22:$C$30</c15:sqref>
                        </c15:formulaRef>
                      </c:ext>
                    </c:extLst>
                    <c:numCache>
                      <c:formatCode>0.0%</c:formatCode>
                      <c:ptCount val="9"/>
                      <c:pt idx="0">
                        <c:v>0.55680095583019074</c:v>
                      </c:pt>
                      <c:pt idx="1">
                        <c:v>0.10109397752305566</c:v>
                      </c:pt>
                      <c:pt idx="2">
                        <c:v>2.8962401523354362E-2</c:v>
                      </c:pt>
                      <c:pt idx="3">
                        <c:v>0.24400925960497327</c:v>
                      </c:pt>
                      <c:pt idx="4">
                        <c:v>0.2166374192584849</c:v>
                      </c:pt>
                      <c:pt idx="5">
                        <c:v>2.4351267595116303E-2</c:v>
                      </c:pt>
                      <c:pt idx="6">
                        <c:v>5.1540156069148337E-2</c:v>
                      </c:pt>
                      <c:pt idx="7">
                        <c:v>3.4178396744203414E-2</c:v>
                      </c:pt>
                      <c:pt idx="8">
                        <c:v>1.7589515737594742E-2</c:v>
                      </c:pt>
                    </c:numCache>
                  </c:numRef>
                </c:val>
                <c:extLst xmlns:c16r2="http://schemas.microsoft.com/office/drawing/2015/06/chart">
                  <c:ext xmlns:c16="http://schemas.microsoft.com/office/drawing/2014/chart" uri="{C3380CC4-5D6E-409C-BE32-E72D297353CC}">
                    <c16:uniqueId val="{00000006-A024-4FD0-9CF0-E12192553282}"/>
                  </c:ext>
                </c:extLst>
              </c15:ser>
            </c15:filteredBarSeries>
          </c:ext>
        </c:extLst>
      </c:barChart>
      <c:catAx>
        <c:axId val="-75160816"/>
        <c:scaling>
          <c:orientation val="maxMin"/>
        </c:scaling>
        <c:delete val="0"/>
        <c:axPos val="l"/>
        <c:numFmt formatCode="General" sourceLinked="0"/>
        <c:majorTickMark val="out"/>
        <c:minorTickMark val="none"/>
        <c:tickLblPos val="nextTo"/>
        <c:spPr>
          <a:ln w="9525">
            <a:solidFill>
              <a:sysClr val="windowText" lastClr="000000"/>
            </a:solidFill>
          </a:ln>
        </c:spPr>
        <c:txPr>
          <a:bodyPr/>
          <a:lstStyle/>
          <a:p>
            <a:pPr>
              <a:defRPr sz="850"/>
            </a:pPr>
            <a:endParaRPr lang="pl-PL"/>
          </a:p>
        </c:txPr>
        <c:crossAx val="-75159728"/>
        <c:crossesAt val="0"/>
        <c:auto val="1"/>
        <c:lblAlgn val="ctr"/>
        <c:lblOffset val="100"/>
        <c:noMultiLvlLbl val="0"/>
      </c:catAx>
      <c:valAx>
        <c:axId val="-75159728"/>
        <c:scaling>
          <c:orientation val="minMax"/>
        </c:scaling>
        <c:delete val="0"/>
        <c:axPos val="b"/>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75160816"/>
        <c:crosses val="max"/>
        <c:crossBetween val="between"/>
      </c:valAx>
    </c:plotArea>
    <c:plotVisOnly val="1"/>
    <c:dispBlanksAs val="zero"/>
    <c:showDLblsOverMax val="0"/>
  </c:chart>
  <c:spPr>
    <a:ln>
      <a:noFill/>
    </a:ln>
  </c:spPr>
  <c:txPr>
    <a:bodyPr/>
    <a:lstStyle/>
    <a:p>
      <a:pPr>
        <a:spcBef>
          <a:spcPts val="1200"/>
        </a:spcBef>
        <a:spcAft>
          <a:spcPts val="1200"/>
        </a:spcAft>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820245122946705E-2"/>
          <c:y val="0.15391373876758069"/>
          <c:w val="0.8910008599241197"/>
          <c:h val="0.77457035986571532"/>
        </c:manualLayout>
      </c:layout>
      <c:lineChart>
        <c:grouping val="standard"/>
        <c:varyColors val="0"/>
        <c:ser>
          <c:idx val="0"/>
          <c:order val="0"/>
          <c:tx>
            <c:strRef>
              <c:f>'8 Gini_miasto wieś'!$C$7</c:f>
              <c:strCache>
                <c:ptCount val="1"/>
                <c:pt idx="0">
                  <c:v>Poland</c:v>
                </c:pt>
              </c:strCache>
            </c:strRef>
          </c:tx>
          <c:spPr>
            <a:ln w="31750">
              <a:solidFill>
                <a:sysClr val="windowText" lastClr="000000"/>
              </a:solidFill>
            </a:ln>
          </c:spPr>
          <c:marker>
            <c:symbol val="circle"/>
            <c:size val="5"/>
            <c:spPr>
              <a:solidFill>
                <a:sysClr val="windowText" lastClr="000000"/>
              </a:solidFill>
              <a:ln w="6350">
                <a:noFill/>
              </a:ln>
              <a:scene3d>
                <a:camera prst="orthographicFront"/>
                <a:lightRig rig="threePt" dir="t"/>
              </a:scene3d>
            </c:spPr>
          </c:marker>
          <c:dLbls>
            <c:dLbl>
              <c:idx val="0"/>
              <c:layout>
                <c:manualLayout>
                  <c:x val="-5.4429699530800325E-2"/>
                  <c:y val="-4.21017781345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F26-43E6-AF3E-162A0EF16FC9}"/>
                </c:ext>
                <c:ext xmlns:c15="http://schemas.microsoft.com/office/drawing/2012/chart" uri="{CE6537A1-D6FC-4f65-9D91-7224C49458BB}">
                  <c15:layout/>
                </c:ext>
              </c:extLst>
            </c:dLbl>
            <c:dLbl>
              <c:idx val="1"/>
              <c:layout>
                <c:manualLayout>
                  <c:x val="-5.4125612100300112E-2"/>
                  <c:y val="3.72318196441232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F26-43E6-AF3E-162A0EF16FC9}"/>
                </c:ext>
                <c:ext xmlns:c15="http://schemas.microsoft.com/office/drawing/2012/chart" uri="{CE6537A1-D6FC-4f65-9D91-7224C49458BB}">
                  <c15:layout/>
                </c:ext>
              </c:extLst>
            </c:dLbl>
            <c:dLbl>
              <c:idx val="2"/>
              <c:layout>
                <c:manualLayout>
                  <c:x val="-5.9636245895356106E-2"/>
                  <c:y val="-3.9113181558374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F26-43E6-AF3E-162A0EF16FC9}"/>
                </c:ext>
                <c:ext xmlns:c15="http://schemas.microsoft.com/office/drawing/2012/chart" uri="{CE6537A1-D6FC-4f65-9D91-7224C49458BB}">
                  <c15:layout>
                    <c:manualLayout>
                      <c:w val="7.2165677348999466E-2"/>
                      <c:h val="4.9392341517684145E-2"/>
                    </c:manualLayout>
                  </c15:layout>
                </c:ext>
              </c:extLst>
            </c:dLbl>
            <c:dLbl>
              <c:idx val="3"/>
              <c:layout>
                <c:manualLayout>
                  <c:x val="-6.6482406718401194E-2"/>
                  <c:y val="3.699662988377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F26-43E6-AF3E-162A0EF16FC9}"/>
                </c:ext>
                <c:ext xmlns:c15="http://schemas.microsoft.com/office/drawing/2012/chart" uri="{CE6537A1-D6FC-4f65-9D91-7224C49458BB}">
                  <c15:layout/>
                </c:ext>
              </c:extLst>
            </c:dLbl>
            <c:dLbl>
              <c:idx val="4"/>
              <c:layout>
                <c:manualLayout>
                  <c:x val="-7.1031039739097274E-2"/>
                  <c:y val="3.30764882077165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F26-43E6-AF3E-162A0EF16FC9}"/>
                </c:ext>
                <c:ext xmlns:c15="http://schemas.microsoft.com/office/drawing/2012/chart" uri="{CE6537A1-D6FC-4f65-9D91-7224C49458BB}">
                  <c15:layout/>
                </c:ext>
              </c:extLst>
            </c:dLbl>
            <c:dLbl>
              <c:idx val="5"/>
              <c:layout>
                <c:manualLayout>
                  <c:x val="-4.9141621064930176E-2"/>
                  <c:y val="4.48834514487751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F26-43E6-AF3E-162A0EF16FC9}"/>
                </c:ext>
                <c:ext xmlns:c15="http://schemas.microsoft.com/office/drawing/2012/chart" uri="{CE6537A1-D6FC-4f65-9D91-7224C49458BB}">
                  <c15:layout/>
                </c:ext>
              </c:extLst>
            </c:dLbl>
            <c:dLbl>
              <c:idx val="6"/>
              <c:layout>
                <c:manualLayout>
                  <c:x val="-5.6554938219832644E-2"/>
                  <c:y val="4.119849953305618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F26-43E6-AF3E-162A0EF16FC9}"/>
                </c:ext>
                <c:ext xmlns:c15="http://schemas.microsoft.com/office/drawing/2012/chart" uri="{CE6537A1-D6FC-4f65-9D91-7224C49458BB}">
                  <c15:layout/>
                </c:ext>
              </c:extLst>
            </c:dLbl>
            <c:dLbl>
              <c:idx val="7"/>
              <c:layout>
                <c:manualLayout>
                  <c:x val="-5.1814167414957327E-2"/>
                  <c:y val="3.94847064188376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F26-43E6-AF3E-162A0EF16FC9}"/>
                </c:ext>
                <c:ext xmlns:c15="http://schemas.microsoft.com/office/drawing/2012/chart" uri="{CE6537A1-D6FC-4f65-9D91-7224C49458BB}">
                  <c15:layout/>
                </c:ext>
              </c:extLst>
            </c:dLbl>
            <c:dLbl>
              <c:idx val="8"/>
              <c:layout>
                <c:manualLayout>
                  <c:x val="-5.2504527664836834E-2"/>
                  <c:y val="-4.60768911224454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F26-43E6-AF3E-162A0EF16FC9}"/>
                </c:ext>
                <c:ext xmlns:c15="http://schemas.microsoft.com/office/drawing/2012/chart" uri="{CE6537A1-D6FC-4f65-9D91-7224C49458BB}">
                  <c15:layout/>
                </c:ext>
              </c:extLst>
            </c:dLbl>
            <c:dLbl>
              <c:idx val="9"/>
              <c:layout>
                <c:manualLayout>
                  <c:x val="-5.7960905429641101E-2"/>
                  <c:y val="-4.00619051932272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F26-43E6-AF3E-162A0EF16FC9}"/>
                </c:ext>
                <c:ext xmlns:c15="http://schemas.microsoft.com/office/drawing/2012/chart" uri="{CE6537A1-D6FC-4f65-9D91-7224C49458BB}">
                  <c15:layout/>
                </c:ext>
              </c:extLst>
            </c:dLbl>
            <c:dLbl>
              <c:idx val="10"/>
              <c:layout>
                <c:manualLayout>
                  <c:x val="-5.5602357409034742E-2"/>
                  <c:y val="-3.91099020198833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F26-43E6-AF3E-162A0EF16FC9}"/>
                </c:ext>
                <c:ext xmlns:c15="http://schemas.microsoft.com/office/drawing/2012/chart" uri="{CE6537A1-D6FC-4f65-9D91-7224C49458BB}">
                  <c15:layout/>
                </c:ext>
              </c:extLst>
            </c:dLbl>
            <c:dLbl>
              <c:idx val="11"/>
              <c:layout>
                <c:manualLayout>
                  <c:x val="-3.3281676830546843E-2"/>
                  <c:y val="2.47636389759094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F26-43E6-AF3E-162A0EF16FC9}"/>
                </c:ext>
                <c:ext xmlns:c15="http://schemas.microsoft.com/office/drawing/2012/chart" uri="{CE6537A1-D6FC-4f65-9D91-7224C49458BB}">
                  <c15:layout/>
                </c:ext>
              </c:extLst>
            </c:dLbl>
            <c:dLbl>
              <c:idx val="12"/>
              <c:layout>
                <c:manualLayout>
                  <c:x val="-2.6969180670650478E-2"/>
                  <c:y val="-3.763286035100438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F26-43E6-AF3E-162A0EF16FC9}"/>
                </c:ext>
                <c:ext xmlns:c15="http://schemas.microsoft.com/office/drawing/2012/chart" uri="{CE6537A1-D6FC-4f65-9D91-7224C49458BB}">
                  <c15:layout/>
                </c:ext>
              </c:extLst>
            </c:dLbl>
            <c:dLbl>
              <c:idx val="13"/>
              <c:layout>
                <c:manualLayout>
                  <c:x val="-8.6505949600306062E-4"/>
                  <c:y val="-2.83349002239457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F26-43E6-AF3E-162A0EF16FC9}"/>
                </c:ext>
                <c:ext xmlns:c15="http://schemas.microsoft.com/office/drawing/2012/chart" uri="{CE6537A1-D6FC-4f65-9D91-7224C49458BB}">
                  <c15:layout/>
                </c:ext>
              </c:extLst>
            </c:dLbl>
            <c:dLbl>
              <c:idx val="14"/>
              <c:layout>
                <c:manualLayout>
                  <c:x val="-5.445615812001188E-2"/>
                  <c:y val="3.73074572023403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F26-43E6-AF3E-162A0EF16FC9}"/>
                </c:ext>
                <c:ext xmlns:c15="http://schemas.microsoft.com/office/drawing/2012/chart" uri="{CE6537A1-D6FC-4f65-9D91-7224C49458BB}"/>
              </c:extLst>
            </c:dLbl>
            <c:dLbl>
              <c:idx val="15"/>
              <c:layout>
                <c:manualLayout>
                  <c:x val="-4.968389735961324E-2"/>
                  <c:y val="-5.40674183661185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F26-43E6-AF3E-162A0EF16FC9}"/>
                </c:ext>
                <c:ext xmlns:c15="http://schemas.microsoft.com/office/drawing/2012/chart" uri="{CE6537A1-D6FC-4f65-9D91-7224C49458BB}"/>
              </c:extLst>
            </c:dLbl>
            <c:dLbl>
              <c:idx val="16"/>
              <c:layout>
                <c:manualLayout>
                  <c:x val="-4.8689392378506648E-2"/>
                  <c:y val="-4.23392481702623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F26-43E6-AF3E-162A0EF16FC9}"/>
                </c:ext>
                <c:ext xmlns:c15="http://schemas.microsoft.com/office/drawing/2012/chart" uri="{CE6537A1-D6FC-4f65-9D91-7224C49458BB}"/>
              </c:extLst>
            </c:dLbl>
            <c:dLbl>
              <c:idx val="17"/>
              <c:layout>
                <c:manualLayout>
                  <c:x val="-4.0603419311170952E-2"/>
                  <c:y val="-3.84278689065849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F26-43E6-AF3E-162A0EF16FC9}"/>
                </c:ext>
                <c:ext xmlns:c15="http://schemas.microsoft.com/office/drawing/2012/chart" uri="{CE6537A1-D6FC-4f65-9D91-7224C49458BB}"/>
              </c:extLst>
            </c:dLbl>
            <c:dLbl>
              <c:idx val="18"/>
              <c:layout>
                <c:manualLayout>
                  <c:x val="-3.5059869596780946E-4"/>
                  <c:y val="4.38907630988038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AF26-43E6-AF3E-162A0EF16FC9}"/>
                </c:ext>
                <c:ext xmlns:c15="http://schemas.microsoft.com/office/drawing/2012/chart" uri="{CE6537A1-D6FC-4f65-9D91-7224C49458BB}"/>
              </c:extLst>
            </c:dLbl>
            <c:spPr>
              <a:noFill/>
              <a:ln>
                <a:noFill/>
              </a:ln>
              <a:effectLst/>
            </c:spPr>
            <c:txPr>
              <a:bodyPr/>
              <a:lstStyle/>
              <a:p>
                <a:pPr>
                  <a:defRPr sz="750">
                    <a:solidFill>
                      <a:schemeClr val="tx1"/>
                    </a:solidFill>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'8 Gini_miasto wieś'!$B$15:$B$28</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'8 Gini_miasto wieś'!$C$15:$C$28</c:f>
              <c:numCache>
                <c:formatCode>0.000</c:formatCode>
                <c:ptCount val="14"/>
                <c:pt idx="0">
                  <c:v>0.33760000000000001</c:v>
                </c:pt>
                <c:pt idx="1">
                  <c:v>0.33800000000000002</c:v>
                </c:pt>
                <c:pt idx="2">
                  <c:v>0.33760000000000001</c:v>
                </c:pt>
                <c:pt idx="3">
                  <c:v>0.32600000000000001</c:v>
                </c:pt>
                <c:pt idx="4">
                  <c:v>0.3221</c:v>
                </c:pt>
                <c:pt idx="5">
                  <c:v>0.30442534851211001</c:v>
                </c:pt>
                <c:pt idx="6">
                  <c:v>0.29780000000000001</c:v>
                </c:pt>
                <c:pt idx="7">
                  <c:v>0.29899999999999999</c:v>
                </c:pt>
                <c:pt idx="8">
                  <c:v>0.30099999999999999</c:v>
                </c:pt>
                <c:pt idx="9">
                  <c:v>0.313</c:v>
                </c:pt>
                <c:pt idx="10">
                  <c:v>0.31900000000000001</c:v>
                </c:pt>
                <c:pt idx="11">
                  <c:v>0.314</c:v>
                </c:pt>
                <c:pt idx="12">
                  <c:v>0.314</c:v>
                </c:pt>
                <c:pt idx="13">
                  <c:v>0.3</c:v>
                </c:pt>
              </c:numCache>
            </c:numRef>
          </c:val>
          <c:smooth val="0"/>
          <c:extLst xmlns:c16r2="http://schemas.microsoft.com/office/drawing/2015/06/chart">
            <c:ext xmlns:c16="http://schemas.microsoft.com/office/drawing/2014/chart" uri="{C3380CC4-5D6E-409C-BE32-E72D297353CC}">
              <c16:uniqueId val="{00000013-AF26-43E6-AF3E-162A0EF16FC9}"/>
            </c:ext>
          </c:extLst>
        </c:ser>
        <c:ser>
          <c:idx val="1"/>
          <c:order val="1"/>
          <c:tx>
            <c:strRef>
              <c:f>'8 Gini_miasto wieś'!$D$7</c:f>
              <c:strCache>
                <c:ptCount val="1"/>
                <c:pt idx="0">
                  <c:v>Urban areas</c:v>
                </c:pt>
              </c:strCache>
            </c:strRef>
          </c:tx>
          <c:spPr>
            <a:ln w="31750">
              <a:solidFill>
                <a:srgbClr val="334A92"/>
              </a:solidFill>
            </a:ln>
          </c:spPr>
          <c:marker>
            <c:symbol val="circle"/>
            <c:size val="5"/>
            <c:spPr>
              <a:solidFill>
                <a:srgbClr val="334A92"/>
              </a:solidFill>
              <a:ln w="6350">
                <a:noFill/>
              </a:ln>
            </c:spPr>
          </c:marker>
          <c:dLbls>
            <c:dLbl>
              <c:idx val="0"/>
              <c:layout>
                <c:manualLayout>
                  <c:x val="-5.0686914414612268E-2"/>
                  <c:y val="4.60181717666091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AF26-43E6-AF3E-162A0EF16FC9}"/>
                </c:ext>
                <c:ext xmlns:c15="http://schemas.microsoft.com/office/drawing/2012/chart" uri="{CE6537A1-D6FC-4f65-9D91-7224C49458BB}">
                  <c15:layout/>
                </c:ext>
              </c:extLst>
            </c:dLbl>
            <c:dLbl>
              <c:idx val="1"/>
              <c:layout>
                <c:manualLayout>
                  <c:x val="-5.3821432348732823E-2"/>
                  <c:y val="4.37660361392077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AF26-43E6-AF3E-162A0EF16FC9}"/>
                </c:ext>
                <c:ext xmlns:c15="http://schemas.microsoft.com/office/drawing/2012/chart" uri="{CE6537A1-D6FC-4f65-9D91-7224C49458BB}">
                  <c15:layout/>
                </c:ext>
              </c:extLst>
            </c:dLbl>
            <c:dLbl>
              <c:idx val="2"/>
              <c:layout>
                <c:manualLayout>
                  <c:x val="-6.7649408063290756E-2"/>
                  <c:y val="4.19303051220144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AF26-43E6-AF3E-162A0EF16FC9}"/>
                </c:ext>
                <c:ext xmlns:c15="http://schemas.microsoft.com/office/drawing/2012/chart" uri="{CE6537A1-D6FC-4f65-9D91-7224C49458BB}">
                  <c15:layout>
                    <c:manualLayout>
                      <c:w val="6.7697586123158335E-2"/>
                      <c:h val="4.7620148235139784E-2"/>
                    </c:manualLayout>
                  </c15:layout>
                </c:ext>
              </c:extLst>
            </c:dLbl>
            <c:dLbl>
              <c:idx val="3"/>
              <c:layout>
                <c:manualLayout>
                  <c:x val="-6.618727905039494E-2"/>
                  <c:y val="3.39110199088239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AF26-43E6-AF3E-162A0EF16FC9}"/>
                </c:ext>
                <c:ext xmlns:c15="http://schemas.microsoft.com/office/drawing/2012/chart" uri="{CE6537A1-D6FC-4f65-9D91-7224C49458BB}">
                  <c15:layout/>
                </c:ext>
              </c:extLst>
            </c:dLbl>
            <c:dLbl>
              <c:idx val="4"/>
              <c:layout>
                <c:manualLayout>
                  <c:x val="-6.804478023880324E-2"/>
                  <c:y val="4.19299927850153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AF26-43E6-AF3E-162A0EF16FC9}"/>
                </c:ext>
                <c:ext xmlns:c15="http://schemas.microsoft.com/office/drawing/2012/chart" uri="{CE6537A1-D6FC-4f65-9D91-7224C49458BB}">
                  <c15:layout/>
                </c:ext>
              </c:extLst>
            </c:dLbl>
            <c:dLbl>
              <c:idx val="5"/>
              <c:layout>
                <c:manualLayout>
                  <c:x val="-6.7976254107492265E-2"/>
                  <c:y val="3.7963312896082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AF26-43E6-AF3E-162A0EF16FC9}"/>
                </c:ext>
                <c:ext xmlns:c15="http://schemas.microsoft.com/office/drawing/2012/chart" uri="{CE6537A1-D6FC-4f65-9D91-7224C49458BB}">
                  <c15:layout/>
                </c:ext>
              </c:extLst>
            </c:dLbl>
            <c:dLbl>
              <c:idx val="6"/>
              <c:layout>
                <c:manualLayout>
                  <c:x val="-3.6398621756392704E-2"/>
                  <c:y val="-4.35569562134760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AF26-43E6-AF3E-162A0EF16FC9}"/>
                </c:ext>
                <c:ext xmlns:c15="http://schemas.microsoft.com/office/drawing/2012/chart" uri="{CE6537A1-D6FC-4f65-9D91-7224C49458BB}">
                  <c15:layout/>
                </c:ext>
              </c:extLst>
            </c:dLbl>
            <c:dLbl>
              <c:idx val="7"/>
              <c:layout>
                <c:manualLayout>
                  <c:x val="-5.0099720781810929E-2"/>
                  <c:y val="-4.37218701490159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AF26-43E6-AF3E-162A0EF16FC9}"/>
                </c:ext>
                <c:ext xmlns:c15="http://schemas.microsoft.com/office/drawing/2012/chart" uri="{CE6537A1-D6FC-4f65-9D91-7224C49458BB}">
                  <c15:layout/>
                </c:ext>
              </c:extLst>
            </c:dLbl>
            <c:dLbl>
              <c:idx val="8"/>
              <c:layout>
                <c:manualLayout>
                  <c:x val="-1.7908194463814277E-2"/>
                  <c:y val="3.15101181570867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AF26-43E6-AF3E-162A0EF16FC9}"/>
                </c:ext>
                <c:ext xmlns:c15="http://schemas.microsoft.com/office/drawing/2012/chart" uri="{CE6537A1-D6FC-4f65-9D91-7224C49458BB}">
                  <c15:layout/>
                </c:ext>
              </c:extLst>
            </c:dLbl>
            <c:dLbl>
              <c:idx val="9"/>
              <c:layout>
                <c:manualLayout>
                  <c:x val="-1.5888812059729182E-2"/>
                  <c:y val="3.56907488904228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AF26-43E6-AF3E-162A0EF16FC9}"/>
                </c:ext>
                <c:ext xmlns:c15="http://schemas.microsoft.com/office/drawing/2012/chart" uri="{CE6537A1-D6FC-4f65-9D91-7224C49458BB}">
                  <c15:layout/>
                </c:ext>
              </c:extLst>
            </c:dLbl>
            <c:dLbl>
              <c:idx val="10"/>
              <c:layout>
                <c:manualLayout>
                  <c:x val="-3.9842085193243761E-2"/>
                  <c:y val="4.64598162833770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AF26-43E6-AF3E-162A0EF16FC9}"/>
                </c:ext>
                <c:ext xmlns:c15="http://schemas.microsoft.com/office/drawing/2012/chart" uri="{CE6537A1-D6FC-4f65-9D91-7224C49458BB}">
                  <c15:layout/>
                </c:ext>
              </c:extLst>
            </c:dLbl>
            <c:dLbl>
              <c:idx val="11"/>
              <c:layout>
                <c:manualLayout>
                  <c:x val="-5.9342886372923544E-2"/>
                  <c:y val="3.78702364703420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AF26-43E6-AF3E-162A0EF16FC9}"/>
                </c:ext>
                <c:ext xmlns:c15="http://schemas.microsoft.com/office/drawing/2012/chart" uri="{CE6537A1-D6FC-4f65-9D91-7224C49458BB}">
                  <c15:layout/>
                </c:ext>
              </c:extLst>
            </c:dLbl>
            <c:dLbl>
              <c:idx val="12"/>
              <c:layout>
                <c:manualLayout>
                  <c:x val="-5.9756203412840318E-2"/>
                  <c:y val="4.53969334753425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AF26-43E6-AF3E-162A0EF16FC9}"/>
                </c:ext>
                <c:ext xmlns:c15="http://schemas.microsoft.com/office/drawing/2012/chart" uri="{CE6537A1-D6FC-4f65-9D91-7224C49458BB}">
                  <c15:layout/>
                </c:ext>
              </c:extLst>
            </c:dLbl>
            <c:dLbl>
              <c:idx val="13"/>
              <c:layout>
                <c:manualLayout>
                  <c:x val="-8.5338494699335765E-4"/>
                  <c:y val="1.92718236909395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AF26-43E6-AF3E-162A0EF16FC9}"/>
                </c:ext>
                <c:ext xmlns:c15="http://schemas.microsoft.com/office/drawing/2012/chart" uri="{CE6537A1-D6FC-4f65-9D91-7224C49458BB}">
                  <c15:layout/>
                </c:ext>
              </c:extLst>
            </c:dLbl>
            <c:dLbl>
              <c:idx val="14"/>
              <c:layout>
                <c:manualLayout>
                  <c:x val="-4.7145510678773928E-2"/>
                  <c:y val="-3.74378428098290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AF26-43E6-AF3E-162A0EF16FC9}"/>
                </c:ext>
                <c:ext xmlns:c15="http://schemas.microsoft.com/office/drawing/2012/chart" uri="{CE6537A1-D6FC-4f65-9D91-7224C49458BB}"/>
              </c:extLst>
            </c:dLbl>
            <c:dLbl>
              <c:idx val="15"/>
              <c:layout>
                <c:manualLayout>
                  <c:x val="-1.3819302709883465E-3"/>
                  <c:y val="-7.580785055730702E-4"/>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AF26-43E6-AF3E-162A0EF16FC9}"/>
                </c:ext>
                <c:ext xmlns:c15="http://schemas.microsoft.com/office/drawing/2012/chart" uri="{CE6537A1-D6FC-4f65-9D91-7224C49458BB}"/>
              </c:extLst>
            </c:dLbl>
            <c:dLbl>
              <c:idx val="16"/>
              <c:layout>
                <c:manualLayout>
                  <c:x val="-5.8561939224532674E-3"/>
                  <c:y val="2.6653356302254787E-2"/>
                </c:manualLayout>
              </c:layout>
              <c:spPr>
                <a:noFill/>
                <a:ln>
                  <a:noFill/>
                </a:ln>
                <a:effectLst/>
              </c:spPr>
              <c:txPr>
                <a:bodyPr anchorCtr="0"/>
                <a:lstStyle/>
                <a:p>
                  <a:pPr algn="r">
                    <a:defRPr sz="750">
                      <a:solidFill>
                        <a:srgbClr val="334A92"/>
                      </a:solidFill>
                    </a:defRPr>
                  </a:pPr>
                  <a:endParaRPr lang="pl-PL"/>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AF26-43E6-AF3E-162A0EF16FC9}"/>
                </c:ext>
                <c:ext xmlns:c15="http://schemas.microsoft.com/office/drawing/2012/chart" uri="{CE6537A1-D6FC-4f65-9D91-7224C49458BB}"/>
              </c:extLst>
            </c:dLbl>
            <c:dLbl>
              <c:idx val="17"/>
              <c:layout>
                <c:manualLayout>
                  <c:x val="-3.6675934808120259E-2"/>
                  <c:y val="5.29416901461472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AF26-43E6-AF3E-162A0EF16FC9}"/>
                </c:ext>
                <c:ext xmlns:c15="http://schemas.microsoft.com/office/drawing/2012/chart" uri="{CE6537A1-D6FC-4f65-9D91-7224C49458BB}"/>
              </c:extLst>
            </c:dLbl>
            <c:dLbl>
              <c:idx val="18"/>
              <c:layout>
                <c:manualLayout>
                  <c:x val="-5.8549982226593889E-4"/>
                  <c:y val="4.11574645925523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AF26-43E6-AF3E-162A0EF16FC9}"/>
                </c:ext>
                <c:ext xmlns:c15="http://schemas.microsoft.com/office/drawing/2012/chart" uri="{CE6537A1-D6FC-4f65-9D91-7224C49458BB}"/>
              </c:extLst>
            </c:dLbl>
            <c:spPr>
              <a:noFill/>
              <a:ln>
                <a:noFill/>
              </a:ln>
              <a:effectLst/>
            </c:spPr>
            <c:txPr>
              <a:bodyPr/>
              <a:lstStyle/>
              <a:p>
                <a:pPr>
                  <a:defRPr sz="750">
                    <a:solidFill>
                      <a:srgbClr val="334A92"/>
                    </a:solidFill>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'8 Gini_miasto wieś'!$B$15:$B$28</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'8 Gini_miasto wieś'!$D$15:$D$28</c:f>
              <c:numCache>
                <c:formatCode>0.000</c:formatCode>
                <c:ptCount val="14"/>
                <c:pt idx="0">
                  <c:v>0.31740000000000002</c:v>
                </c:pt>
                <c:pt idx="1">
                  <c:v>0.317</c:v>
                </c:pt>
                <c:pt idx="2">
                  <c:v>0.31240000000000001</c:v>
                </c:pt>
                <c:pt idx="3">
                  <c:v>0.30640000000000001</c:v>
                </c:pt>
                <c:pt idx="4">
                  <c:v>0.30309999999999998</c:v>
                </c:pt>
                <c:pt idx="5">
                  <c:v>0.28795411590439002</c:v>
                </c:pt>
                <c:pt idx="6">
                  <c:v>0.28089999999999998</c:v>
                </c:pt>
                <c:pt idx="7">
                  <c:v>0.28299999999999997</c:v>
                </c:pt>
                <c:pt idx="8">
                  <c:v>0.28799999999999998</c:v>
                </c:pt>
                <c:pt idx="9">
                  <c:v>0.30099999999999999</c:v>
                </c:pt>
                <c:pt idx="10">
                  <c:v>0.31</c:v>
                </c:pt>
                <c:pt idx="11">
                  <c:v>0.30399999999999999</c:v>
                </c:pt>
                <c:pt idx="12">
                  <c:v>0.307</c:v>
                </c:pt>
                <c:pt idx="13">
                  <c:v>0.29599999999999999</c:v>
                </c:pt>
              </c:numCache>
            </c:numRef>
          </c:val>
          <c:smooth val="0"/>
          <c:extLst xmlns:c16r2="http://schemas.microsoft.com/office/drawing/2015/06/chart">
            <c:ext xmlns:c16="http://schemas.microsoft.com/office/drawing/2014/chart" uri="{C3380CC4-5D6E-409C-BE32-E72D297353CC}">
              <c16:uniqueId val="{00000027-AF26-43E6-AF3E-162A0EF16FC9}"/>
            </c:ext>
          </c:extLst>
        </c:ser>
        <c:ser>
          <c:idx val="2"/>
          <c:order val="2"/>
          <c:tx>
            <c:strRef>
              <c:f>'8 Gini_miasto wieś'!$E$7</c:f>
              <c:strCache>
                <c:ptCount val="1"/>
                <c:pt idx="0">
                  <c:v>Rural areas</c:v>
                </c:pt>
              </c:strCache>
            </c:strRef>
          </c:tx>
          <c:spPr>
            <a:ln w="31750">
              <a:solidFill>
                <a:srgbClr val="66B68E"/>
              </a:solidFill>
            </a:ln>
          </c:spPr>
          <c:marker>
            <c:symbol val="circle"/>
            <c:size val="5"/>
            <c:spPr>
              <a:solidFill>
                <a:srgbClr val="66B68E"/>
              </a:solidFill>
              <a:ln w="6350">
                <a:noFill/>
              </a:ln>
            </c:spPr>
          </c:marker>
          <c:dLbls>
            <c:dLbl>
              <c:idx val="0"/>
              <c:layout>
                <c:manualLayout>
                  <c:x val="-5.6879758680584341E-2"/>
                  <c:y val="3.72824182379820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8-AF26-43E6-AF3E-162A0EF16FC9}"/>
                </c:ext>
                <c:ext xmlns:c15="http://schemas.microsoft.com/office/drawing/2012/chart" uri="{CE6537A1-D6FC-4f65-9D91-7224C49458BB}">
                  <c15:layout/>
                </c:ext>
              </c:extLst>
            </c:dLbl>
            <c:dLbl>
              <c:idx val="1"/>
              <c:layout>
                <c:manualLayout>
                  <c:x val="-6.6497035683948033E-2"/>
                  <c:y val="-4.23469626788519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AF26-43E6-AF3E-162A0EF16FC9}"/>
                </c:ext>
                <c:ext xmlns:c15="http://schemas.microsoft.com/office/drawing/2012/chart" uri="{CE6537A1-D6FC-4f65-9D91-7224C49458BB}">
                  <c15:layout/>
                </c:ext>
              </c:extLst>
            </c:dLbl>
            <c:dLbl>
              <c:idx val="2"/>
              <c:layout>
                <c:manualLayout>
                  <c:x val="-4.3221376234562785E-2"/>
                  <c:y val="-3.50891878301012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A-AF26-43E6-AF3E-162A0EF16FC9}"/>
                </c:ext>
                <c:ext xmlns:c15="http://schemas.microsoft.com/office/drawing/2012/chart" uri="{CE6537A1-D6FC-4f65-9D91-7224C49458BB}">
                  <c15:layout/>
                </c:ext>
              </c:extLst>
            </c:dLbl>
            <c:dLbl>
              <c:idx val="3"/>
              <c:layout>
                <c:manualLayout>
                  <c:x val="-8.8604718524073912E-3"/>
                  <c:y val="-2.62350585788041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B-AF26-43E6-AF3E-162A0EF16FC9}"/>
                </c:ext>
                <c:ext xmlns:c15="http://schemas.microsoft.com/office/drawing/2012/chart" uri="{CE6537A1-D6FC-4f65-9D91-7224C49458BB}">
                  <c15:layout/>
                </c:ext>
              </c:extLst>
            </c:dLbl>
            <c:dLbl>
              <c:idx val="4"/>
              <c:layout>
                <c:manualLayout>
                  <c:x val="-9.4928332697786048E-3"/>
                  <c:y val="-2.61960164539131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C-AF26-43E6-AF3E-162A0EF16FC9}"/>
                </c:ext>
                <c:ext xmlns:c15="http://schemas.microsoft.com/office/drawing/2012/chart" uri="{CE6537A1-D6FC-4f65-9D91-7224C49458BB}">
                  <c15:layout/>
                </c:ext>
              </c:extLst>
            </c:dLbl>
            <c:dLbl>
              <c:idx val="5"/>
              <c:layout>
                <c:manualLayout>
                  <c:x val="-1.960866541897845E-2"/>
                  <c:y val="-3.41684183566701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D-AF26-43E6-AF3E-162A0EF16FC9}"/>
                </c:ext>
                <c:ext xmlns:c15="http://schemas.microsoft.com/office/drawing/2012/chart" uri="{CE6537A1-D6FC-4f65-9D91-7224C49458BB}">
                  <c15:layout/>
                </c:ext>
              </c:extLst>
            </c:dLbl>
            <c:dLbl>
              <c:idx val="6"/>
              <c:layout>
                <c:manualLayout>
                  <c:x val="-2.6759693884019612E-2"/>
                  <c:y val="-4.40192149721863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E-AF26-43E6-AF3E-162A0EF16FC9}"/>
                </c:ext>
                <c:ext xmlns:c15="http://schemas.microsoft.com/office/drawing/2012/chart" uri="{CE6537A1-D6FC-4f65-9D91-7224C49458BB}">
                  <c15:layout/>
                </c:ext>
              </c:extLst>
            </c:dLbl>
            <c:dLbl>
              <c:idx val="7"/>
              <c:layout>
                <c:manualLayout>
                  <c:x val="-4.0836269691806704E-2"/>
                  <c:y val="-3.91195844668565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F-AF26-43E6-AF3E-162A0EF16FC9}"/>
                </c:ext>
                <c:ext xmlns:c15="http://schemas.microsoft.com/office/drawing/2012/chart" uri="{CE6537A1-D6FC-4f65-9D91-7224C49458BB}">
                  <c15:layout/>
                </c:ext>
              </c:extLst>
            </c:dLbl>
            <c:dLbl>
              <c:idx val="8"/>
              <c:layout>
                <c:manualLayout>
                  <c:x val="-5.1654049831172812E-2"/>
                  <c:y val="3.32186015423200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0-AF26-43E6-AF3E-162A0EF16FC9}"/>
                </c:ext>
                <c:ext xmlns:c15="http://schemas.microsoft.com/office/drawing/2012/chart" uri="{CE6537A1-D6FC-4f65-9D91-7224C49458BB}">
                  <c15:layout/>
                </c:ext>
              </c:extLst>
            </c:dLbl>
            <c:dLbl>
              <c:idx val="9"/>
              <c:layout>
                <c:manualLayout>
                  <c:x val="-2.651938874330368E-2"/>
                  <c:y val="2.8451401924620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1-AF26-43E6-AF3E-162A0EF16FC9}"/>
                </c:ext>
                <c:ext xmlns:c15="http://schemas.microsoft.com/office/drawing/2012/chart" uri="{CE6537A1-D6FC-4f65-9D91-7224C49458BB}">
                  <c15:layout/>
                </c:ext>
              </c:extLst>
            </c:dLbl>
            <c:dLbl>
              <c:idx val="10"/>
              <c:layout>
                <c:manualLayout>
                  <c:x val="-1.431473536688958E-2"/>
                  <c:y val="1.48878554004628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2-AF26-43E6-AF3E-162A0EF16FC9}"/>
                </c:ext>
                <c:ext xmlns:c15="http://schemas.microsoft.com/office/drawing/2012/chart" uri="{CE6537A1-D6FC-4f65-9D91-7224C49458BB}">
                  <c15:layout/>
                </c:ext>
              </c:extLst>
            </c:dLbl>
            <c:dLbl>
              <c:idx val="11"/>
              <c:layout>
                <c:manualLayout>
                  <c:x val="-3.8818057604965268E-2"/>
                  <c:y val="-3.57579013452355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3-AF26-43E6-AF3E-162A0EF16FC9}"/>
                </c:ext>
                <c:ext xmlns:c15="http://schemas.microsoft.com/office/drawing/2012/chart" uri="{CE6537A1-D6FC-4f65-9D91-7224C49458BB}">
                  <c15:layout/>
                </c:ext>
              </c:extLst>
            </c:dLbl>
            <c:dLbl>
              <c:idx val="12"/>
              <c:layout>
                <c:manualLayout>
                  <c:x val="-7.168544213122581E-2"/>
                  <c:y val="2.08022688159616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4-AF26-43E6-AF3E-162A0EF16FC9}"/>
                </c:ext>
                <c:ext xmlns:c15="http://schemas.microsoft.com/office/drawing/2012/chart" uri="{CE6537A1-D6FC-4f65-9D91-7224C49458BB}">
                  <c15:layout/>
                </c:ext>
              </c:extLst>
            </c:dLbl>
            <c:dLbl>
              <c:idx val="13"/>
              <c:layout>
                <c:manualLayout>
                  <c:x val="-5.0797619964831967E-3"/>
                  <c:y val="2.93340662841579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5-AF26-43E6-AF3E-162A0EF16FC9}"/>
                </c:ext>
                <c:ext xmlns:c15="http://schemas.microsoft.com/office/drawing/2012/chart" uri="{CE6537A1-D6FC-4f65-9D91-7224C49458BB}">
                  <c15:layout/>
                </c:ext>
              </c:extLst>
            </c:dLbl>
            <c:dLbl>
              <c:idx val="14"/>
              <c:layout>
                <c:manualLayout>
                  <c:x val="-3.8908784598280739E-2"/>
                  <c:y val="-3.190072134750306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6-AF26-43E6-AF3E-162A0EF16FC9}"/>
                </c:ext>
                <c:ext xmlns:c15="http://schemas.microsoft.com/office/drawing/2012/chart" uri="{CE6537A1-D6FC-4f65-9D91-7224C49458BB}"/>
              </c:extLst>
            </c:dLbl>
            <c:dLbl>
              <c:idx val="15"/>
              <c:layout>
                <c:manualLayout>
                  <c:x val="-4.6397445020004702E-2"/>
                  <c:y val="3.21174033959200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7-AF26-43E6-AF3E-162A0EF16FC9}"/>
                </c:ext>
                <c:ext xmlns:c15="http://schemas.microsoft.com/office/drawing/2012/chart" uri="{CE6537A1-D6FC-4f65-9D91-7224C49458BB}"/>
              </c:extLst>
            </c:dLbl>
            <c:dLbl>
              <c:idx val="16"/>
              <c:layout>
                <c:manualLayout>
                  <c:x val="-2.3294751245355783E-2"/>
                  <c:y val="2.42997581132648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8-AF26-43E6-AF3E-162A0EF16FC9}"/>
                </c:ext>
                <c:ext xmlns:c15="http://schemas.microsoft.com/office/drawing/2012/chart" uri="{CE6537A1-D6FC-4f65-9D91-7224C49458BB}"/>
              </c:extLst>
            </c:dLbl>
            <c:dLbl>
              <c:idx val="17"/>
              <c:layout>
                <c:manualLayout>
                  <c:x val="-1.7101814835194264E-2"/>
                  <c:y val="2.15291228358172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9-AF26-43E6-AF3E-162A0EF16FC9}"/>
                </c:ext>
                <c:ext xmlns:c15="http://schemas.microsoft.com/office/drawing/2012/chart" uri="{CE6537A1-D6FC-4f65-9D91-7224C49458BB}"/>
              </c:extLst>
            </c:dLbl>
            <c:dLbl>
              <c:idx val="18"/>
              <c:layout>
                <c:manualLayout>
                  <c:x val="-1.5626962987490443E-3"/>
                  <c:y val="-3.33198283249089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A-AF26-43E6-AF3E-162A0EF16FC9}"/>
                </c:ext>
                <c:ext xmlns:c15="http://schemas.microsoft.com/office/drawing/2012/chart" uri="{CE6537A1-D6FC-4f65-9D91-7224C49458BB}"/>
              </c:extLst>
            </c:dLbl>
            <c:spPr>
              <a:noFill/>
              <a:ln>
                <a:noFill/>
              </a:ln>
              <a:effectLst/>
            </c:spPr>
            <c:txPr>
              <a:bodyPr/>
              <a:lstStyle/>
              <a:p>
                <a:pPr>
                  <a:defRPr sz="750">
                    <a:solidFill>
                      <a:srgbClr val="339D68"/>
                    </a:solidFill>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'8 Gini_miasto wieś'!$B$15:$B$28</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'8 Gini_miasto wieś'!$E$15:$E$28</c:f>
              <c:numCache>
                <c:formatCode>0.000</c:formatCode>
                <c:ptCount val="14"/>
                <c:pt idx="0">
                  <c:v>0.33679999999999999</c:v>
                </c:pt>
                <c:pt idx="1">
                  <c:v>0.34300000000000003</c:v>
                </c:pt>
                <c:pt idx="2">
                  <c:v>0.35239999999999999</c:v>
                </c:pt>
                <c:pt idx="3">
                  <c:v>0.32850000000000001</c:v>
                </c:pt>
                <c:pt idx="4">
                  <c:v>0.3226</c:v>
                </c:pt>
                <c:pt idx="5">
                  <c:v>0.30451602001431999</c:v>
                </c:pt>
                <c:pt idx="6">
                  <c:v>0.30159999999999998</c:v>
                </c:pt>
                <c:pt idx="7">
                  <c:v>0.3</c:v>
                </c:pt>
                <c:pt idx="8">
                  <c:v>0.29799999999999999</c:v>
                </c:pt>
                <c:pt idx="9">
                  <c:v>0.31</c:v>
                </c:pt>
                <c:pt idx="10">
                  <c:v>0.314</c:v>
                </c:pt>
                <c:pt idx="11">
                  <c:v>0.318</c:v>
                </c:pt>
                <c:pt idx="12">
                  <c:v>0.311</c:v>
                </c:pt>
                <c:pt idx="13">
                  <c:v>0.29199999999999998</c:v>
                </c:pt>
              </c:numCache>
            </c:numRef>
          </c:val>
          <c:smooth val="0"/>
          <c:extLst xmlns:c16r2="http://schemas.microsoft.com/office/drawing/2015/06/chart">
            <c:ext xmlns:c16="http://schemas.microsoft.com/office/drawing/2014/chart" uri="{C3380CC4-5D6E-409C-BE32-E72D297353CC}">
              <c16:uniqueId val="{0000003B-AF26-43E6-AF3E-162A0EF16FC9}"/>
            </c:ext>
          </c:extLst>
        </c:ser>
        <c:dLbls>
          <c:showLegendKey val="0"/>
          <c:showVal val="0"/>
          <c:showCatName val="0"/>
          <c:showSerName val="0"/>
          <c:showPercent val="0"/>
          <c:showBubbleSize val="0"/>
        </c:dLbls>
        <c:marker val="1"/>
        <c:smooth val="0"/>
        <c:axId val="-75159184"/>
        <c:axId val="-75156464"/>
      </c:lineChart>
      <c:catAx>
        <c:axId val="-75159184"/>
        <c:scaling>
          <c:orientation val="minMax"/>
        </c:scaling>
        <c:delete val="0"/>
        <c:axPos val="b"/>
        <c:numFmt formatCode="General" sourceLinked="1"/>
        <c:majorTickMark val="out"/>
        <c:minorTickMark val="none"/>
        <c:tickLblPos val="nextTo"/>
        <c:spPr>
          <a:ln w="9525">
            <a:solidFill>
              <a:sysClr val="windowText" lastClr="000000"/>
            </a:solidFill>
          </a:ln>
        </c:spPr>
        <c:txPr>
          <a:bodyPr/>
          <a:lstStyle/>
          <a:p>
            <a:pPr>
              <a:defRPr sz="900"/>
            </a:pPr>
            <a:endParaRPr lang="pl-PL"/>
          </a:p>
        </c:txPr>
        <c:crossAx val="-75156464"/>
        <c:crosses val="autoZero"/>
        <c:auto val="1"/>
        <c:lblAlgn val="ctr"/>
        <c:lblOffset val="100"/>
        <c:noMultiLvlLbl val="0"/>
      </c:catAx>
      <c:valAx>
        <c:axId val="-75156464"/>
        <c:scaling>
          <c:orientation val="minMax"/>
          <c:max val="0.36000000000000032"/>
          <c:min val="0.28000000000000008"/>
        </c:scaling>
        <c:delete val="0"/>
        <c:axPos val="l"/>
        <c:majorGridlines>
          <c:spPr>
            <a:ln w="6350">
              <a:solidFill>
                <a:sysClr val="window" lastClr="FFFFFF">
                  <a:lumMod val="65000"/>
                </a:sysClr>
              </a:solidFill>
            </a:ln>
          </c:spPr>
        </c:majorGridlines>
        <c:numFmt formatCode="#,##0.000" sourceLinked="0"/>
        <c:majorTickMark val="out"/>
        <c:minorTickMark val="none"/>
        <c:tickLblPos val="nextTo"/>
        <c:spPr>
          <a:ln>
            <a:noFill/>
          </a:ln>
        </c:spPr>
        <c:txPr>
          <a:bodyPr/>
          <a:lstStyle/>
          <a:p>
            <a:pPr>
              <a:defRPr sz="900">
                <a:solidFill>
                  <a:sysClr val="windowText" lastClr="000000"/>
                </a:solidFill>
              </a:defRPr>
            </a:pPr>
            <a:endParaRPr lang="pl-PL"/>
          </a:p>
        </c:txPr>
        <c:crossAx val="-75159184"/>
        <c:crosses val="autoZero"/>
        <c:crossBetween val="between"/>
        <c:majorUnit val="2.0000000000000011E-2"/>
        <c:minorUnit val="2.0000000000000011E-2"/>
      </c:valAx>
      <c:spPr>
        <a:noFill/>
        <a:ln w="25400">
          <a:noFill/>
        </a:ln>
      </c:spPr>
    </c:plotArea>
    <c:legend>
      <c:legendPos val="r"/>
      <c:layout>
        <c:manualLayout>
          <c:xMode val="edge"/>
          <c:yMode val="edge"/>
          <c:x val="0.73202050860960821"/>
          <c:y val="0.17111601133158635"/>
          <c:w val="0.24203893507724941"/>
          <c:h val="0.1656757254807647"/>
        </c:manualLayout>
      </c:layout>
      <c:overlay val="0"/>
      <c:spPr>
        <a:solidFill>
          <a:schemeClr val="bg1"/>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580224346956646E-2"/>
          <c:y val="0.30033162775384786"/>
          <c:w val="0.92218492219722537"/>
          <c:h val="0.61536942028587882"/>
        </c:manualLayout>
      </c:layout>
      <c:lineChart>
        <c:grouping val="standard"/>
        <c:varyColors val="0"/>
        <c:ser>
          <c:idx val="1"/>
          <c:order val="1"/>
          <c:tx>
            <c:strRef>
              <c:f>'11 wyd. mieszkanie żywność'!$D$7</c:f>
              <c:strCache>
                <c:ptCount val="1"/>
                <c:pt idx="0">
                  <c:v> Food and non-alcoholic beverages</c:v>
                </c:pt>
              </c:strCache>
            </c:strRef>
          </c:tx>
          <c:spPr>
            <a:ln w="31750">
              <a:solidFill>
                <a:srgbClr val="66B68E"/>
              </a:solidFill>
            </a:ln>
          </c:spPr>
          <c:marker>
            <c:symbol val="circle"/>
            <c:size val="5"/>
            <c:spPr>
              <a:solidFill>
                <a:srgbClr val="66B68E"/>
              </a:solidFill>
              <a:ln>
                <a:noFill/>
              </a:ln>
              <a:scene3d>
                <a:camera prst="orthographicFront"/>
                <a:lightRig rig="threePt" dir="t"/>
              </a:scene3d>
            </c:spPr>
          </c:marker>
          <c:dLbls>
            <c:spPr>
              <a:noFill/>
              <a:ln>
                <a:noFill/>
              </a:ln>
              <a:effectLst/>
            </c:spPr>
            <c:txPr>
              <a:bodyPr/>
              <a:lstStyle/>
              <a:p>
                <a:pPr>
                  <a:defRPr sz="800"/>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'11 wyd. mieszkanie żywność'!$B$15:$B$28</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'11 wyd. mieszkanie żywność'!$D$15:$D$28</c:f>
              <c:numCache>
                <c:formatCode>0.0%</c:formatCode>
                <c:ptCount val="14"/>
                <c:pt idx="0">
                  <c:v>0.24880070838482421</c:v>
                </c:pt>
                <c:pt idx="1">
                  <c:v>0.24917131767572315</c:v>
                </c:pt>
                <c:pt idx="2">
                  <c:v>0.24899689177733822</c:v>
                </c:pt>
                <c:pt idx="3">
                  <c:v>0.24411813782746536</c:v>
                </c:pt>
                <c:pt idx="4">
                  <c:v>0.24039809748989632</c:v>
                </c:pt>
                <c:pt idx="5">
                  <c:v>0.24167579795694744</c:v>
                </c:pt>
                <c:pt idx="6">
                  <c:v>0.24348033048859269</c:v>
                </c:pt>
                <c:pt idx="7">
                  <c:v>0.24815900780209965</c:v>
                </c:pt>
                <c:pt idx="8">
                  <c:v>0.25113243271312508</c:v>
                </c:pt>
                <c:pt idx="9">
                  <c:v>0.27679029084475604</c:v>
                </c:pt>
                <c:pt idx="10">
                  <c:v>0.26430044001353886</c:v>
                </c:pt>
                <c:pt idx="11">
                  <c:v>0.26790968915520841</c:v>
                </c:pt>
                <c:pt idx="12">
                  <c:v>0.27184056615881047</c:v>
                </c:pt>
                <c:pt idx="13">
                  <c:v>0.25322466449116043</c:v>
                </c:pt>
              </c:numCache>
            </c:numRef>
          </c:val>
          <c:smooth val="0"/>
          <c:extLst xmlns:c16r2="http://schemas.microsoft.com/office/drawing/2015/06/chart">
            <c:ext xmlns:c16="http://schemas.microsoft.com/office/drawing/2014/chart" uri="{C3380CC4-5D6E-409C-BE32-E72D297353CC}">
              <c16:uniqueId val="{00000000-8056-4750-94C8-20EDE5C36AA0}"/>
            </c:ext>
          </c:extLst>
        </c:ser>
        <c:dLbls>
          <c:showLegendKey val="0"/>
          <c:showVal val="0"/>
          <c:showCatName val="0"/>
          <c:showSerName val="0"/>
          <c:showPercent val="0"/>
          <c:showBubbleSize val="0"/>
        </c:dLbls>
        <c:marker val="1"/>
        <c:smooth val="0"/>
        <c:axId val="-75161360"/>
        <c:axId val="-75158640"/>
      </c:lineChart>
      <c:lineChart>
        <c:grouping val="standard"/>
        <c:varyColors val="0"/>
        <c:ser>
          <c:idx val="0"/>
          <c:order val="0"/>
          <c:tx>
            <c:strRef>
              <c:f>'11 wyd. mieszkanie żywność'!$C$7</c:f>
              <c:strCache>
                <c:ptCount val="1"/>
                <c:pt idx="0">
                  <c:v> Housing, water, electricity, gas and other fuels</c:v>
                </c:pt>
              </c:strCache>
            </c:strRef>
          </c:tx>
          <c:spPr>
            <a:ln w="31750">
              <a:solidFill>
                <a:srgbClr val="334A92"/>
              </a:solidFill>
            </a:ln>
          </c:spPr>
          <c:marker>
            <c:symbol val="circle"/>
            <c:size val="5"/>
            <c:spPr>
              <a:solidFill>
                <a:srgbClr val="334A92"/>
              </a:solidFill>
              <a:ln>
                <a:noFill/>
              </a:ln>
              <a:scene3d>
                <a:camera prst="orthographicFront"/>
                <a:lightRig rig="threePt" dir="t"/>
              </a:scene3d>
            </c:spPr>
          </c:marker>
          <c:dLbls>
            <c:spPr>
              <a:noFill/>
              <a:ln>
                <a:noFill/>
              </a:ln>
              <a:effectLst/>
            </c:spPr>
            <c:txPr>
              <a:bodyPr/>
              <a:lstStyle/>
              <a:p>
                <a:pPr>
                  <a:defRPr sz="800"/>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'11 wyd. mieszkanie żywność'!$B$15:$B$28</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'11 wyd. mieszkanie żywność'!$C$15:$C$28</c:f>
              <c:numCache>
                <c:formatCode>0.0%</c:formatCode>
                <c:ptCount val="14"/>
                <c:pt idx="0">
                  <c:v>0.2062197744456013</c:v>
                </c:pt>
                <c:pt idx="1">
                  <c:v>0.20187740223437309</c:v>
                </c:pt>
                <c:pt idx="2">
                  <c:v>0.20774230008476971</c:v>
                </c:pt>
                <c:pt idx="3">
                  <c:v>0.20091032130077682</c:v>
                </c:pt>
                <c:pt idx="4">
                  <c:v>0.20113820691172021</c:v>
                </c:pt>
                <c:pt idx="5">
                  <c:v>0.19560107454667561</c:v>
                </c:pt>
                <c:pt idx="6">
                  <c:v>0.19543708136411544</c:v>
                </c:pt>
                <c:pt idx="7">
                  <c:v>0.18320610687022901</c:v>
                </c:pt>
                <c:pt idx="8">
                  <c:v>0.17969530170244383</c:v>
                </c:pt>
                <c:pt idx="9">
                  <c:v>0.18797433820003639</c:v>
                </c:pt>
                <c:pt idx="10">
                  <c:v>0.19255977106987907</c:v>
                </c:pt>
                <c:pt idx="11">
                  <c:v>0.19502701835107805</c:v>
                </c:pt>
                <c:pt idx="12">
                  <c:v>0.19882172475539175</c:v>
                </c:pt>
                <c:pt idx="13">
                  <c:v>0.18772524740616131</c:v>
                </c:pt>
              </c:numCache>
            </c:numRef>
          </c:val>
          <c:smooth val="0"/>
          <c:extLst xmlns:c16r2="http://schemas.microsoft.com/office/drawing/2015/06/chart">
            <c:ext xmlns:c16="http://schemas.microsoft.com/office/drawing/2014/chart" uri="{C3380CC4-5D6E-409C-BE32-E72D297353CC}">
              <c16:uniqueId val="{00000001-8056-4750-94C8-20EDE5C36AA0}"/>
            </c:ext>
          </c:extLst>
        </c:ser>
        <c:dLbls>
          <c:showLegendKey val="0"/>
          <c:showVal val="0"/>
          <c:showCatName val="0"/>
          <c:showSerName val="0"/>
          <c:showPercent val="0"/>
          <c:showBubbleSize val="0"/>
        </c:dLbls>
        <c:marker val="1"/>
        <c:smooth val="0"/>
        <c:axId val="-75157552"/>
        <c:axId val="-75158096"/>
      </c:lineChart>
      <c:catAx>
        <c:axId val="-75161360"/>
        <c:scaling>
          <c:orientation val="minMax"/>
        </c:scaling>
        <c:delete val="0"/>
        <c:axPos val="b"/>
        <c:numFmt formatCode="General" sourceLinked="1"/>
        <c:majorTickMark val="out"/>
        <c:minorTickMark val="none"/>
        <c:tickLblPos val="nextTo"/>
        <c:spPr>
          <a:ln w="9525">
            <a:solidFill>
              <a:sysClr val="windowText" lastClr="000000"/>
            </a:solidFill>
          </a:ln>
        </c:spPr>
        <c:crossAx val="-75158640"/>
        <c:crosses val="autoZero"/>
        <c:auto val="1"/>
        <c:lblAlgn val="ctr"/>
        <c:lblOffset val="100"/>
        <c:noMultiLvlLbl val="0"/>
      </c:catAx>
      <c:valAx>
        <c:axId val="-75158640"/>
        <c:scaling>
          <c:orientation val="minMax"/>
          <c:max val="0.3500000000000003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75161360"/>
        <c:crosses val="autoZero"/>
        <c:crossBetween val="between"/>
        <c:majorUnit val="5.0000000000000024E-2"/>
        <c:minorUnit val="1.0000000000000005E-2"/>
      </c:valAx>
      <c:valAx>
        <c:axId val="-75158096"/>
        <c:scaling>
          <c:orientation val="minMax"/>
          <c:max val="0.4"/>
          <c:min val="0"/>
        </c:scaling>
        <c:delete val="1"/>
        <c:axPos val="r"/>
        <c:numFmt formatCode="0%" sourceLinked="0"/>
        <c:majorTickMark val="out"/>
        <c:minorTickMark val="none"/>
        <c:tickLblPos val="none"/>
        <c:crossAx val="-75157552"/>
        <c:crosses val="max"/>
        <c:crossBetween val="between"/>
      </c:valAx>
      <c:catAx>
        <c:axId val="-75157552"/>
        <c:scaling>
          <c:orientation val="minMax"/>
        </c:scaling>
        <c:delete val="1"/>
        <c:axPos val="b"/>
        <c:numFmt formatCode="General" sourceLinked="1"/>
        <c:majorTickMark val="out"/>
        <c:minorTickMark val="none"/>
        <c:tickLblPos val="none"/>
        <c:crossAx val="-75158096"/>
        <c:crosses val="autoZero"/>
        <c:auto val="1"/>
        <c:lblAlgn val="ctr"/>
        <c:lblOffset val="100"/>
        <c:noMultiLvlLbl val="0"/>
      </c:catAx>
      <c:spPr>
        <a:noFill/>
        <a:ln w="25400">
          <a:noFill/>
        </a:ln>
      </c:spPr>
    </c:plotArea>
    <c:legend>
      <c:legendPos val="r"/>
      <c:layout>
        <c:manualLayout>
          <c:xMode val="edge"/>
          <c:yMode val="edge"/>
          <c:x val="5.0934838054131293E-2"/>
          <c:y val="0.20190094378446596"/>
          <c:w val="0.94274896560205912"/>
          <c:h val="8.3518409284205328E-2"/>
        </c:manualLayout>
      </c:layout>
      <c:overlay val="0"/>
      <c:spPr>
        <a:solidFill>
          <a:schemeClr val="bg1"/>
        </a:solidFill>
        <a:ln w="6350">
          <a:noFill/>
        </a:ln>
      </c:spPr>
      <c:txPr>
        <a:bodyPr/>
        <a:lstStyle/>
        <a:p>
          <a:pPr>
            <a:defRPr spc="-20" baseline="0"/>
          </a:pPr>
          <a:endParaRPr lang="pl-PL"/>
        </a:p>
      </c:tx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022984668753521"/>
          <c:y val="9.9529474874034907E-2"/>
          <c:w val="0.48387608112764263"/>
          <c:h val="0.84538345115619673"/>
        </c:manualLayout>
      </c:layout>
      <c:barChart>
        <c:barDir val="bar"/>
        <c:grouping val="clustered"/>
        <c:varyColors val="0"/>
        <c:ser>
          <c:idx val="1"/>
          <c:order val="1"/>
          <c:tx>
            <c:strRef>
              <c:f>'12 struktura wyd.'!$D$23</c:f>
              <c:strCache>
                <c:ptCount val="1"/>
                <c:pt idx="0">
                  <c:v>2024</c:v>
                </c:pt>
              </c:strCache>
            </c:strRef>
          </c:tx>
          <c:spPr>
            <a:solidFill>
              <a:srgbClr val="66B68E"/>
            </a:solidFill>
          </c:spPr>
          <c:invertIfNegative val="0"/>
          <c:dPt>
            <c:idx val="0"/>
            <c:invertIfNegative val="0"/>
            <c:bubble3D val="0"/>
            <c:spPr>
              <a:solidFill>
                <a:srgbClr val="66B68E"/>
              </a:solidFill>
            </c:spPr>
            <c:extLst xmlns:c16r2="http://schemas.microsoft.com/office/drawing/2015/06/chart">
              <c:ext xmlns:c16="http://schemas.microsoft.com/office/drawing/2014/chart" uri="{C3380CC4-5D6E-409C-BE32-E72D297353CC}">
                <c16:uniqueId val="{00000004-DB20-47C0-8552-DE0A180293D5}"/>
              </c:ext>
            </c:extLst>
          </c:dPt>
          <c:dPt>
            <c:idx val="1"/>
            <c:invertIfNegative val="0"/>
            <c:bubble3D val="0"/>
            <c:spPr>
              <a:solidFill>
                <a:srgbClr val="66B68E"/>
              </a:solidFill>
            </c:spPr>
            <c:extLst xmlns:c16r2="http://schemas.microsoft.com/office/drawing/2015/06/chart">
              <c:ext xmlns:c16="http://schemas.microsoft.com/office/drawing/2014/chart" uri="{C3380CC4-5D6E-409C-BE32-E72D297353CC}">
                <c16:uniqueId val="{00000006-DB20-47C0-8552-DE0A180293D5}"/>
              </c:ext>
            </c:extLst>
          </c:dPt>
          <c:dPt>
            <c:idx val="2"/>
            <c:invertIfNegative val="0"/>
            <c:bubble3D val="0"/>
            <c:spPr>
              <a:solidFill>
                <a:srgbClr val="66B68E"/>
              </a:solidFill>
            </c:spPr>
            <c:extLst xmlns:c16r2="http://schemas.microsoft.com/office/drawing/2015/06/chart">
              <c:ext xmlns:c16="http://schemas.microsoft.com/office/drawing/2014/chart" uri="{C3380CC4-5D6E-409C-BE32-E72D297353CC}">
                <c16:uniqueId val="{00000008-DB20-47C0-8552-DE0A180293D5}"/>
              </c:ext>
            </c:extLst>
          </c:dPt>
          <c:dPt>
            <c:idx val="3"/>
            <c:invertIfNegative val="0"/>
            <c:bubble3D val="0"/>
            <c:spPr>
              <a:solidFill>
                <a:srgbClr val="66B68E"/>
              </a:solidFill>
            </c:spPr>
            <c:extLst xmlns:c16r2="http://schemas.microsoft.com/office/drawing/2015/06/chart">
              <c:ext xmlns:c16="http://schemas.microsoft.com/office/drawing/2014/chart" uri="{C3380CC4-5D6E-409C-BE32-E72D297353CC}">
                <c16:uniqueId val="{0000000A-DB20-47C0-8552-DE0A180293D5}"/>
              </c:ext>
            </c:extLst>
          </c:dPt>
          <c:dPt>
            <c:idx val="4"/>
            <c:invertIfNegative val="0"/>
            <c:bubble3D val="0"/>
            <c:spPr>
              <a:solidFill>
                <a:srgbClr val="99CEB3"/>
              </a:solidFill>
            </c:spPr>
            <c:extLst xmlns:c16r2="http://schemas.microsoft.com/office/drawing/2015/06/chart">
              <c:ext xmlns:c16="http://schemas.microsoft.com/office/drawing/2014/chart" uri="{C3380CC4-5D6E-409C-BE32-E72D297353CC}">
                <c16:uniqueId val="{0000000C-DB20-47C0-8552-DE0A180293D5}"/>
              </c:ext>
            </c:extLst>
          </c:dPt>
          <c:dPt>
            <c:idx val="5"/>
            <c:invertIfNegative val="0"/>
            <c:bubble3D val="0"/>
            <c:spPr>
              <a:solidFill>
                <a:srgbClr val="66B68E"/>
              </a:solidFill>
            </c:spPr>
            <c:extLst xmlns:c16r2="http://schemas.microsoft.com/office/drawing/2015/06/chart">
              <c:ext xmlns:c16="http://schemas.microsoft.com/office/drawing/2014/chart" uri="{C3380CC4-5D6E-409C-BE32-E72D297353CC}">
                <c16:uniqueId val="{0000000E-DB20-47C0-8552-DE0A180293D5}"/>
              </c:ext>
            </c:extLst>
          </c:dPt>
          <c:dPt>
            <c:idx val="6"/>
            <c:invertIfNegative val="0"/>
            <c:bubble3D val="0"/>
            <c:spPr>
              <a:solidFill>
                <a:srgbClr val="66B68E"/>
              </a:solidFill>
            </c:spPr>
            <c:extLst xmlns:c16r2="http://schemas.microsoft.com/office/drawing/2015/06/chart">
              <c:ext xmlns:c16="http://schemas.microsoft.com/office/drawing/2014/chart" uri="{C3380CC4-5D6E-409C-BE32-E72D297353CC}">
                <c16:uniqueId val="{00000010-DB20-47C0-8552-DE0A180293D5}"/>
              </c:ext>
            </c:extLst>
          </c:dPt>
          <c:dPt>
            <c:idx val="7"/>
            <c:invertIfNegative val="0"/>
            <c:bubble3D val="0"/>
            <c:spPr>
              <a:solidFill>
                <a:srgbClr val="66B68E"/>
              </a:solidFill>
            </c:spPr>
            <c:extLst xmlns:c16r2="http://schemas.microsoft.com/office/drawing/2015/06/chart">
              <c:ext xmlns:c16="http://schemas.microsoft.com/office/drawing/2014/chart" uri="{C3380CC4-5D6E-409C-BE32-E72D297353CC}">
                <c16:uniqueId val="{00000012-DB20-47C0-8552-DE0A180293D5}"/>
              </c:ext>
            </c:extLst>
          </c:dPt>
          <c:dPt>
            <c:idx val="8"/>
            <c:invertIfNegative val="0"/>
            <c:bubble3D val="0"/>
            <c:spPr>
              <a:solidFill>
                <a:srgbClr val="66B68E"/>
              </a:solidFill>
            </c:spPr>
            <c:extLst xmlns:c16r2="http://schemas.microsoft.com/office/drawing/2015/06/chart">
              <c:ext xmlns:c16="http://schemas.microsoft.com/office/drawing/2014/chart" uri="{C3380CC4-5D6E-409C-BE32-E72D297353CC}">
                <c16:uniqueId val="{00000014-DB20-47C0-8552-DE0A180293D5}"/>
              </c:ext>
            </c:extLst>
          </c:dPt>
          <c:dPt>
            <c:idx val="9"/>
            <c:invertIfNegative val="0"/>
            <c:bubble3D val="0"/>
            <c:spPr>
              <a:solidFill>
                <a:srgbClr val="66B68E"/>
              </a:solidFill>
            </c:spPr>
            <c:extLst xmlns:c16r2="http://schemas.microsoft.com/office/drawing/2015/06/chart">
              <c:ext xmlns:c16="http://schemas.microsoft.com/office/drawing/2014/chart" uri="{C3380CC4-5D6E-409C-BE32-E72D297353CC}">
                <c16:uniqueId val="{00000016-DB20-47C0-8552-DE0A180293D5}"/>
              </c:ext>
            </c:extLst>
          </c:dPt>
          <c:dPt>
            <c:idx val="10"/>
            <c:invertIfNegative val="0"/>
            <c:bubble3D val="0"/>
            <c:spPr>
              <a:solidFill>
                <a:srgbClr val="66B68E"/>
              </a:solidFill>
            </c:spPr>
            <c:extLst xmlns:c16r2="http://schemas.microsoft.com/office/drawing/2015/06/chart">
              <c:ext xmlns:c16="http://schemas.microsoft.com/office/drawing/2014/chart" uri="{C3380CC4-5D6E-409C-BE32-E72D297353CC}">
                <c16:uniqueId val="{00000018-DB20-47C0-8552-DE0A180293D5}"/>
              </c:ext>
            </c:extLst>
          </c:dPt>
          <c:dPt>
            <c:idx val="11"/>
            <c:invertIfNegative val="0"/>
            <c:bubble3D val="0"/>
            <c:spPr>
              <a:solidFill>
                <a:srgbClr val="66B68E"/>
              </a:solidFill>
            </c:spPr>
            <c:extLst xmlns:c16r2="http://schemas.microsoft.com/office/drawing/2015/06/chart">
              <c:ext xmlns:c16="http://schemas.microsoft.com/office/drawing/2014/chart" uri="{C3380CC4-5D6E-409C-BE32-E72D297353CC}">
                <c16:uniqueId val="{0000001A-DB20-47C0-8552-DE0A180293D5}"/>
              </c:ext>
            </c:extLst>
          </c:dPt>
          <c:dPt>
            <c:idx val="12"/>
            <c:invertIfNegative val="0"/>
            <c:bubble3D val="0"/>
            <c:spPr>
              <a:solidFill>
                <a:srgbClr val="66B68E"/>
              </a:solidFill>
            </c:spPr>
            <c:extLst xmlns:c16r2="http://schemas.microsoft.com/office/drawing/2015/06/chart">
              <c:ext xmlns:c16="http://schemas.microsoft.com/office/drawing/2014/chart" uri="{C3380CC4-5D6E-409C-BE32-E72D297353CC}">
                <c16:uniqueId val="{0000001C-DB20-47C0-8552-DE0A180293D5}"/>
              </c:ext>
            </c:extLst>
          </c:dPt>
          <c:dPt>
            <c:idx val="13"/>
            <c:invertIfNegative val="0"/>
            <c:bubble3D val="0"/>
            <c:spPr>
              <a:solidFill>
                <a:srgbClr val="66B68E"/>
              </a:solidFill>
            </c:spPr>
            <c:extLst xmlns:c16r2="http://schemas.microsoft.com/office/drawing/2015/06/chart">
              <c:ext xmlns:c16="http://schemas.microsoft.com/office/drawing/2014/chart" uri="{C3380CC4-5D6E-409C-BE32-E72D297353CC}">
                <c16:uniqueId val="{0000001E-DB20-47C0-8552-DE0A180293D5}"/>
              </c:ext>
            </c:extLst>
          </c:dPt>
          <c:dPt>
            <c:idx val="14"/>
            <c:invertIfNegative val="0"/>
            <c:bubble3D val="0"/>
            <c:spPr>
              <a:solidFill>
                <a:srgbClr val="66B68E"/>
              </a:solidFill>
            </c:spPr>
            <c:extLst xmlns:c16r2="http://schemas.microsoft.com/office/drawing/2015/06/chart">
              <c:ext xmlns:c16="http://schemas.microsoft.com/office/drawing/2014/chart" uri="{C3380CC4-5D6E-409C-BE32-E72D297353CC}">
                <c16:uniqueId val="{00000020-DB20-47C0-8552-DE0A180293D5}"/>
              </c:ext>
            </c:extLst>
          </c:dPt>
          <c:dLbls>
            <c:spPr>
              <a:noFill/>
              <a:ln>
                <a:noFill/>
              </a:ln>
              <a:effectLst/>
            </c:spPr>
            <c:txPr>
              <a:bodyPr wrap="square" lIns="38100" tIns="19050" rIns="38100" bIns="19050" anchor="ctr">
                <a:spAutoFit/>
              </a:bodyPr>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'12 struktura wyd.'!$B$24:$B$38</c:f>
              <c:strCache>
                <c:ptCount val="15"/>
                <c:pt idx="0">
                  <c:v>food and non-alcoholic beverages</c:v>
                </c:pt>
                <c:pt idx="1">
                  <c:v>alcoholic beverages, tobacco</c:v>
                </c:pt>
                <c:pt idx="2">
                  <c:v>clothing and footwear</c:v>
                </c:pt>
                <c:pt idx="3">
                  <c:v>housing, water, electricity, gas and other fuels</c:v>
                </c:pt>
                <c:pt idx="4">
                  <c:v>of which electricity, gas and other fuels</c:v>
                </c:pt>
                <c:pt idx="5">
                  <c:v>furnishings, household equipment and maintenance</c:v>
                </c:pt>
                <c:pt idx="6">
                  <c:v>health</c:v>
                </c:pt>
                <c:pt idx="7">
                  <c:v>transport</c:v>
                </c:pt>
                <c:pt idx="8">
                  <c:v>communication</c:v>
                </c:pt>
                <c:pt idx="9">
                  <c:v>recreation and culture</c:v>
                </c:pt>
                <c:pt idx="10">
                  <c:v>education</c:v>
                </c:pt>
                <c:pt idx="11">
                  <c:v>restaurants and hotels</c:v>
                </c:pt>
                <c:pt idx="12">
                  <c:v>miscellaneous goods and services</c:v>
                </c:pt>
                <c:pt idx="13">
                  <c:v>other expenditures</c:v>
                </c:pt>
                <c:pt idx="14">
                  <c:v>pocket money</c:v>
                </c:pt>
              </c:strCache>
            </c:strRef>
          </c:cat>
          <c:val>
            <c:numRef>
              <c:f>'12 struktura wyd.'!$D$24:$D$38</c:f>
              <c:numCache>
                <c:formatCode>0.0%</c:formatCode>
                <c:ptCount val="15"/>
                <c:pt idx="0">
                  <c:v>0.253</c:v>
                </c:pt>
                <c:pt idx="1">
                  <c:v>2.5000000000000001E-2</c:v>
                </c:pt>
                <c:pt idx="2">
                  <c:v>3.7999999999999999E-2</c:v>
                </c:pt>
                <c:pt idx="3">
                  <c:v>0.188</c:v>
                </c:pt>
                <c:pt idx="4">
                  <c:v>0.107</c:v>
                </c:pt>
                <c:pt idx="5">
                  <c:v>5.0999999999999997E-2</c:v>
                </c:pt>
                <c:pt idx="6">
                  <c:v>5.6000000000000001E-2</c:v>
                </c:pt>
                <c:pt idx="7">
                  <c:v>0.107</c:v>
                </c:pt>
                <c:pt idx="8">
                  <c:v>3.9E-2</c:v>
                </c:pt>
                <c:pt idx="9">
                  <c:v>6.9000000000000006E-2</c:v>
                </c:pt>
                <c:pt idx="10">
                  <c:v>0.01</c:v>
                </c:pt>
                <c:pt idx="11">
                  <c:v>5.2999999999999999E-2</c:v>
                </c:pt>
                <c:pt idx="12">
                  <c:v>6.0999999999999999E-2</c:v>
                </c:pt>
                <c:pt idx="13">
                  <c:v>3.4000000000000002E-2</c:v>
                </c:pt>
                <c:pt idx="14">
                  <c:v>1.7000000000000001E-2</c:v>
                </c:pt>
              </c:numCache>
            </c:numRef>
          </c:val>
          <c:extLst xmlns:c16r2="http://schemas.microsoft.com/office/drawing/2015/06/chart">
            <c:ext xmlns:c16="http://schemas.microsoft.com/office/drawing/2014/chart" uri="{C3380CC4-5D6E-409C-BE32-E72D297353CC}">
              <c16:uniqueId val="{00000021-DB20-47C0-8552-DE0A180293D5}"/>
            </c:ext>
          </c:extLst>
        </c:ser>
        <c:dLbls>
          <c:showLegendKey val="0"/>
          <c:showVal val="0"/>
          <c:showCatName val="0"/>
          <c:showSerName val="0"/>
          <c:showPercent val="0"/>
          <c:showBubbleSize val="0"/>
        </c:dLbls>
        <c:gapWidth val="50"/>
        <c:axId val="-75155920"/>
        <c:axId val="-75154832"/>
        <c:extLst>
          <c:ext xmlns:c15="http://schemas.microsoft.com/office/drawing/2012/chart" uri="{02D57815-91ED-43cb-92C2-25804820EDAC}">
            <c15:filteredBarSeries>
              <c15:ser>
                <c:idx val="0"/>
                <c:order val="0"/>
                <c:tx>
                  <c:strRef>
                    <c:extLst>
                      <c:ext uri="{02D57815-91ED-43cb-92C2-25804820EDAC}">
                        <c15:formulaRef>
                          <c15:sqref>'12 struktura wyd.'!$C$23</c15:sqref>
                        </c15:formulaRef>
                      </c:ext>
                    </c:extLst>
                    <c:strCache>
                      <c:ptCount val="1"/>
                      <c:pt idx="0">
                        <c:v>2023</c:v>
                      </c:pt>
                    </c:strCache>
                  </c:strRef>
                </c:tx>
                <c:spPr>
                  <a:solidFill>
                    <a:srgbClr val="66B68E"/>
                  </a:solidFill>
                  <a:ln>
                    <a:noFill/>
                  </a:ln>
                  <a:scene3d>
                    <a:camera prst="orthographicFront"/>
                    <a:lightRig rig="threePt" dir="t"/>
                  </a:scene3d>
                </c:spPr>
                <c:invertIfNegative val="0"/>
                <c:dPt>
                  <c:idx val="4"/>
                  <c:invertIfNegative val="0"/>
                  <c:bubble3D val="0"/>
                  <c:spPr>
                    <a:solidFill>
                      <a:srgbClr val="99CEB3"/>
                    </a:solidFill>
                    <a:ln>
                      <a:noFill/>
                    </a:ln>
                    <a:scene3d>
                      <a:camera prst="orthographicFront"/>
                      <a:lightRig rig="threePt" dir="t"/>
                    </a:scene3d>
                  </c:spPr>
                  <c:extLst xmlns:c16r2="http://schemas.microsoft.com/office/drawing/2015/06/chart">
                    <c:ext xmlns:c16="http://schemas.microsoft.com/office/drawing/2014/chart" uri="{C3380CC4-5D6E-409C-BE32-E72D297353CC}">
                      <c16:uniqueId val="{00000001-DB20-47C0-8552-DE0A180293D5}"/>
                    </c:ext>
                  </c:extLst>
                </c:dPt>
                <c:dLbls>
                  <c:spPr>
                    <a:noFill/>
                    <a:ln>
                      <a:noFill/>
                    </a:ln>
                    <a:effectLst/>
                  </c:spPr>
                  <c:txPr>
                    <a:bodyPr wrap="square" lIns="38100" tIns="19050" rIns="38100" bIns="19050" anchor="ctr">
                      <a:spAutoFit/>
                    </a:bodyPr>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0"/>
                    </c:ext>
                  </c:extLst>
                </c:dLbls>
                <c:cat>
                  <c:strRef>
                    <c:extLst>
                      <c:ext uri="{02D57815-91ED-43cb-92C2-25804820EDAC}">
                        <c15:formulaRef>
                          <c15:sqref>'12 struktura wyd.'!$B$24:$B$38</c15:sqref>
                        </c15:formulaRef>
                      </c:ext>
                    </c:extLst>
                    <c:strCache>
                      <c:ptCount val="15"/>
                      <c:pt idx="0">
                        <c:v>food and non-alcoholic beverages</c:v>
                      </c:pt>
                      <c:pt idx="1">
                        <c:v>alcoholic beverages, tobacco</c:v>
                      </c:pt>
                      <c:pt idx="2">
                        <c:v>clothing and footwear</c:v>
                      </c:pt>
                      <c:pt idx="3">
                        <c:v>housing, water, electricity, gas and other fuels</c:v>
                      </c:pt>
                      <c:pt idx="4">
                        <c:v>of which electricity, gas and other fuels</c:v>
                      </c:pt>
                      <c:pt idx="5">
                        <c:v>furnishings, household equipment and maintenance</c:v>
                      </c:pt>
                      <c:pt idx="6">
                        <c:v>health</c:v>
                      </c:pt>
                      <c:pt idx="7">
                        <c:v>transport</c:v>
                      </c:pt>
                      <c:pt idx="8">
                        <c:v>communication</c:v>
                      </c:pt>
                      <c:pt idx="9">
                        <c:v>recreation and culture</c:v>
                      </c:pt>
                      <c:pt idx="10">
                        <c:v>education</c:v>
                      </c:pt>
                      <c:pt idx="11">
                        <c:v>restaurants and hotels</c:v>
                      </c:pt>
                      <c:pt idx="12">
                        <c:v>miscellaneous goods and services</c:v>
                      </c:pt>
                      <c:pt idx="13">
                        <c:v>other expenditures</c:v>
                      </c:pt>
                      <c:pt idx="14">
                        <c:v>pocket money</c:v>
                      </c:pt>
                    </c:strCache>
                  </c:strRef>
                </c:cat>
                <c:val>
                  <c:numRef>
                    <c:extLst>
                      <c:ext uri="{02D57815-91ED-43cb-92C2-25804820EDAC}">
                        <c15:formulaRef>
                          <c15:sqref>'12 struktura wyd.'!$C$24:$C$38</c15:sqref>
                        </c15:formulaRef>
                      </c:ext>
                    </c:extLst>
                    <c:numCache>
                      <c:formatCode>0.0%</c:formatCode>
                      <c:ptCount val="15"/>
                      <c:pt idx="0">
                        <c:v>0.27200000000000002</c:v>
                      </c:pt>
                      <c:pt idx="1">
                        <c:v>2.5999999999999999E-2</c:v>
                      </c:pt>
                      <c:pt idx="2">
                        <c:v>3.7999999999999999E-2</c:v>
                      </c:pt>
                      <c:pt idx="3">
                        <c:v>0.19900000000000001</c:v>
                      </c:pt>
                      <c:pt idx="4">
                        <c:v>0.115</c:v>
                      </c:pt>
                      <c:pt idx="5">
                        <c:v>4.8000000000000001E-2</c:v>
                      </c:pt>
                      <c:pt idx="6">
                        <c:v>5.1999999999999998E-2</c:v>
                      </c:pt>
                      <c:pt idx="7">
                        <c:v>0.09</c:v>
                      </c:pt>
                      <c:pt idx="8">
                        <c:v>4.1000000000000002E-2</c:v>
                      </c:pt>
                      <c:pt idx="9">
                        <c:v>6.2E-2</c:v>
                      </c:pt>
                      <c:pt idx="10">
                        <c:v>8.9999999999999993E-3</c:v>
                      </c:pt>
                      <c:pt idx="11">
                        <c:v>5.0999999999999997E-2</c:v>
                      </c:pt>
                      <c:pt idx="12">
                        <c:v>6.3E-2</c:v>
                      </c:pt>
                      <c:pt idx="13">
                        <c:v>3.4000000000000002E-2</c:v>
                      </c:pt>
                      <c:pt idx="14">
                        <c:v>1.4999999999999999E-2</c:v>
                      </c:pt>
                    </c:numCache>
                  </c:numRef>
                </c:val>
                <c:extLst xmlns:c16r2="http://schemas.microsoft.com/office/drawing/2015/06/chart">
                  <c:ext xmlns:c16="http://schemas.microsoft.com/office/drawing/2014/chart" uri="{C3380CC4-5D6E-409C-BE32-E72D297353CC}">
                    <c16:uniqueId val="{00000002-DB20-47C0-8552-DE0A180293D5}"/>
                  </c:ext>
                </c:extLst>
              </c15:ser>
            </c15:filteredBarSeries>
          </c:ext>
        </c:extLst>
      </c:barChart>
      <c:catAx>
        <c:axId val="-75155920"/>
        <c:scaling>
          <c:orientation val="maxMin"/>
        </c:scaling>
        <c:delete val="0"/>
        <c:axPos val="l"/>
        <c:numFmt formatCode="General" sourceLinked="0"/>
        <c:majorTickMark val="out"/>
        <c:minorTickMark val="none"/>
        <c:tickLblPos val="nextTo"/>
        <c:spPr>
          <a:ln w="9525">
            <a:solidFill>
              <a:sysClr val="windowText" lastClr="000000"/>
            </a:solidFill>
          </a:ln>
        </c:spPr>
        <c:txPr>
          <a:bodyPr/>
          <a:lstStyle/>
          <a:p>
            <a:pPr>
              <a:defRPr sz="850" baseline="0"/>
            </a:pPr>
            <a:endParaRPr lang="pl-PL"/>
          </a:p>
        </c:txPr>
        <c:crossAx val="-75154832"/>
        <c:crossesAt val="0"/>
        <c:auto val="1"/>
        <c:lblAlgn val="ctr"/>
        <c:lblOffset val="100"/>
        <c:noMultiLvlLbl val="0"/>
      </c:catAx>
      <c:valAx>
        <c:axId val="-75154832"/>
        <c:scaling>
          <c:orientation val="minMax"/>
        </c:scaling>
        <c:delete val="0"/>
        <c:axPos val="b"/>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75155920"/>
        <c:crosses val="max"/>
        <c:crossBetween val="between"/>
      </c:valAx>
    </c:plotArea>
    <c:plotVisOnly val="1"/>
    <c:dispBlanksAs val="zero"/>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018911698537696E-2"/>
          <c:y val="0.2483646876003785"/>
          <c:w val="0.92000257780277461"/>
          <c:h val="0.66388179426854999"/>
        </c:manualLayout>
      </c:layout>
      <c:barChart>
        <c:barDir val="col"/>
        <c:grouping val="clustered"/>
        <c:varyColors val="0"/>
        <c:ser>
          <c:idx val="0"/>
          <c:order val="0"/>
          <c:tx>
            <c:strRef>
              <c:f>'15 dochody wydatki kwintyle'!$B$13</c:f>
              <c:strCache>
                <c:ptCount val="1"/>
                <c:pt idx="0">
                  <c:v>Available income</c:v>
                </c:pt>
              </c:strCache>
            </c:strRef>
          </c:tx>
          <c:spPr>
            <a:solidFill>
              <a:srgbClr val="334A92"/>
            </a:solidFill>
            <a:ln w="38100"/>
            <a:scene3d>
              <a:camera prst="orthographicFront"/>
              <a:lightRig rig="threePt" dir="t"/>
            </a:scene3d>
          </c:spPr>
          <c:invertIfNegative val="0"/>
          <c:dLbls>
            <c:dLbl>
              <c:idx val="2"/>
              <c:layout>
                <c:manualLayout>
                  <c:x val="0"/>
                  <c:y val="1.087488310949087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10C-4649-A7DB-C4DA2B3CEE7D}"/>
                </c:ext>
                <c:ext xmlns:c15="http://schemas.microsoft.com/office/drawing/2012/chart" uri="{CE6537A1-D6FC-4f65-9D91-7224C49458BB}">
                  <c15:layout/>
                </c:ext>
              </c:extLst>
            </c:dLbl>
            <c:numFmt formatCode="0" sourceLinked="0"/>
            <c:spPr>
              <a:noFill/>
              <a:ln>
                <a:noFill/>
              </a:ln>
              <a:effectLst/>
            </c:spPr>
            <c:txPr>
              <a:bodyPr wrap="square" lIns="38100" tIns="19050" rIns="38100" bIns="19050" anchor="ctr">
                <a:spAutoFit/>
              </a:bodyPr>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'15 dochody wydatki kwintyle'!$C$11:$N$11</c:f>
              <c:strCache>
                <c:ptCount val="6"/>
                <c:pt idx="0">
                  <c:v>Total</c:v>
                </c:pt>
                <c:pt idx="1">
                  <c:v>first</c:v>
                </c:pt>
                <c:pt idx="2">
                  <c:v>second</c:v>
                </c:pt>
                <c:pt idx="3">
                  <c:v>third</c:v>
                </c:pt>
                <c:pt idx="4">
                  <c:v>fourth</c:v>
                </c:pt>
                <c:pt idx="5">
                  <c:v>fifth</c:v>
                </c:pt>
              </c:strCache>
            </c:strRef>
          </c:cat>
          <c:val>
            <c:numRef>
              <c:f>'15 dochody wydatki kwintyle'!$C$13:$N$13</c:f>
              <c:numCache>
                <c:formatCode>0.00</c:formatCode>
                <c:ptCount val="6"/>
                <c:pt idx="0">
                  <c:v>3167.17</c:v>
                </c:pt>
                <c:pt idx="1">
                  <c:v>1150.8599999999999</c:v>
                </c:pt>
                <c:pt idx="2">
                  <c:v>2225.17</c:v>
                </c:pt>
                <c:pt idx="3">
                  <c:v>2838.28</c:v>
                </c:pt>
                <c:pt idx="4">
                  <c:v>3598</c:v>
                </c:pt>
                <c:pt idx="5">
                  <c:v>6071.28</c:v>
                </c:pt>
              </c:numCache>
            </c:numRef>
          </c:val>
          <c:extLst xmlns:c16r2="http://schemas.microsoft.com/office/drawing/2015/06/chart">
            <c:ext xmlns:c16="http://schemas.microsoft.com/office/drawing/2014/chart" uri="{C3380CC4-5D6E-409C-BE32-E72D297353CC}">
              <c16:uniqueId val="{00000002-210C-4649-A7DB-C4DA2B3CEE7D}"/>
            </c:ext>
          </c:extLst>
        </c:ser>
        <c:ser>
          <c:idx val="1"/>
          <c:order val="1"/>
          <c:tx>
            <c:strRef>
              <c:f>'15 dochody wydatki kwintyle'!$B$14</c:f>
              <c:strCache>
                <c:ptCount val="1"/>
                <c:pt idx="0">
                  <c:v>Expenditure</c:v>
                </c:pt>
              </c:strCache>
            </c:strRef>
          </c:tx>
          <c:spPr>
            <a:solidFill>
              <a:srgbClr val="66B68E"/>
            </a:solidFill>
            <a:ln w="38100"/>
            <a:effectLst/>
            <a:scene3d>
              <a:camera prst="orthographicFront"/>
              <a:lightRig rig="threePt" dir="t"/>
            </a:scene3d>
          </c:spPr>
          <c:invertIfNegative val="0"/>
          <c:dLbls>
            <c:dLbl>
              <c:idx val="0"/>
              <c:layout>
                <c:manualLayout>
                  <c:x val="7.437709185570844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10C-4649-A7DB-C4DA2B3CEE7D}"/>
                </c:ext>
                <c:ext xmlns:c15="http://schemas.microsoft.com/office/drawing/2012/chart" uri="{CE6537A1-D6FC-4f65-9D91-7224C49458BB}">
                  <c15:layout/>
                </c:ext>
              </c:extLst>
            </c:dLbl>
            <c:dLbl>
              <c:idx val="1"/>
              <c:layout>
                <c:manualLayout>
                  <c:x val="4.958472790380562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5BC-43FC-A988-305E1DB26752}"/>
                </c:ext>
                <c:ext xmlns:c15="http://schemas.microsoft.com/office/drawing/2012/chart" uri="{CE6537A1-D6FC-4f65-9D91-7224C49458BB}">
                  <c15:layout/>
                </c:ext>
              </c:extLst>
            </c:dLbl>
            <c:dLbl>
              <c:idx val="2"/>
              <c:layout>
                <c:manualLayout>
                  <c:x val="4.958472790380562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10C-4649-A7DB-C4DA2B3CEE7D}"/>
                </c:ext>
                <c:ext xmlns:c15="http://schemas.microsoft.com/office/drawing/2012/chart" uri="{CE6537A1-D6FC-4f65-9D91-7224C49458BB}">
                  <c15:layout/>
                </c:ext>
              </c:extLst>
            </c:dLbl>
            <c:dLbl>
              <c:idx val="3"/>
              <c:layout>
                <c:manualLayout>
                  <c:x val="4.9584727903804722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10C-4649-A7DB-C4DA2B3CEE7D}"/>
                </c:ext>
                <c:ext xmlns:c15="http://schemas.microsoft.com/office/drawing/2012/chart" uri="{CE6537A1-D6FC-4f65-9D91-7224C49458BB}">
                  <c15:layout/>
                </c:ext>
              </c:extLst>
            </c:dLbl>
            <c:dLbl>
              <c:idx val="4"/>
              <c:layout>
                <c:manualLayout>
                  <c:x val="4.9584727903805624E-3"/>
                  <c:y val="-8.139010675937309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10C-4649-A7DB-C4DA2B3CEE7D}"/>
                </c:ext>
                <c:ext xmlns:c15="http://schemas.microsoft.com/office/drawing/2012/chart" uri="{CE6537A1-D6FC-4f65-9D91-7224C49458BB}">
                  <c15:layout/>
                </c:ext>
              </c:extLst>
            </c:dLbl>
            <c:dLbl>
              <c:idx val="5"/>
              <c:layout>
                <c:manualLayout>
                  <c:x val="4.9584727903805624E-3"/>
                  <c:y val="-8.139010675937309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10C-4649-A7DB-C4DA2B3CEE7D}"/>
                </c:ext>
                <c:ext xmlns:c15="http://schemas.microsoft.com/office/drawing/2012/chart" uri="{CE6537A1-D6FC-4f65-9D91-7224C49458BB}">
                  <c15:layout/>
                </c:ext>
              </c:extLst>
            </c:dLbl>
            <c:numFmt formatCode="0" sourceLinked="0"/>
            <c:spPr>
              <a:noFill/>
              <a:ln>
                <a:noFill/>
              </a:ln>
              <a:effectLst/>
            </c:spPr>
            <c:txPr>
              <a:bodyPr wrap="square" lIns="18000" tIns="19050" rIns="18000" bIns="19050" anchor="ctr">
                <a:spAutoFit/>
              </a:bodyPr>
              <a:lstStyle/>
              <a:p>
                <a:pPr>
                  <a:defRPr sz="900" spc="-30" baseline="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'15 dochody wydatki kwintyle'!$C$11:$N$11</c:f>
              <c:strCache>
                <c:ptCount val="6"/>
                <c:pt idx="0">
                  <c:v>Total</c:v>
                </c:pt>
                <c:pt idx="1">
                  <c:v>first</c:v>
                </c:pt>
                <c:pt idx="2">
                  <c:v>second</c:v>
                </c:pt>
                <c:pt idx="3">
                  <c:v>third</c:v>
                </c:pt>
                <c:pt idx="4">
                  <c:v>fourth</c:v>
                </c:pt>
                <c:pt idx="5">
                  <c:v>fifth</c:v>
                </c:pt>
              </c:strCache>
            </c:strRef>
          </c:cat>
          <c:val>
            <c:numRef>
              <c:f>'15 dochody wydatki kwintyle'!$C$14:$N$14</c:f>
              <c:numCache>
                <c:formatCode>0.00</c:formatCode>
                <c:ptCount val="6"/>
                <c:pt idx="0">
                  <c:v>1878.49</c:v>
                </c:pt>
                <c:pt idx="1">
                  <c:v>1302.4000000000001</c:v>
                </c:pt>
                <c:pt idx="2">
                  <c:v>1416.8</c:v>
                </c:pt>
                <c:pt idx="3">
                  <c:v>1658.55</c:v>
                </c:pt>
                <c:pt idx="4">
                  <c:v>2021.04</c:v>
                </c:pt>
                <c:pt idx="5">
                  <c:v>3011.99</c:v>
                </c:pt>
              </c:numCache>
            </c:numRef>
          </c:val>
          <c:extLst xmlns:c16r2="http://schemas.microsoft.com/office/drawing/2015/06/chart">
            <c:ext xmlns:c16="http://schemas.microsoft.com/office/drawing/2014/chart" uri="{C3380CC4-5D6E-409C-BE32-E72D297353CC}">
              <c16:uniqueId val="{0000000D-210C-4649-A7DB-C4DA2B3CEE7D}"/>
            </c:ext>
          </c:extLst>
        </c:ser>
        <c:dLbls>
          <c:showLegendKey val="0"/>
          <c:showVal val="0"/>
          <c:showCatName val="0"/>
          <c:showSerName val="0"/>
          <c:showPercent val="0"/>
          <c:showBubbleSize val="0"/>
        </c:dLbls>
        <c:gapWidth val="35"/>
        <c:axId val="-79462992"/>
        <c:axId val="-79457552"/>
      </c:barChart>
      <c:barChart>
        <c:barDir val="col"/>
        <c:grouping val="clustered"/>
        <c:varyColors val="0"/>
        <c:ser>
          <c:idx val="2"/>
          <c:order val="2"/>
          <c:tx>
            <c:strRef>
              <c:f>'15 dochody wydatki kwintyle'!$B$15</c:f>
              <c:strCache>
                <c:ptCount val="1"/>
                <c:pt idx="0">
                  <c:v>The share of expenditure in available income</c:v>
                </c:pt>
              </c:strCache>
            </c:strRef>
          </c:tx>
          <c:spPr>
            <a:solidFill>
              <a:srgbClr val="5F5F5F">
                <a:lumMod val="20000"/>
                <a:lumOff val="80000"/>
              </a:srgbClr>
            </a:solidFill>
            <a:ln w="3175">
              <a:solidFill>
                <a:srgbClr val="4D4D4D">
                  <a:lumMod val="40000"/>
                  <a:lumOff val="60000"/>
                </a:srgbClr>
              </a:solidFill>
            </a:ln>
            <a:scene3d>
              <a:camera prst="orthographicFront"/>
              <a:lightRig rig="threePt" dir="t"/>
            </a:scene3d>
          </c:spPr>
          <c:invertIfNegative val="0"/>
          <c:dPt>
            <c:idx val="0"/>
            <c:invertIfNegative val="0"/>
            <c:bubble3D val="0"/>
            <c:spPr>
              <a:noFill/>
              <a:ln w="3175">
                <a:noFill/>
              </a:ln>
              <a:scene3d>
                <a:camera prst="orthographicFront"/>
                <a:lightRig rig="threePt" dir="t"/>
              </a:scene3d>
            </c:spPr>
          </c:dPt>
          <c:dPt>
            <c:idx val="1"/>
            <c:invertIfNegative val="0"/>
            <c:bubble3D val="0"/>
            <c:spPr>
              <a:noFill/>
              <a:ln w="3175">
                <a:noFill/>
              </a:ln>
              <a:scene3d>
                <a:camera prst="orthographicFront"/>
                <a:lightRig rig="threePt" dir="t"/>
              </a:scene3d>
            </c:spPr>
          </c:dPt>
          <c:dPt>
            <c:idx val="2"/>
            <c:invertIfNegative val="0"/>
            <c:bubble3D val="0"/>
            <c:spPr>
              <a:noFill/>
              <a:ln w="3175">
                <a:noFill/>
              </a:ln>
              <a:scene3d>
                <a:camera prst="orthographicFront"/>
                <a:lightRig rig="threePt" dir="t"/>
              </a:scene3d>
            </c:spPr>
          </c:dPt>
          <c:dPt>
            <c:idx val="3"/>
            <c:invertIfNegative val="0"/>
            <c:bubble3D val="0"/>
            <c:spPr>
              <a:noFill/>
              <a:ln w="3175">
                <a:noFill/>
              </a:ln>
              <a:scene3d>
                <a:camera prst="orthographicFront"/>
                <a:lightRig rig="threePt" dir="t"/>
              </a:scene3d>
            </c:spPr>
          </c:dPt>
          <c:dPt>
            <c:idx val="4"/>
            <c:invertIfNegative val="0"/>
            <c:bubble3D val="0"/>
            <c:spPr>
              <a:noFill/>
              <a:ln w="3175">
                <a:noFill/>
              </a:ln>
              <a:scene3d>
                <a:camera prst="orthographicFront"/>
                <a:lightRig rig="threePt" dir="t"/>
              </a:scene3d>
            </c:spPr>
          </c:dPt>
          <c:dPt>
            <c:idx val="5"/>
            <c:invertIfNegative val="0"/>
            <c:bubble3D val="0"/>
            <c:spPr>
              <a:noFill/>
              <a:ln w="3175">
                <a:noFill/>
              </a:ln>
              <a:scene3d>
                <a:camera prst="orthographicFront"/>
                <a:lightRig rig="threePt" dir="t"/>
              </a:scene3d>
            </c:spPr>
          </c:dPt>
          <c:dLbls>
            <c:spPr>
              <a:solidFill>
                <a:srgbClr val="4D4D4D">
                  <a:lumMod val="20000"/>
                  <a:lumOff val="80000"/>
                </a:srgbClr>
              </a:solidFill>
              <a:ln w="6350">
                <a:solidFill>
                  <a:sysClr val="window" lastClr="FFFFFF">
                    <a:lumMod val="65000"/>
                  </a:sysClr>
                </a:solidFill>
              </a:ln>
              <a:effectLst/>
              <a:scene3d>
                <a:camera prst="orthographicFront"/>
                <a:lightRig rig="threePt" dir="t"/>
              </a:scene3d>
            </c:spPr>
            <c:txPr>
              <a:bodyPr wrap="square" lIns="18000" tIns="19050" rIns="18000" bIns="19050" anchor="ctr">
                <a:spAutoFit/>
              </a:bodyPr>
              <a:lstStyle/>
              <a:p>
                <a:pPr>
                  <a:defRPr sz="900" spc="-30" baseline="0"/>
                </a:pPr>
                <a:endParaRPr lang="pl-PL"/>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0"/>
              </c:ext>
            </c:extLst>
          </c:dLbls>
          <c:cat>
            <c:multiLvlStrRef>
              <c:f>'15 dochody wydatki kwintyle'!$C$11:$N$12</c:f>
              <c:multiLvlStrCache>
                <c:ptCount val="6"/>
                <c:lvl>
                  <c:pt idx="0">
                    <c:v>2024</c:v>
                  </c:pt>
                  <c:pt idx="1">
                    <c:v>2024</c:v>
                  </c:pt>
                  <c:pt idx="2">
                    <c:v>2024</c:v>
                  </c:pt>
                  <c:pt idx="3">
                    <c:v>2024</c:v>
                  </c:pt>
                  <c:pt idx="4">
                    <c:v>2024</c:v>
                  </c:pt>
                  <c:pt idx="5">
                    <c:v>2024</c:v>
                  </c:pt>
                </c:lvl>
                <c:lvl>
                  <c:pt idx="0">
                    <c:v>Total</c:v>
                  </c:pt>
                  <c:pt idx="1">
                    <c:v>first</c:v>
                  </c:pt>
                  <c:pt idx="2">
                    <c:v>second</c:v>
                  </c:pt>
                  <c:pt idx="3">
                    <c:v>third</c:v>
                  </c:pt>
                  <c:pt idx="4">
                    <c:v>fourth</c:v>
                  </c:pt>
                  <c:pt idx="5">
                    <c:v>fifth</c:v>
                  </c:pt>
                </c:lvl>
              </c:multiLvlStrCache>
            </c:multiLvlStrRef>
          </c:cat>
          <c:val>
            <c:numRef>
              <c:f>'15 dochody wydatki kwintyle'!$C$15:$N$15</c:f>
              <c:numCache>
                <c:formatCode>0.0%</c:formatCode>
                <c:ptCount val="6"/>
                <c:pt idx="0">
                  <c:v>0.59311309465548101</c:v>
                </c:pt>
                <c:pt idx="1">
                  <c:v>1.1316754427124065</c:v>
                </c:pt>
                <c:pt idx="2">
                  <c:v>0.63671539702584512</c:v>
                </c:pt>
                <c:pt idx="3">
                  <c:v>0.58435038121679317</c:v>
                </c:pt>
                <c:pt idx="4">
                  <c:v>0.56171206225680936</c:v>
                </c:pt>
                <c:pt idx="5">
                  <c:v>0.49610461055988192</c:v>
                </c:pt>
              </c:numCache>
            </c:numRef>
          </c:val>
          <c:extLst xmlns:c16r2="http://schemas.microsoft.com/office/drawing/2015/06/chart">
            <c:ext xmlns:c16="http://schemas.microsoft.com/office/drawing/2014/chart" uri="{C3380CC4-5D6E-409C-BE32-E72D297353CC}">
              <c16:uniqueId val="{00000026-210C-4649-A7DB-C4DA2B3CEE7D}"/>
            </c:ext>
          </c:extLst>
        </c:ser>
        <c:dLbls>
          <c:showLegendKey val="0"/>
          <c:showVal val="0"/>
          <c:showCatName val="0"/>
          <c:showSerName val="0"/>
          <c:showPercent val="0"/>
          <c:showBubbleSize val="0"/>
        </c:dLbls>
        <c:gapWidth val="150"/>
        <c:axId val="-79460816"/>
        <c:axId val="-79461360"/>
      </c:barChart>
      <c:catAx>
        <c:axId val="-79462992"/>
        <c:scaling>
          <c:orientation val="minMax"/>
        </c:scaling>
        <c:delete val="0"/>
        <c:axPos val="b"/>
        <c:numFmt formatCode="General" sourceLinked="1"/>
        <c:majorTickMark val="out"/>
        <c:minorTickMark val="none"/>
        <c:tickLblPos val="nextTo"/>
        <c:spPr>
          <a:ln w="9525">
            <a:solidFill>
              <a:sysClr val="windowText" lastClr="000000"/>
            </a:solidFill>
          </a:ln>
        </c:spPr>
        <c:crossAx val="-79457552"/>
        <c:crosses val="autoZero"/>
        <c:auto val="1"/>
        <c:lblAlgn val="ctr"/>
        <c:lblOffset val="100"/>
        <c:noMultiLvlLbl val="0"/>
      </c:catAx>
      <c:valAx>
        <c:axId val="-79457552"/>
        <c:scaling>
          <c:orientation val="minMax"/>
          <c:max val="7000"/>
          <c:min val="0"/>
        </c:scaling>
        <c:delete val="0"/>
        <c:axPos val="l"/>
        <c:majorGridlines>
          <c:spPr>
            <a:ln w="6350">
              <a:solidFill>
                <a:sysClr val="window" lastClr="FFFFFF">
                  <a:lumMod val="65000"/>
                  <a:alpha val="76000"/>
                </a:sysClr>
              </a:solidFill>
            </a:ln>
          </c:spPr>
        </c:majorGridlines>
        <c:numFmt formatCode="0" sourceLinked="0"/>
        <c:majorTickMark val="out"/>
        <c:minorTickMark val="none"/>
        <c:tickLblPos val="nextTo"/>
        <c:spPr>
          <a:noFill/>
          <a:ln>
            <a:noFill/>
          </a:ln>
        </c:spPr>
        <c:txPr>
          <a:bodyPr/>
          <a:lstStyle/>
          <a:p>
            <a:pPr>
              <a:defRPr sz="900">
                <a:solidFill>
                  <a:sysClr val="windowText" lastClr="000000"/>
                </a:solidFill>
              </a:defRPr>
            </a:pPr>
            <a:endParaRPr lang="pl-PL"/>
          </a:p>
        </c:txPr>
        <c:crossAx val="-79462992"/>
        <c:crosses val="autoZero"/>
        <c:crossBetween val="between"/>
        <c:majorUnit val="1000"/>
      </c:valAx>
      <c:valAx>
        <c:axId val="-79461360"/>
        <c:scaling>
          <c:orientation val="minMax"/>
          <c:max val="1.4"/>
          <c:min val="0"/>
        </c:scaling>
        <c:delete val="1"/>
        <c:axPos val="r"/>
        <c:numFmt formatCode="0%" sourceLinked="0"/>
        <c:majorTickMark val="out"/>
        <c:minorTickMark val="none"/>
        <c:tickLblPos val="none"/>
        <c:crossAx val="-79460816"/>
        <c:crosses val="max"/>
        <c:crossBetween val="between"/>
        <c:majorUnit val="0.2"/>
      </c:valAx>
      <c:catAx>
        <c:axId val="-79460816"/>
        <c:scaling>
          <c:orientation val="minMax"/>
        </c:scaling>
        <c:delete val="1"/>
        <c:axPos val="b"/>
        <c:numFmt formatCode="General" sourceLinked="1"/>
        <c:majorTickMark val="out"/>
        <c:minorTickMark val="none"/>
        <c:tickLblPos val="none"/>
        <c:crossAx val="-79461360"/>
        <c:crosses val="autoZero"/>
        <c:auto val="1"/>
        <c:lblAlgn val="ctr"/>
        <c:lblOffset val="100"/>
        <c:noMultiLvlLbl val="0"/>
      </c:catAx>
    </c:plotArea>
    <c:legend>
      <c:legendPos val="r"/>
      <c:layout>
        <c:manualLayout>
          <c:xMode val="edge"/>
          <c:yMode val="edge"/>
          <c:x val="6.7434253871854713E-2"/>
          <c:y val="0.15658509059024736"/>
          <c:w val="0.93256583633365564"/>
          <c:h val="8.4510500134561461E-2"/>
        </c:manualLayout>
      </c:layout>
      <c:overlay val="0"/>
      <c:spPr>
        <a:no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994110111236105E-2"/>
          <c:y val="0.2271028498936653"/>
          <c:w val="0.92008928571428572"/>
          <c:h val="0.57015220216249929"/>
        </c:manualLayout>
      </c:layout>
      <c:barChart>
        <c:barDir val="col"/>
        <c:grouping val="clustered"/>
        <c:varyColors val="0"/>
        <c:ser>
          <c:idx val="0"/>
          <c:order val="0"/>
          <c:tx>
            <c:strRef>
              <c:f>'18 dochody wydatki klm'!$B$13</c:f>
              <c:strCache>
                <c:ptCount val="1"/>
                <c:pt idx="0">
                  <c:v>Available income</c:v>
                </c:pt>
              </c:strCache>
            </c:strRef>
          </c:tx>
          <c:spPr>
            <a:solidFill>
              <a:srgbClr val="334A92"/>
            </a:solidFill>
            <a:scene3d>
              <a:camera prst="orthographicFront"/>
              <a:lightRig rig="threePt" dir="t"/>
            </a:scene3d>
          </c:spPr>
          <c:invertIfNegative val="0"/>
          <c:dLbls>
            <c:dLbl>
              <c:idx val="5"/>
              <c:layout>
                <c:manualLayout>
                  <c:x val="0"/>
                  <c:y val="8.912655971479459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50B-4874-915E-E90E1F074191}"/>
                </c:ext>
                <c:ext xmlns:c15="http://schemas.microsoft.com/office/drawing/2012/chart" uri="{CE6537A1-D6FC-4f65-9D91-7224C49458BB}">
                  <c15:layout/>
                </c:ext>
              </c:extLst>
            </c:dLbl>
            <c:numFmt formatCode="0" sourceLinked="0"/>
            <c:spPr>
              <a:noFill/>
              <a:ln>
                <a:noFill/>
              </a:ln>
              <a:effectLst/>
            </c:spPr>
            <c:txPr>
              <a:bodyPr wrap="square" lIns="38100" tIns="19050" rIns="38100" bIns="19050" anchor="ctr">
                <a:spAutoFit/>
              </a:bodyPr>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'18 dochody wydatki klm'!$C$11:$P$11</c:f>
              <c:strCache>
                <c:ptCount val="7"/>
                <c:pt idx="0">
                  <c:v>Total</c:v>
                </c:pt>
                <c:pt idx="1">
                  <c:v>Urban areas
in total</c:v>
                </c:pt>
                <c:pt idx="2">
                  <c:v>Towns
below 20
thousand</c:v>
                </c:pt>
                <c:pt idx="3">
                  <c:v>Towns
20–99
thousand</c:v>
                </c:pt>
                <c:pt idx="4">
                  <c:v>Towns 
and cities
100–499
thousand</c:v>
                </c:pt>
                <c:pt idx="5">
                  <c:v>Cities
500 thousand
or over</c:v>
                </c:pt>
                <c:pt idx="6">
                  <c:v>Rural areas</c:v>
                </c:pt>
              </c:strCache>
            </c:strRef>
          </c:cat>
          <c:val>
            <c:numRef>
              <c:f>'18 dochody wydatki klm'!$C$13:$P$13</c:f>
              <c:numCache>
                <c:formatCode>0.00</c:formatCode>
                <c:ptCount val="7"/>
                <c:pt idx="0">
                  <c:v>3167.17</c:v>
                </c:pt>
                <c:pt idx="1">
                  <c:v>3446.85</c:v>
                </c:pt>
                <c:pt idx="2">
                  <c:v>2969.61</c:v>
                </c:pt>
                <c:pt idx="3">
                  <c:v>3201.13</c:v>
                </c:pt>
                <c:pt idx="4">
                  <c:v>3538.35</c:v>
                </c:pt>
                <c:pt idx="5">
                  <c:v>4212.09</c:v>
                </c:pt>
                <c:pt idx="6">
                  <c:v>2757.7</c:v>
                </c:pt>
              </c:numCache>
            </c:numRef>
          </c:val>
          <c:extLst xmlns:c16r2="http://schemas.microsoft.com/office/drawing/2015/06/chart">
            <c:ext xmlns:c16="http://schemas.microsoft.com/office/drawing/2014/chart" uri="{C3380CC4-5D6E-409C-BE32-E72D297353CC}">
              <c16:uniqueId val="{00000003-F50B-4874-915E-E90E1F074191}"/>
            </c:ext>
          </c:extLst>
        </c:ser>
        <c:ser>
          <c:idx val="1"/>
          <c:order val="1"/>
          <c:tx>
            <c:strRef>
              <c:f>'18 dochody wydatki klm'!$B$14</c:f>
              <c:strCache>
                <c:ptCount val="1"/>
                <c:pt idx="0">
                  <c:v>Expenditure</c:v>
                </c:pt>
              </c:strCache>
            </c:strRef>
          </c:tx>
          <c:spPr>
            <a:solidFill>
              <a:srgbClr val="66B68E"/>
            </a:solidFill>
            <a:scene3d>
              <a:camera prst="orthographicFront"/>
              <a:lightRig rig="threePt" dir="t"/>
            </a:scene3d>
          </c:spPr>
          <c:invertIfNegative val="0"/>
          <c:dLbls>
            <c:dLbl>
              <c:idx val="6"/>
              <c:layout>
                <c:manualLayout>
                  <c:x val="-1.8151927435671728E-16"/>
                  <c:y val="7.387862796833764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50B-4874-915E-E90E1F074191}"/>
                </c:ext>
                <c:ext xmlns:c15="http://schemas.microsoft.com/office/drawing/2012/chart" uri="{CE6537A1-D6FC-4f65-9D91-7224C49458BB}">
                  <c15:layout/>
                </c:ext>
              </c:extLst>
            </c:dLbl>
            <c:numFmt formatCode="0" sourceLinked="0"/>
            <c:spPr>
              <a:noFill/>
              <a:ln>
                <a:noFill/>
              </a:ln>
              <a:effectLst/>
            </c:spPr>
            <c:txPr>
              <a:bodyPr wrap="square" lIns="38100" tIns="19050" rIns="38100" bIns="19050" anchor="ctr">
                <a:spAutoFit/>
              </a:bodyPr>
              <a:lstStyle/>
              <a:p>
                <a:pPr>
                  <a:defRPr sz="900" spc="-30" baseline="0"/>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'18 dochody wydatki klm'!$C$11:$P$11</c:f>
              <c:strCache>
                <c:ptCount val="7"/>
                <c:pt idx="0">
                  <c:v>Total</c:v>
                </c:pt>
                <c:pt idx="1">
                  <c:v>Urban areas
in total</c:v>
                </c:pt>
                <c:pt idx="2">
                  <c:v>Towns
below 20
thousand</c:v>
                </c:pt>
                <c:pt idx="3">
                  <c:v>Towns
20–99
thousand</c:v>
                </c:pt>
                <c:pt idx="4">
                  <c:v>Towns 
and cities
100–499
thousand</c:v>
                </c:pt>
                <c:pt idx="5">
                  <c:v>Cities
500 thousand
or over</c:v>
                </c:pt>
                <c:pt idx="6">
                  <c:v>Rural areas</c:v>
                </c:pt>
              </c:strCache>
            </c:strRef>
          </c:cat>
          <c:val>
            <c:numRef>
              <c:f>'18 dochody wydatki klm'!$C$14:$P$14</c:f>
              <c:numCache>
                <c:formatCode>0.00</c:formatCode>
                <c:ptCount val="7"/>
                <c:pt idx="0">
                  <c:v>1878.49</c:v>
                </c:pt>
                <c:pt idx="1">
                  <c:v>2107.54</c:v>
                </c:pt>
                <c:pt idx="2">
                  <c:v>1754</c:v>
                </c:pt>
                <c:pt idx="3">
                  <c:v>1962.93</c:v>
                </c:pt>
                <c:pt idx="4">
                  <c:v>2160.79</c:v>
                </c:pt>
                <c:pt idx="5">
                  <c:v>2640.39</c:v>
                </c:pt>
                <c:pt idx="6">
                  <c:v>1543.14</c:v>
                </c:pt>
              </c:numCache>
            </c:numRef>
          </c:val>
          <c:extLst xmlns:c16r2="http://schemas.microsoft.com/office/drawing/2015/06/chart">
            <c:ext xmlns:c16="http://schemas.microsoft.com/office/drawing/2014/chart" uri="{C3380CC4-5D6E-409C-BE32-E72D297353CC}">
              <c16:uniqueId val="{00000006-F50B-4874-915E-E90E1F074191}"/>
            </c:ext>
          </c:extLst>
        </c:ser>
        <c:ser>
          <c:idx val="2"/>
          <c:order val="2"/>
          <c:tx>
            <c:strRef>
              <c:f>'18 dochody wydatki klm'!$B$15</c:f>
              <c:strCache>
                <c:ptCount val="1"/>
                <c:pt idx="0">
                  <c:v>The share of expenditure in available income</c:v>
                </c:pt>
              </c:strCache>
            </c:strRef>
          </c:tx>
          <c:spPr>
            <a:solidFill>
              <a:srgbClr val="4D4D4D">
                <a:lumMod val="20000"/>
                <a:lumOff val="80000"/>
              </a:srgbClr>
            </a:solidFill>
            <a:ln w="3175">
              <a:solidFill>
                <a:srgbClr val="4D4D4D">
                  <a:lumMod val="40000"/>
                  <a:lumOff val="60000"/>
                </a:srgbClr>
              </a:solidFill>
            </a:ln>
            <a:scene3d>
              <a:camera prst="orthographicFront"/>
              <a:lightRig rig="threePt" dir="t"/>
            </a:scene3d>
          </c:spPr>
          <c:invertIfNegative val="0"/>
          <c:dPt>
            <c:idx val="0"/>
            <c:invertIfNegative val="0"/>
            <c:bubble3D val="0"/>
            <c:spPr>
              <a:noFill/>
              <a:ln w="3175">
                <a:noFill/>
              </a:ln>
              <a:scene3d>
                <a:camera prst="orthographicFront"/>
                <a:lightRig rig="threePt" dir="t"/>
              </a:scene3d>
            </c:spPr>
          </c:dPt>
          <c:dPt>
            <c:idx val="1"/>
            <c:invertIfNegative val="0"/>
            <c:bubble3D val="0"/>
            <c:spPr>
              <a:noFill/>
              <a:ln w="3175">
                <a:noFill/>
              </a:ln>
              <a:scene3d>
                <a:camera prst="orthographicFront"/>
                <a:lightRig rig="threePt" dir="t"/>
              </a:scene3d>
            </c:spPr>
          </c:dPt>
          <c:dPt>
            <c:idx val="2"/>
            <c:invertIfNegative val="0"/>
            <c:bubble3D val="0"/>
            <c:spPr>
              <a:noFill/>
              <a:ln w="3175">
                <a:noFill/>
              </a:ln>
              <a:scene3d>
                <a:camera prst="orthographicFront"/>
                <a:lightRig rig="threePt" dir="t"/>
              </a:scene3d>
            </c:spPr>
          </c:dPt>
          <c:dPt>
            <c:idx val="3"/>
            <c:invertIfNegative val="0"/>
            <c:bubble3D val="0"/>
            <c:spPr>
              <a:noFill/>
              <a:ln w="3175">
                <a:noFill/>
              </a:ln>
              <a:scene3d>
                <a:camera prst="orthographicFront"/>
                <a:lightRig rig="threePt" dir="t"/>
              </a:scene3d>
            </c:spPr>
          </c:dPt>
          <c:dPt>
            <c:idx val="4"/>
            <c:invertIfNegative val="0"/>
            <c:bubble3D val="0"/>
            <c:spPr>
              <a:noFill/>
              <a:ln w="3175">
                <a:noFill/>
              </a:ln>
              <a:scene3d>
                <a:camera prst="orthographicFront"/>
                <a:lightRig rig="threePt" dir="t"/>
              </a:scene3d>
            </c:spPr>
          </c:dPt>
          <c:dPt>
            <c:idx val="5"/>
            <c:invertIfNegative val="0"/>
            <c:bubble3D val="0"/>
            <c:spPr>
              <a:noFill/>
              <a:ln w="3175">
                <a:noFill/>
              </a:ln>
              <a:scene3d>
                <a:camera prst="orthographicFront"/>
                <a:lightRig rig="threePt" dir="t"/>
              </a:scene3d>
            </c:spPr>
          </c:dPt>
          <c:dPt>
            <c:idx val="6"/>
            <c:invertIfNegative val="0"/>
            <c:bubble3D val="0"/>
            <c:spPr>
              <a:noFill/>
              <a:ln w="3175">
                <a:noFill/>
              </a:ln>
              <a:scene3d>
                <a:camera prst="orthographicFront"/>
                <a:lightRig rig="threePt" dir="t"/>
              </a:scene3d>
            </c:spPr>
          </c:dPt>
          <c:dLbls>
            <c:spPr>
              <a:solidFill>
                <a:srgbClr val="4D4D4D">
                  <a:lumMod val="20000"/>
                  <a:lumOff val="80000"/>
                </a:srgbClr>
              </a:solidFill>
              <a:ln w="6350">
                <a:solidFill>
                  <a:sysClr val="window" lastClr="FFFFFF">
                    <a:lumMod val="65000"/>
                  </a:sysClr>
                </a:solidFill>
              </a:ln>
              <a:effectLst/>
            </c:spPr>
            <c:txPr>
              <a:bodyPr lIns="18000" tIns="18000" rIns="18000" bIns="18000"/>
              <a:lstStyle/>
              <a:p>
                <a:pPr>
                  <a:defRPr sz="900">
                    <a:latin typeface="Fira Sans" panose="020B0503050000020004" pitchFamily="34" charset="0"/>
                    <a:ea typeface="Fira Sans" panose="020B0503050000020004" pitchFamily="34" charset="0"/>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0"/>
              </c:ext>
            </c:extLst>
          </c:dLbls>
          <c:cat>
            <c:strRef>
              <c:f>'18 dochody wydatki klm'!$C$11:$P$11</c:f>
              <c:strCache>
                <c:ptCount val="7"/>
                <c:pt idx="0">
                  <c:v>Total</c:v>
                </c:pt>
                <c:pt idx="1">
                  <c:v>Urban areas
in total</c:v>
                </c:pt>
                <c:pt idx="2">
                  <c:v>Towns
below 20
thousand</c:v>
                </c:pt>
                <c:pt idx="3">
                  <c:v>Towns
20–99
thousand</c:v>
                </c:pt>
                <c:pt idx="4">
                  <c:v>Towns 
and cities
100–499
thousand</c:v>
                </c:pt>
                <c:pt idx="5">
                  <c:v>Cities
500 thousand
or over</c:v>
                </c:pt>
                <c:pt idx="6">
                  <c:v>Rural areas</c:v>
                </c:pt>
              </c:strCache>
            </c:strRef>
          </c:cat>
          <c:val>
            <c:numRef>
              <c:f>'18 dochody wydatki klm'!$C$15:$P$15</c:f>
              <c:numCache>
                <c:formatCode>0.0%</c:formatCode>
                <c:ptCount val="7"/>
                <c:pt idx="0">
                  <c:v>0.59311309465548101</c:v>
                </c:pt>
                <c:pt idx="1">
                  <c:v>0.61143943020438951</c:v>
                </c:pt>
                <c:pt idx="2">
                  <c:v>0.59064995066692261</c:v>
                </c:pt>
                <c:pt idx="3">
                  <c:v>0.61319908907167153</c:v>
                </c:pt>
                <c:pt idx="4">
                  <c:v>0.61067729308858654</c:v>
                </c:pt>
                <c:pt idx="5">
                  <c:v>0.62685982493251569</c:v>
                </c:pt>
                <c:pt idx="6">
                  <c:v>0.5595750081589731</c:v>
                </c:pt>
              </c:numCache>
            </c:numRef>
          </c:val>
          <c:extLst xmlns:c16r2="http://schemas.microsoft.com/office/drawing/2015/06/chart">
            <c:ext xmlns:c16="http://schemas.microsoft.com/office/drawing/2014/chart" uri="{C3380CC4-5D6E-409C-BE32-E72D297353CC}">
              <c16:uniqueId val="{00000023-F50B-4874-915E-E90E1F074191}"/>
            </c:ext>
          </c:extLst>
        </c:ser>
        <c:dLbls>
          <c:showLegendKey val="0"/>
          <c:showVal val="0"/>
          <c:showCatName val="0"/>
          <c:showSerName val="0"/>
          <c:showPercent val="0"/>
          <c:showBubbleSize val="0"/>
        </c:dLbls>
        <c:gapWidth val="30"/>
        <c:overlap val="80"/>
        <c:axId val="-2098010848"/>
        <c:axId val="-2098007584"/>
      </c:barChart>
      <c:catAx>
        <c:axId val="-2098010848"/>
        <c:scaling>
          <c:orientation val="minMax"/>
        </c:scaling>
        <c:delete val="0"/>
        <c:axPos val="b"/>
        <c:numFmt formatCode="General" sourceLinked="1"/>
        <c:majorTickMark val="out"/>
        <c:minorTickMark val="none"/>
        <c:tickLblPos val="nextTo"/>
        <c:spPr>
          <a:ln w="9525">
            <a:solidFill>
              <a:sysClr val="windowText" lastClr="000000"/>
            </a:solidFill>
          </a:ln>
        </c:spPr>
        <c:crossAx val="-2098007584"/>
        <c:crosses val="autoZero"/>
        <c:auto val="1"/>
        <c:lblAlgn val="ctr"/>
        <c:lblOffset val="100"/>
        <c:noMultiLvlLbl val="0"/>
      </c:catAx>
      <c:valAx>
        <c:axId val="-2098007584"/>
        <c:scaling>
          <c:orientation val="minMax"/>
          <c:max val="500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2098010848"/>
        <c:crosses val="autoZero"/>
        <c:crossBetween val="between"/>
        <c:majorUnit val="1000"/>
      </c:valAx>
    </c:plotArea>
    <c:legend>
      <c:legendPos val="r"/>
      <c:layout>
        <c:manualLayout>
          <c:xMode val="edge"/>
          <c:yMode val="edge"/>
          <c:x val="7.1842414268688704E-2"/>
          <c:y val="0.13038518166413049"/>
          <c:w val="0.92815758573131046"/>
          <c:h val="8.5704540754436273E-2"/>
        </c:manualLayout>
      </c:layout>
      <c:overlay val="0"/>
      <c:spPr>
        <a:solidFill>
          <a:sysClr val="window" lastClr="FFFFFF"/>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6.24303E-7</cdr:y>
    </cdr:from>
    <cdr:to>
      <cdr:x>0.99927</cdr:x>
      <cdr:y>0.20323</cdr:y>
    </cdr:to>
    <cdr:sp macro="" textlink="">
      <cdr:nvSpPr>
        <cdr:cNvPr id="3" name="pole tekstowe 2"/>
        <cdr:cNvSpPr txBox="1"/>
      </cdr:nvSpPr>
      <cdr:spPr>
        <a:xfrm xmlns:a="http://schemas.openxmlformats.org/drawingml/2006/main">
          <a:off x="0" y="2"/>
          <a:ext cx="5116902" cy="651052"/>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endParaRPr lang="pl-PL" sz="900" b="1">
            <a:solidFill>
              <a:sysClr val="windowText" lastClr="000000"/>
            </a:solidFill>
            <a:latin typeface="Fira Sans" panose="020B0503050000020004" pitchFamily="34" charset="0"/>
            <a:ea typeface="Fira Sans" panose="020B0503050000020004" pitchFamily="34" charset="0"/>
            <a:cs typeface="Arial" panose="020B0604020202020204" pitchFamily="34" charset="0"/>
          </a:endParaRPr>
        </a:p>
        <a:p xmlns:a="http://schemas.openxmlformats.org/drawingml/2006/main">
          <a:pPr algn="l"/>
          <a:endParaRPr lang="pl-PL" sz="900" b="1">
            <a:solidFill>
              <a:sysClr val="windowText" lastClr="000000"/>
            </a:solidFill>
            <a:latin typeface="Fira Sans" panose="020B0503050000020004" pitchFamily="34" charset="0"/>
            <a:ea typeface="Fira Sans" panose="020B0503050000020004" pitchFamily="34" charset="0"/>
            <a:cs typeface="Arial" panose="020B0604020202020204" pitchFamily="34" charset="0"/>
          </a:endParaRPr>
        </a:p>
      </cdr:txBody>
    </cdr:sp>
  </cdr:relSizeAnchor>
  <cdr:relSizeAnchor xmlns:cdr="http://schemas.openxmlformats.org/drawingml/2006/chartDrawing">
    <cdr:from>
      <cdr:x>0</cdr:x>
      <cdr:y>0.11671</cdr:y>
    </cdr:from>
    <cdr:to>
      <cdr:x>0.05578</cdr:x>
      <cdr:y>0.17523</cdr:y>
    </cdr:to>
    <cdr:sp macro="" textlink="">
      <cdr:nvSpPr>
        <cdr:cNvPr id="4" name="Pole tekstowe 1"/>
        <cdr:cNvSpPr txBox="1"/>
      </cdr:nvSpPr>
      <cdr:spPr>
        <a:xfrm xmlns:a="http://schemas.openxmlformats.org/drawingml/2006/main">
          <a:off x="0" y="449574"/>
          <a:ext cx="285736" cy="225413"/>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2.59611E-7</cdr:y>
    </cdr:from>
    <cdr:to>
      <cdr:x>1</cdr:x>
      <cdr:y>0.11973</cdr:y>
    </cdr:to>
    <cdr:sp macro="" textlink="">
      <cdr:nvSpPr>
        <cdr:cNvPr id="5" name="pole tekstowe 1"/>
        <cdr:cNvSpPr txBox="1"/>
      </cdr:nvSpPr>
      <cdr:spPr>
        <a:xfrm xmlns:a="http://schemas.openxmlformats.org/drawingml/2006/main">
          <a:off x="0" y="1"/>
          <a:ext cx="5122545" cy="461176"/>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 Level of average monthly income and expenditure</a:t>
          </a:r>
          <a:r>
            <a:rPr lang="pl-PL" sz="900" b="0" baseline="3000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1</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per capita in households</a:t>
          </a:r>
        </a:p>
        <a:p xmlns:a="http://schemas.openxmlformats.org/drawingml/2006/main">
          <a:pPr algn="l"/>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and the share of expenditure</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in available income, 2011–2024</a:t>
          </a:r>
        </a:p>
        <a:p xmlns:a="http://schemas.openxmlformats.org/drawingml/2006/main">
          <a:pPr algn="l"/>
          <a:endPar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dr:relSizeAnchor xmlns:cdr="http://schemas.openxmlformats.org/drawingml/2006/chartDrawing">
    <cdr:from>
      <cdr:x>0.00067</cdr:x>
      <cdr:y>0.82895</cdr:y>
    </cdr:from>
    <cdr:to>
      <cdr:x>1</cdr:x>
      <cdr:y>1</cdr:y>
    </cdr:to>
    <cdr:sp macro="" textlink="">
      <cdr:nvSpPr>
        <cdr:cNvPr id="6" name="pole tekstowe 1"/>
        <cdr:cNvSpPr txBox="1"/>
      </cdr:nvSpPr>
      <cdr:spPr>
        <a:xfrm xmlns:a="http://schemas.openxmlformats.org/drawingml/2006/main">
          <a:off x="3453" y="3000375"/>
          <a:ext cx="5150265" cy="61912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solidFill>
                <a:sysClr val="windowText" lastClr="000000"/>
              </a:solidFill>
              <a:latin typeface="Fira Sans" panose="020B0503050000020004" pitchFamily="34" charset="0"/>
              <a:ea typeface="Fira Sans" panose="020B0503050000020004" pitchFamily="34" charset="0"/>
            </a:rPr>
            <a:t>* </a:t>
          </a:r>
          <a:r>
            <a:rPr lang="pl-PL" sz="800" baseline="0">
              <a:solidFill>
                <a:sysClr val="windowText" lastClr="000000"/>
              </a:solidFill>
              <a:latin typeface="Fira Sans" panose="020B0503050000020004" pitchFamily="34" charset="0"/>
              <a:ea typeface="Fira Sans" panose="020B0503050000020004" pitchFamily="34" charset="0"/>
            </a:rPr>
            <a:t>Data for 2021-2024 in the entire study were generalized on the basis of the results of the National Population and Housing Census 2021, taking additionally into account the structure of the population by age and gender, and are not directly comparable with the data for previous years. Due to the updated generalization, the results for 2021-2022 differ from those published previously.</a:t>
          </a:r>
          <a:endParaRPr lang="pl-PL" sz="800">
            <a:solidFill>
              <a:sysClr val="windowText" lastClr="000000"/>
            </a:solidFill>
            <a:latin typeface="Fira Sans" panose="020B0503050000020004" pitchFamily="34" charset="0"/>
            <a:ea typeface="Fira Sans" panose="020B05030500000200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0.99968</cdr:x>
      <cdr:y>0.18532</cdr:y>
    </cdr:to>
    <cdr:sp macro="" textlink="">
      <cdr:nvSpPr>
        <cdr:cNvPr id="2" name="Pole tekstowe 1"/>
        <cdr:cNvSpPr txBox="1"/>
      </cdr:nvSpPr>
      <cdr:spPr>
        <a:xfrm xmlns:a="http://schemas.openxmlformats.org/drawingml/2006/main">
          <a:off x="0" y="0"/>
          <a:ext cx="5120906" cy="491319"/>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10.</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Average monthly consumption of selected food products per capita in households</a:t>
          </a:r>
          <a:b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b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quintile groups in 2024</a:t>
          </a:r>
        </a:p>
      </cdr:txBody>
    </cdr:sp>
  </cdr:relSizeAnchor>
  <cdr:relSizeAnchor xmlns:cdr="http://schemas.openxmlformats.org/drawingml/2006/chartDrawing">
    <cdr:from>
      <cdr:x>0</cdr:x>
      <cdr:y>0.178</cdr:y>
    </cdr:from>
    <cdr:to>
      <cdr:x>0.03719</cdr:x>
      <cdr:y>0.23629</cdr:y>
    </cdr:to>
    <cdr:sp macro="" textlink="">
      <cdr:nvSpPr>
        <cdr:cNvPr id="3" name="Pole tekstowe 1"/>
        <cdr:cNvSpPr txBox="1"/>
      </cdr:nvSpPr>
      <cdr:spPr>
        <a:xfrm xmlns:a="http://schemas.openxmlformats.org/drawingml/2006/main">
          <a:off x="0" y="474165"/>
          <a:ext cx="190555" cy="155274"/>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kg</a:t>
          </a: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0.99968</cdr:x>
      <cdr:y>0.16988</cdr:y>
    </cdr:to>
    <cdr:sp macro="" textlink="">
      <cdr:nvSpPr>
        <cdr:cNvPr id="2" name="Pole tekstowe 1"/>
        <cdr:cNvSpPr txBox="1"/>
      </cdr:nvSpPr>
      <cdr:spPr>
        <a:xfrm xmlns:a="http://schemas.openxmlformats.org/drawingml/2006/main">
          <a:off x="0" y="0"/>
          <a:ext cx="5120906" cy="450376"/>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11. Average monthly consumption of selected food products per capita in households</a:t>
          </a:r>
        </a:p>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place of residence in 2024</a:t>
          </a:r>
        </a:p>
      </cdr:txBody>
    </cdr:sp>
  </cdr:relSizeAnchor>
  <cdr:relSizeAnchor xmlns:cdr="http://schemas.openxmlformats.org/drawingml/2006/chartDrawing">
    <cdr:from>
      <cdr:x>0</cdr:x>
      <cdr:y>0.16968</cdr:y>
    </cdr:from>
    <cdr:to>
      <cdr:x>0.03719</cdr:x>
      <cdr:y>0.22797</cdr:y>
    </cdr:to>
    <cdr:sp macro="" textlink="">
      <cdr:nvSpPr>
        <cdr:cNvPr id="3" name="Pole tekstowe 1"/>
        <cdr:cNvSpPr txBox="1"/>
      </cdr:nvSpPr>
      <cdr:spPr>
        <a:xfrm xmlns:a="http://schemas.openxmlformats.org/drawingml/2006/main">
          <a:off x="0" y="451986"/>
          <a:ext cx="190555" cy="155274"/>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kg</a:t>
          </a: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7.40741E-7</cdr:y>
    </cdr:from>
    <cdr:to>
      <cdr:x>0.99945</cdr:x>
      <cdr:y>0.16581</cdr:y>
    </cdr:to>
    <cdr:sp macro="" textlink="">
      <cdr:nvSpPr>
        <cdr:cNvPr id="2" name="pole tekstowe 1"/>
        <cdr:cNvSpPr txBox="1"/>
      </cdr:nvSpPr>
      <cdr:spPr>
        <a:xfrm xmlns:a="http://schemas.openxmlformats.org/drawingml/2006/main">
          <a:off x="0" y="2"/>
          <a:ext cx="5120997" cy="447674"/>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1"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12. Households equipped with selected durable goods by quintile groups in 2024</a:t>
          </a:r>
        </a:p>
        <a:p xmlns:a="http://schemas.openxmlformats.org/drawingml/2006/main">
          <a:pPr algn="l"/>
          <a:endParaRPr lang="pl-PL" sz="900" b="1"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3.754E-7</cdr:y>
    </cdr:from>
    <cdr:to>
      <cdr:x>0.99945</cdr:x>
      <cdr:y>0.13588</cdr:y>
    </cdr:to>
    <cdr:sp macro="" textlink="">
      <cdr:nvSpPr>
        <cdr:cNvPr id="2" name="pole tekstowe 1"/>
        <cdr:cNvSpPr txBox="1"/>
      </cdr:nvSpPr>
      <cdr:spPr>
        <a:xfrm xmlns:a="http://schemas.openxmlformats.org/drawingml/2006/main">
          <a:off x="0" y="1"/>
          <a:ext cx="5119728" cy="361949"/>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13. Households equipped with selected durable goods by place of residence in 2024</a:t>
          </a:r>
        </a:p>
        <a:p xmlns:a="http://schemas.openxmlformats.org/drawingml/2006/main">
          <a:pPr algn="l"/>
          <a:endParaRPr lang="pl-PL" sz="900" b="0" spc="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cdr:x>
      <cdr:y>0.00304</cdr:y>
    </cdr:from>
    <cdr:to>
      <cdr:x>0.99979</cdr:x>
      <cdr:y>0.17037</cdr:y>
    </cdr:to>
    <cdr:sp macro="" textlink="">
      <cdr:nvSpPr>
        <cdr:cNvPr id="4" name="pole tekstowe 3"/>
        <cdr:cNvSpPr txBox="1"/>
      </cdr:nvSpPr>
      <cdr:spPr>
        <a:xfrm xmlns:a="http://schemas.openxmlformats.org/drawingml/2006/main">
          <a:off x="0" y="7988"/>
          <a:ext cx="5122739" cy="439687"/>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14</a:t>
          </a:r>
          <a:r>
            <a:rPr lang="pl-PL" sz="900" b="0" i="1"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Dwellings equipped with selected technical and sanitary installations</a:t>
          </a:r>
        </a:p>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place of residence in 2024</a:t>
          </a:r>
        </a:p>
        <a:p xmlns:a="http://schemas.openxmlformats.org/drawingml/2006/main">
          <a:pPr algn="l"/>
          <a:endPar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cdr:x>
      <cdr:y>0.00304</cdr:y>
    </cdr:from>
    <cdr:to>
      <cdr:x>0.99979</cdr:x>
      <cdr:y>0.16312</cdr:y>
    </cdr:to>
    <cdr:sp macro="" textlink="">
      <cdr:nvSpPr>
        <cdr:cNvPr id="4" name="pole tekstowe 3"/>
        <cdr:cNvSpPr txBox="1"/>
      </cdr:nvSpPr>
      <cdr:spPr>
        <a:xfrm xmlns:a="http://schemas.openxmlformats.org/drawingml/2006/main">
          <a:off x="0" y="7988"/>
          <a:ext cx="5122739" cy="420637"/>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15. Dwellings equipped with selected technical and sanitary installation</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quintile groups in 2024</a:t>
          </a:r>
        </a:p>
      </cdr:txBody>
    </cdr:sp>
  </cdr:relSizeAnchor>
</c:userShapes>
</file>

<file path=word/drawings/drawing16.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pole tekstowe 1"/>
        <cdr:cNvSpPr txBox="1"/>
      </cdr:nvSpPr>
      <cdr:spPr>
        <a:xfrm xmlns:a="http://schemas.openxmlformats.org/drawingml/2006/main">
          <a:off x="0" y="1"/>
          <a:ext cx="6092456" cy="861236"/>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pPr algn="ctr"/>
          <a:r>
            <a:rPr lang="pl-PL" sz="1050" b="1"/>
            <a:t>Wykres 20.</a:t>
          </a:r>
        </a:p>
        <a:p xmlns:a="http://schemas.openxmlformats.org/drawingml/2006/main">
          <a:pPr algn="ctr"/>
          <a:r>
            <a:rPr lang="pl-PL" sz="1050" b="1"/>
            <a:t>Subiektywna ocena sytuacji materialnej gospodarstw domowych według grup społeczno ekonomicznych w 2014 r.</a:t>
          </a:r>
          <a:endParaRPr lang="pl-PL" sz="1050">
            <a:effectLst/>
          </a:endParaRPr>
        </a:p>
      </cdr:txBody>
    </cdr:sp>
  </cdr:relSizeAnchor>
  <cdr:relSizeAnchor xmlns:cdr="http://schemas.openxmlformats.org/drawingml/2006/chartDrawing">
    <cdr:from>
      <cdr:x>0</cdr:x>
      <cdr:y>0.42818</cdr:y>
    </cdr:from>
    <cdr:to>
      <cdr:x>0.05542</cdr:x>
      <cdr:y>0.512</cdr:y>
    </cdr:to>
    <cdr:sp macro="" textlink="">
      <cdr:nvSpPr>
        <cdr:cNvPr id="3" name="pole tekstowe 2"/>
        <cdr:cNvSpPr txBox="1"/>
      </cdr:nvSpPr>
      <cdr:spPr>
        <a:xfrm xmlns:a="http://schemas.openxmlformats.org/drawingml/2006/main" rot="16200000">
          <a:off x="23812" y="1862137"/>
          <a:ext cx="371475" cy="419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cdr:x>
      <cdr:y>3.58439E-7</cdr:y>
    </cdr:from>
    <cdr:to>
      <cdr:x>0.99688</cdr:x>
      <cdr:y>0.08023</cdr:y>
    </cdr:to>
    <cdr:sp macro="" textlink="">
      <cdr:nvSpPr>
        <cdr:cNvPr id="4" name="pole tekstowe 3"/>
        <cdr:cNvSpPr txBox="1"/>
      </cdr:nvSpPr>
      <cdr:spPr>
        <a:xfrm xmlns:a="http://schemas.openxmlformats.org/drawingml/2006/main">
          <a:off x="0" y="2"/>
          <a:ext cx="5106563" cy="447674"/>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16.</a:t>
          </a:r>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i="1"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Subjective evaluation of financial situation of households by socio-ecenomic groups</a:t>
          </a:r>
          <a:b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br>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in 2024</a:t>
          </a:r>
        </a:p>
        <a:p xmlns:a="http://schemas.openxmlformats.org/drawingml/2006/main">
          <a:pPr algn="l"/>
          <a:endParaRPr lang="pl-PL" sz="900" b="1" spc="0" baseline="0">
            <a:solidFill>
              <a:sysClr val="windowText" lastClr="000000"/>
            </a:solidFill>
            <a:latin typeface="Fira Sans" panose="020B0503050000020004" pitchFamily="34" charset="0"/>
            <a:ea typeface="Fira Sans" panose="020B0503050000020004" pitchFamily="34" charset="0"/>
            <a:cs typeface="Arial" panose="020B0604020202020204" pitchFamily="34"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cdr:x>
      <cdr:y>0</cdr:y>
    </cdr:from>
    <cdr:to>
      <cdr:x>0.99963</cdr:x>
      <cdr:y>0.08302</cdr:y>
    </cdr:to>
    <cdr:sp macro="" textlink="">
      <cdr:nvSpPr>
        <cdr:cNvPr id="2" name="pole tekstowe 1"/>
        <cdr:cNvSpPr txBox="1"/>
      </cdr:nvSpPr>
      <cdr:spPr>
        <a:xfrm xmlns:a="http://schemas.openxmlformats.org/drawingml/2006/main">
          <a:off x="0" y="0"/>
          <a:ext cx="5120650" cy="304800"/>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17.</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Subjective evaluation of financial situation of households by place of residence in 2024</a:t>
          </a:r>
        </a:p>
        <a:p xmlns:a="http://schemas.openxmlformats.org/drawingml/2006/main">
          <a:pPr algn="l"/>
          <a:endPar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0.0871</cdr:x>
      <cdr:y>0.00647</cdr:y>
    </cdr:from>
    <cdr:to>
      <cdr:x>0.89915</cdr:x>
      <cdr:y>0.11853</cdr:y>
    </cdr:to>
    <cdr:sp macro="" textlink="">
      <cdr:nvSpPr>
        <cdr:cNvPr id="8" name="pole tekstowe 7"/>
        <cdr:cNvSpPr txBox="1"/>
      </cdr:nvSpPr>
      <cdr:spPr>
        <a:xfrm xmlns:a="http://schemas.openxmlformats.org/drawingml/2006/main">
          <a:off x="548716" y="22124"/>
          <a:ext cx="5115781" cy="3831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0.00032</cdr:x>
      <cdr:y>0</cdr:y>
    </cdr:from>
    <cdr:to>
      <cdr:x>1</cdr:x>
      <cdr:y>0.15785</cdr:y>
    </cdr:to>
    <cdr:sp macro="" textlink="">
      <cdr:nvSpPr>
        <cdr:cNvPr id="11" name="pole tekstowe 10"/>
        <cdr:cNvSpPr txBox="1"/>
      </cdr:nvSpPr>
      <cdr:spPr>
        <a:xfrm xmlns:a="http://schemas.openxmlformats.org/drawingml/2006/main">
          <a:off x="1639" y="0"/>
          <a:ext cx="5120906" cy="454557"/>
        </a:xfrm>
        <a:prstGeom xmlns:a="http://schemas.openxmlformats.org/drawingml/2006/main" prst="rect">
          <a:avLst/>
        </a:prstGeom>
      </cdr:spPr>
      <cdr:txBody>
        <a:bodyPr xmlns:a="http://schemas.openxmlformats.org/drawingml/2006/main" vertOverflow="clip" wrap="square" lIns="0" rIns="0" rtlCol="0" anchor="t"/>
        <a:lstStyle xmlns:a="http://schemas.openxmlformats.org/drawingml/2006/main"/>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pl-PL" sz="900" b="0" spc="0">
              <a:effectLst/>
              <a:latin typeface="Fira Sans SemiBold" panose="020B0603050000020004" pitchFamily="34" charset="0"/>
              <a:ea typeface="Fira Sans SemiBold" panose="020B0603050000020004" pitchFamily="34" charset="0"/>
              <a:cs typeface="+mn-cs"/>
            </a:rPr>
            <a:t>Graph 18.</a:t>
          </a:r>
          <a:r>
            <a:rPr kumimoji="0" lang="pl-PL" sz="900" b="0" i="0" u="none" strike="noStrike" kern="0" cap="none" spc="0" normalizeH="0" baseline="30000" noProof="0">
              <a:ln>
                <a:noFill/>
              </a:ln>
              <a:solidFill>
                <a:sysClr val="windowText" lastClr="000000"/>
              </a:solidFill>
              <a:effectLst/>
              <a:uLnTx/>
              <a:uFillTx/>
              <a:latin typeface="Fira Sans SemiBold" panose="020B0603050000020004" pitchFamily="34" charset="0"/>
              <a:ea typeface="Fira Sans SemiBold" panose="020B0603050000020004" pitchFamily="34" charset="0"/>
              <a:cs typeface="+mn-cs"/>
            </a:rPr>
            <a:t> </a:t>
          </a:r>
          <a:r>
            <a:rPr lang="pl-PL" sz="900" b="0" spc="0" baseline="0">
              <a:effectLst/>
              <a:latin typeface="Fira Sans SemiBold" panose="020B0603050000020004" pitchFamily="34" charset="0"/>
              <a:ea typeface="Fira Sans SemiBold" panose="020B0603050000020004" pitchFamily="34" charset="0"/>
              <a:cs typeface="+mn-cs"/>
            </a:rPr>
            <a:t>Percentage of households, which granted support to the inhabitants </a:t>
          </a:r>
          <a:br>
            <a:rPr lang="pl-PL" sz="900" b="0" spc="0" baseline="0">
              <a:effectLst/>
              <a:latin typeface="Fira Sans SemiBold" panose="020B0603050000020004" pitchFamily="34" charset="0"/>
              <a:ea typeface="Fira Sans SemiBold" panose="020B0603050000020004" pitchFamily="34" charset="0"/>
              <a:cs typeface="+mn-cs"/>
            </a:rPr>
          </a:br>
          <a:r>
            <a:rPr lang="pl-PL" sz="900" b="0" spc="0" baseline="0">
              <a:effectLst/>
              <a:latin typeface="Fira Sans SemiBold" panose="020B0603050000020004" pitchFamily="34" charset="0"/>
              <a:ea typeface="Fira Sans SemiBold" panose="020B0603050000020004" pitchFamily="34" charset="0"/>
              <a:cs typeface="+mn-cs"/>
            </a:rPr>
            <a:t>                  of Ukraine in the individual quarters of </a:t>
          </a:r>
          <a:r>
            <a:rPr lang="pl-PL" sz="900" b="0" spc="0" baseline="0">
              <a:solidFill>
                <a:sysClr val="windowText" lastClr="000000"/>
              </a:solidFill>
              <a:effectLst/>
              <a:latin typeface="Fira Sans SemiBold" panose="020B0603050000020004" pitchFamily="34" charset="0"/>
              <a:ea typeface="Fira Sans SemiBold" panose="020B0603050000020004" pitchFamily="34" charset="0"/>
              <a:cs typeface="+mn-cs"/>
            </a:rPr>
            <a:t>2022–2024</a:t>
          </a:r>
        </a:p>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lang="pl-PL" sz="900" b="0" spc="0" baseline="0">
            <a:effectLst/>
            <a:latin typeface="Fira Sans SemiBold" panose="020B0603050000020004" pitchFamily="34" charset="0"/>
            <a:ea typeface="Fira Sans SemiBold" panose="020B0603050000020004" pitchFamily="34" charset="0"/>
            <a:cs typeface="+mn-cs"/>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0.00037</cdr:x>
      <cdr:y>0</cdr:y>
    </cdr:from>
    <cdr:to>
      <cdr:x>1</cdr:x>
      <cdr:y>0.15793</cdr:y>
    </cdr:to>
    <cdr:sp macro="" textlink="">
      <cdr:nvSpPr>
        <cdr:cNvPr id="2" name="pole tekstowe 1">
          <a:extLst xmlns:a="http://schemas.openxmlformats.org/drawingml/2006/main">
            <a:ext uri="{FF2B5EF4-FFF2-40B4-BE49-F238E27FC236}">
              <a16:creationId xmlns:a16="http://schemas.microsoft.com/office/drawing/2014/main" xmlns="" id="{A6F1DCEB-44A2-4A1F-BF11-918C20C3C3EA}"/>
            </a:ext>
          </a:extLst>
        </cdr:cNvPr>
        <cdr:cNvSpPr txBox="1"/>
      </cdr:nvSpPr>
      <cdr:spPr>
        <a:xfrm xmlns:a="http://schemas.openxmlformats.org/drawingml/2006/main">
          <a:off x="1895" y="0"/>
          <a:ext cx="5120650" cy="485774"/>
        </a:xfrm>
        <a:prstGeom xmlns:a="http://schemas.openxmlformats.org/drawingml/2006/main" prst="rect">
          <a:avLst/>
        </a:prstGeom>
      </cdr:spPr>
      <cdr:txBody>
        <a:bodyPr xmlns:a="http://schemas.openxmlformats.org/drawingml/2006/main" wrap="square" lIns="0" rIns="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pl-PL" sz="900" b="0" spc="0">
              <a:effectLst/>
              <a:latin typeface="Fira Sans SemiBold" panose="020B0603050000020004" pitchFamily="34" charset="0"/>
              <a:ea typeface="Fira Sans SemiBold" panose="020B0603050000020004" pitchFamily="34" charset="0"/>
              <a:cs typeface="+mn-cs"/>
            </a:rPr>
            <a:t>Graph 19. Percentage of households, which granted support to the inhabitants of Ukraine </a:t>
          </a:r>
          <a:br>
            <a:rPr lang="pl-PL" sz="900" b="0" spc="0">
              <a:effectLst/>
              <a:latin typeface="Fira Sans SemiBold" panose="020B0603050000020004" pitchFamily="34" charset="0"/>
              <a:ea typeface="Fira Sans SemiBold" panose="020B0603050000020004" pitchFamily="34" charset="0"/>
              <a:cs typeface="+mn-cs"/>
            </a:rPr>
          </a:br>
          <a:r>
            <a:rPr lang="pl-PL" sz="900" b="0" spc="0">
              <a:effectLst/>
              <a:latin typeface="Fira Sans SemiBold" panose="020B0603050000020004" pitchFamily="34" charset="0"/>
              <a:ea typeface="Fira Sans SemiBold" panose="020B0603050000020004" pitchFamily="34" charset="0"/>
              <a:cs typeface="+mn-cs"/>
            </a:rPr>
            <a:t>                   in the individual quarters of 2024</a:t>
          </a:r>
          <a:r>
            <a:rPr lang="pl-PL" sz="900" b="0" spc="0" baseline="0">
              <a:effectLst/>
              <a:latin typeface="Fira Sans SemiBold" panose="020B0603050000020004" pitchFamily="34" charset="0"/>
              <a:ea typeface="Fira Sans SemiBold" panose="020B0603050000020004" pitchFamily="34" charset="0"/>
              <a:cs typeface="+mn-cs"/>
            </a:rPr>
            <a:t> </a:t>
          </a:r>
          <a:r>
            <a:rPr lang="pl-PL" sz="900" b="0" spc="0">
              <a:effectLst/>
              <a:latin typeface="Fira Sans SemiBold" panose="020B0603050000020004" pitchFamily="34" charset="0"/>
              <a:ea typeface="Fira Sans SemiBold" panose="020B0603050000020004" pitchFamily="34" charset="0"/>
              <a:cs typeface="+mn-cs"/>
            </a:rPr>
            <a:t>by socio-economic groups</a:t>
          </a:r>
          <a:endParaRPr lang="pl-PL" sz="900" b="0" spc="0" baseline="0">
            <a:effectLst/>
            <a:latin typeface="Fira Sans SemiBold" panose="020B0603050000020004" pitchFamily="34" charset="0"/>
            <a:ea typeface="Fira Sans SemiBold" panose="020B0603050000020004" pitchFamily="34" charset="0"/>
            <a:cs typeface="+mn-cs"/>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0.13677</cdr:y>
    </cdr:from>
    <cdr:to>
      <cdr:x>0.05952</cdr:x>
      <cdr:y>0.2209</cdr:y>
    </cdr:to>
    <cdr:sp macro="" textlink="">
      <cdr:nvSpPr>
        <cdr:cNvPr id="4" name="Pole tekstowe 1"/>
        <cdr:cNvSpPr txBox="1"/>
      </cdr:nvSpPr>
      <cdr:spPr>
        <a:xfrm xmlns:a="http://schemas.openxmlformats.org/drawingml/2006/main">
          <a:off x="0" y="438151"/>
          <a:ext cx="304894" cy="269520"/>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0</cdr:y>
    </cdr:from>
    <cdr:to>
      <cdr:x>1</cdr:x>
      <cdr:y>0.13926</cdr:y>
    </cdr:to>
    <cdr:sp macro="" textlink="">
      <cdr:nvSpPr>
        <cdr:cNvPr id="5" name="pole tekstowe 1"/>
        <cdr:cNvSpPr txBox="1"/>
      </cdr:nvSpPr>
      <cdr:spPr>
        <a:xfrm xmlns:a="http://schemas.openxmlformats.org/drawingml/2006/main">
          <a:off x="0" y="0"/>
          <a:ext cx="5122545" cy="461175"/>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2.</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Average monthly available income and expenditure per capita in households and the share</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of average</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monthly expenditure in available income by socio-economic groups</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in 2024</a:t>
          </a:r>
          <a:endPar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0.00037</cdr:x>
      <cdr:y>0</cdr:y>
    </cdr:from>
    <cdr:to>
      <cdr:x>1</cdr:x>
      <cdr:y>0.17371</cdr:y>
    </cdr:to>
    <cdr:sp macro="" textlink="">
      <cdr:nvSpPr>
        <cdr:cNvPr id="2" name="pole tekstowe 1">
          <a:extLst xmlns:a="http://schemas.openxmlformats.org/drawingml/2006/main">
            <a:ext uri="{FF2B5EF4-FFF2-40B4-BE49-F238E27FC236}">
              <a16:creationId xmlns:a16="http://schemas.microsoft.com/office/drawing/2014/main" xmlns="" id="{A6F1DCEB-44A2-4A1F-BF11-918C20C3C3EA}"/>
            </a:ext>
          </a:extLst>
        </cdr:cNvPr>
        <cdr:cNvSpPr txBox="1"/>
      </cdr:nvSpPr>
      <cdr:spPr>
        <a:xfrm xmlns:a="http://schemas.openxmlformats.org/drawingml/2006/main">
          <a:off x="1895" y="0"/>
          <a:ext cx="5120650" cy="443986"/>
        </a:xfrm>
        <a:prstGeom xmlns:a="http://schemas.openxmlformats.org/drawingml/2006/main" prst="rect">
          <a:avLst/>
        </a:prstGeom>
      </cdr:spPr>
      <cdr:txBody>
        <a:bodyPr xmlns:a="http://schemas.openxmlformats.org/drawingml/2006/main" wrap="square" lIns="0" rIns="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pl-PL" sz="900" b="0" spc="0">
              <a:effectLst/>
              <a:latin typeface="Fira Sans SemiBold" panose="020B0603050000020004" pitchFamily="34" charset="0"/>
              <a:ea typeface="Fira Sans SemiBold" panose="020B0603050000020004" pitchFamily="34" charset="0"/>
              <a:cs typeface="+mn-cs"/>
            </a:rPr>
            <a:t>Graph 20. Percentage of households, which granted support to the inhabitants of Ukraine </a:t>
          </a:r>
          <a:br>
            <a:rPr lang="pl-PL" sz="900" b="0" spc="0">
              <a:effectLst/>
              <a:latin typeface="Fira Sans SemiBold" panose="020B0603050000020004" pitchFamily="34" charset="0"/>
              <a:ea typeface="Fira Sans SemiBold" panose="020B0603050000020004" pitchFamily="34" charset="0"/>
              <a:cs typeface="+mn-cs"/>
            </a:rPr>
          </a:br>
          <a:r>
            <a:rPr lang="pl-PL" sz="900" b="0" spc="0">
              <a:effectLst/>
              <a:latin typeface="Fira Sans SemiBold" panose="020B0603050000020004" pitchFamily="34" charset="0"/>
              <a:ea typeface="Fira Sans SemiBold" panose="020B0603050000020004" pitchFamily="34" charset="0"/>
              <a:cs typeface="+mn-cs"/>
            </a:rPr>
            <a:t>                   in the individual quarters of 2024 by quintile groups</a:t>
          </a:r>
          <a:endParaRPr lang="pl-PL" sz="900" b="0" spc="0" baseline="0">
            <a:effectLst/>
            <a:latin typeface="Fira Sans SemiBold" panose="020B0603050000020004" pitchFamily="34" charset="0"/>
            <a:ea typeface="Fira Sans SemiBold" panose="020B0603050000020004" pitchFamily="34" charset="0"/>
            <a:cs typeface="+mn-cs"/>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cdr:x>
      <cdr:y>0</cdr:y>
    </cdr:from>
    <cdr:to>
      <cdr:x>0.99963</cdr:x>
      <cdr:y>0.15951</cdr:y>
    </cdr:to>
    <cdr:sp macro="" textlink="">
      <cdr:nvSpPr>
        <cdr:cNvPr id="2" name="pole tekstowe 1">
          <a:extLst xmlns:a="http://schemas.openxmlformats.org/drawingml/2006/main">
            <a:ext uri="{FF2B5EF4-FFF2-40B4-BE49-F238E27FC236}">
              <a16:creationId xmlns:a16="http://schemas.microsoft.com/office/drawing/2014/main" xmlns="" id="{A6F1DCEB-44A2-4A1F-BF11-918C20C3C3EA}"/>
            </a:ext>
          </a:extLst>
        </cdr:cNvPr>
        <cdr:cNvSpPr txBox="1"/>
      </cdr:nvSpPr>
      <cdr:spPr>
        <a:xfrm xmlns:a="http://schemas.openxmlformats.org/drawingml/2006/main">
          <a:off x="0" y="0"/>
          <a:ext cx="5120650" cy="466725"/>
        </a:xfrm>
        <a:prstGeom xmlns:a="http://schemas.openxmlformats.org/drawingml/2006/main" prst="rect">
          <a:avLst/>
        </a:prstGeom>
      </cdr:spPr>
      <cdr:txBody>
        <a:bodyPr xmlns:a="http://schemas.openxmlformats.org/drawingml/2006/main" wrap="square" lIns="0" rIns="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pl-PL" sz="900" b="0" spc="0">
              <a:effectLst/>
              <a:latin typeface="Fira Sans SemiBold" panose="020B0603050000020004" pitchFamily="34" charset="0"/>
              <a:ea typeface="Fira Sans SemiBold" panose="020B0603050000020004" pitchFamily="34" charset="0"/>
              <a:cs typeface="+mn-cs"/>
            </a:rPr>
            <a:t>Graph 21. Percentage of households, which granted support to the inhabitants of Ukraine </a:t>
          </a:r>
          <a:br>
            <a:rPr lang="pl-PL" sz="900" b="0" spc="0">
              <a:effectLst/>
              <a:latin typeface="Fira Sans SemiBold" panose="020B0603050000020004" pitchFamily="34" charset="0"/>
              <a:ea typeface="Fira Sans SemiBold" panose="020B0603050000020004" pitchFamily="34" charset="0"/>
              <a:cs typeface="+mn-cs"/>
            </a:rPr>
          </a:br>
          <a:r>
            <a:rPr lang="pl-PL" sz="900" b="0" spc="0">
              <a:effectLst/>
              <a:latin typeface="Fira Sans SemiBold" panose="020B0603050000020004" pitchFamily="34" charset="0"/>
              <a:ea typeface="Fira Sans SemiBold" panose="020B0603050000020004" pitchFamily="34" charset="0"/>
              <a:cs typeface="+mn-cs"/>
            </a:rPr>
            <a:t>                  </a:t>
          </a:r>
          <a:r>
            <a:rPr lang="pl-PL" sz="900" b="0" spc="0" baseline="0">
              <a:effectLst/>
              <a:latin typeface="Fira Sans SemiBold" panose="020B0603050000020004" pitchFamily="34" charset="0"/>
              <a:ea typeface="Fira Sans SemiBold" panose="020B0603050000020004" pitchFamily="34" charset="0"/>
              <a:cs typeface="+mn-cs"/>
            </a:rPr>
            <a:t> </a:t>
          </a:r>
          <a:r>
            <a:rPr lang="pl-PL" sz="900" b="0" spc="0">
              <a:effectLst/>
              <a:latin typeface="Fira Sans SemiBold" panose="020B0603050000020004" pitchFamily="34" charset="0"/>
              <a:ea typeface="Fira Sans SemiBold" panose="020B0603050000020004" pitchFamily="34" charset="0"/>
              <a:cs typeface="+mn-cs"/>
            </a:rPr>
            <a:t>in the individual quarters of 2024 by the class of locality</a:t>
          </a:r>
          <a:endParaRPr lang="pl-PL" sz="900" b="0" spc="0" baseline="0">
            <a:effectLst/>
            <a:latin typeface="Fira Sans SemiBold" panose="020B0603050000020004" pitchFamily="34" charset="0"/>
            <a:ea typeface="Fira Sans SemiBold" panose="020B0603050000020004" pitchFamily="34" charset="0"/>
            <a:cs typeface="+mn-cs"/>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0.68781</cdr:x>
      <cdr:y>0.25217</cdr:y>
    </cdr:from>
    <cdr:to>
      <cdr:x>1</cdr:x>
      <cdr:y>0.33974</cdr:y>
    </cdr:to>
    <cdr:sp macro="" textlink="">
      <cdr:nvSpPr>
        <cdr:cNvPr id="2" name="pole tekstowe 1"/>
        <cdr:cNvSpPr txBox="1"/>
      </cdr:nvSpPr>
      <cdr:spPr>
        <a:xfrm xmlns:a="http://schemas.openxmlformats.org/drawingml/2006/main">
          <a:off x="3515281" y="708083"/>
          <a:ext cx="1595541" cy="24588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pl-PL" sz="900" b="0" i="0">
              <a:solidFill>
                <a:sysClr val="windowText" lastClr="000000"/>
              </a:solidFill>
              <a:latin typeface="Fira Sans" panose="020B0503050000020004" pitchFamily="34" charset="0"/>
              <a:ea typeface="Fira Sans" panose="020B0503050000020004" pitchFamily="34" charset="0"/>
              <a:cs typeface="Arial" panose="020B0604020202020204" pitchFamily="34" charset="0"/>
            </a:rPr>
            <a:t>National</a:t>
          </a:r>
          <a:r>
            <a:rPr lang="pl-PL" sz="900" b="0" i="0" baseline="0">
              <a:solidFill>
                <a:sysClr val="windowText" lastClr="000000"/>
              </a:solidFill>
              <a:latin typeface="Fira Sans" panose="020B0503050000020004" pitchFamily="34" charset="0"/>
              <a:ea typeface="Fira Sans" panose="020B0503050000020004" pitchFamily="34" charset="0"/>
              <a:cs typeface="Arial" panose="020B0604020202020204" pitchFamily="34" charset="0"/>
            </a:rPr>
            <a:t> average</a:t>
          </a:r>
          <a:r>
            <a:rPr lang="pl-PL" sz="900" b="0" i="0">
              <a:solidFill>
                <a:sysClr val="windowText" lastClr="000000"/>
              </a:solidFill>
              <a:latin typeface="Fira Sans" panose="020B0503050000020004" pitchFamily="34" charset="0"/>
              <a:ea typeface="Fira Sans" panose="020B0503050000020004" pitchFamily="34" charset="0"/>
              <a:cs typeface="Arial" panose="020B0604020202020204" pitchFamily="34" charset="0"/>
            </a:rPr>
            <a:t> = 100%</a:t>
          </a:r>
        </a:p>
      </cdr:txBody>
    </cdr:sp>
  </cdr:relSizeAnchor>
  <cdr:relSizeAnchor xmlns:cdr="http://schemas.openxmlformats.org/drawingml/2006/chartDrawing">
    <cdr:from>
      <cdr:x>0</cdr:x>
      <cdr:y>0.01636</cdr:y>
    </cdr:from>
    <cdr:to>
      <cdr:x>1</cdr:x>
      <cdr:y>0.16755</cdr:y>
    </cdr:to>
    <cdr:sp macro="" textlink="">
      <cdr:nvSpPr>
        <cdr:cNvPr id="4" name="pole tekstowe 2"/>
        <cdr:cNvSpPr txBox="1"/>
      </cdr:nvSpPr>
      <cdr:spPr>
        <a:xfrm xmlns:a="http://schemas.openxmlformats.org/drawingml/2006/main">
          <a:off x="50800" y="50800"/>
          <a:ext cx="6113804" cy="469459"/>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3. Indicator of average monthly available income and expenditure per capita in households</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socjo-economic groups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compared to</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the national average</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in 2024</a:t>
          </a:r>
        </a:p>
        <a:p xmlns:a="http://schemas.openxmlformats.org/drawingml/2006/main">
          <a:pPr algn="l"/>
          <a:endPar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0.09073</cdr:y>
    </cdr:to>
    <cdr:sp macro="" textlink="">
      <cdr:nvSpPr>
        <cdr:cNvPr id="4" name="pole tekstowe 1"/>
        <cdr:cNvSpPr txBox="1"/>
      </cdr:nvSpPr>
      <cdr:spPr>
        <a:xfrm xmlns:a="http://schemas.openxmlformats.org/drawingml/2006/main">
          <a:off x="0" y="0"/>
          <a:ext cx="5122545" cy="339805"/>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4. Structure of average monthly available income per capita in households in 2024</a:t>
          </a:r>
        </a:p>
        <a:p xmlns:a="http://schemas.openxmlformats.org/drawingml/2006/main">
          <a:pPr algn="l"/>
          <a:endPar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dr:relSizeAnchor xmlns:cdr="http://schemas.openxmlformats.org/drawingml/2006/chartDrawing">
    <cdr:from>
      <cdr:x>0</cdr:x>
      <cdr:y>0.92235</cdr:y>
    </cdr:from>
    <cdr:to>
      <cdr:x>1</cdr:x>
      <cdr:y>1</cdr:y>
    </cdr:to>
    <cdr:sp macro="" textlink="">
      <cdr:nvSpPr>
        <cdr:cNvPr id="5" name="pole tekstowe 1"/>
        <cdr:cNvSpPr txBox="1"/>
      </cdr:nvSpPr>
      <cdr:spPr>
        <a:xfrm xmlns:a="http://schemas.openxmlformats.org/drawingml/2006/main">
          <a:off x="0" y="3552825"/>
          <a:ext cx="5120640" cy="299085"/>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baseline="0">
              <a:latin typeface="Fira Sans" panose="020B0503050000020004" pitchFamily="34" charset="0"/>
              <a:ea typeface="Fira Sans" panose="020B0503050000020004" pitchFamily="34" charset="0"/>
              <a:cs typeface="Arial" panose="020B0604020202020204" pitchFamily="34" charset="0"/>
            </a:rPr>
            <a:t>*In the cathegory 'Other income' are included: income from property, income from real estate renting and other income. </a:t>
          </a:r>
          <a:endParaRPr lang="pl-PL" sz="800">
            <a:latin typeface="Fira Sans" panose="020B0503050000020004" pitchFamily="34" charset="0"/>
            <a:ea typeface="Fira Sans" panose="020B05030500000200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0.00037</cdr:x>
      <cdr:y>6.52784E-5</cdr:y>
    </cdr:from>
    <cdr:to>
      <cdr:x>1</cdr:x>
      <cdr:y>0.14578</cdr:y>
    </cdr:to>
    <cdr:sp macro="" textlink="">
      <cdr:nvSpPr>
        <cdr:cNvPr id="4" name="pole tekstowe 3"/>
        <cdr:cNvSpPr txBox="1"/>
      </cdr:nvSpPr>
      <cdr:spPr>
        <a:xfrm xmlns:a="http://schemas.openxmlformats.org/drawingml/2006/main">
          <a:off x="1895" y="209"/>
          <a:ext cx="5120650" cy="466516"/>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1" spc="-2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Wykres</a:t>
          </a:r>
          <a:r>
            <a:rPr lang="pl-PL" sz="900" b="1" spc="-2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5. </a:t>
          </a:r>
          <a:r>
            <a:rPr lang="pl-PL" sz="900" b="1"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Difference in income measured by the</a:t>
          </a:r>
          <a:r>
            <a:rPr lang="pl-PL" sz="900" b="1" spc="0" baseline="0">
              <a:solidFill>
                <a:srgbClr val="FF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1"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Gini coefficient for Poland</a:t>
          </a:r>
        </a:p>
        <a:p xmlns:a="http://schemas.openxmlformats.org/drawingml/2006/main">
          <a:pPr algn="l"/>
          <a:r>
            <a:rPr lang="pl-PL" sz="900" b="1"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place of residence, 2011–2024</a:t>
          </a:r>
        </a:p>
        <a:p xmlns:a="http://schemas.openxmlformats.org/drawingml/2006/main">
          <a:pPr algn="l"/>
          <a:endParaRPr lang="pl-PL" sz="900" b="1" i="1" spc="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0.01742</cdr:y>
    </cdr:from>
    <cdr:to>
      <cdr:x>1</cdr:x>
      <cdr:y>0.19926</cdr:y>
    </cdr:to>
    <cdr:sp macro="" textlink="">
      <cdr:nvSpPr>
        <cdr:cNvPr id="3" name="pole tekstowe 1"/>
        <cdr:cNvSpPr txBox="1"/>
      </cdr:nvSpPr>
      <cdr:spPr>
        <a:xfrm xmlns:a="http://schemas.openxmlformats.org/drawingml/2006/main">
          <a:off x="0" y="50795"/>
          <a:ext cx="5122545" cy="530230"/>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6. Share of average monthly expenditure per capita on food and non-alcoholic beverages</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and housing,</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water, electricity, gas and other fuels in the total expenditure of households,</a:t>
          </a:r>
        </a:p>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2011–2024</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1</cdr:x>
      <cdr:y>0.07698</cdr:y>
    </cdr:to>
    <cdr:sp macro="" textlink="">
      <cdr:nvSpPr>
        <cdr:cNvPr id="3" name="pole tekstowe 1"/>
        <cdr:cNvSpPr txBox="1"/>
      </cdr:nvSpPr>
      <cdr:spPr>
        <a:xfrm xmlns:a="http://schemas.openxmlformats.org/drawingml/2006/main">
          <a:off x="0" y="0"/>
          <a:ext cx="5122545" cy="401813"/>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7.</a:t>
          </a:r>
          <a:r>
            <a:rPr lang="pl-PL" sz="900" b="0" i="1"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Structure of average monthly expenditure per capita in households</a:t>
          </a:r>
        </a:p>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(in % of total expenditure) in 2024</a:t>
          </a:r>
        </a:p>
      </cdr:txBody>
    </cdr:sp>
  </cdr:relSizeAnchor>
</c:userShapes>
</file>

<file path=word/drawings/drawing8.xml><?xml version="1.0" encoding="utf-8"?>
<c:userShapes xmlns:c="http://schemas.openxmlformats.org/drawingml/2006/chart">
  <cdr:relSizeAnchor xmlns:cdr="http://schemas.openxmlformats.org/drawingml/2006/chartDrawing">
    <cdr:from>
      <cdr:x>0.17616</cdr:x>
      <cdr:y>0.01509</cdr:y>
    </cdr:from>
    <cdr:to>
      <cdr:x>0.85986</cdr:x>
      <cdr:y>0.10776</cdr:y>
    </cdr:to>
    <cdr:sp macro="" textlink="">
      <cdr:nvSpPr>
        <cdr:cNvPr id="5" name="pole tekstowe 4"/>
        <cdr:cNvSpPr txBox="1"/>
      </cdr:nvSpPr>
      <cdr:spPr>
        <a:xfrm xmlns:a="http://schemas.openxmlformats.org/drawingml/2006/main">
          <a:off x="1281114" y="66676"/>
          <a:ext cx="4972050"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0.0871</cdr:x>
      <cdr:y>0.00647</cdr:y>
    </cdr:from>
    <cdr:to>
      <cdr:x>0.89915</cdr:x>
      <cdr:y>0.11853</cdr:y>
    </cdr:to>
    <cdr:sp macro="" textlink="">
      <cdr:nvSpPr>
        <cdr:cNvPr id="8" name="pole tekstowe 7"/>
        <cdr:cNvSpPr txBox="1"/>
      </cdr:nvSpPr>
      <cdr:spPr>
        <a:xfrm xmlns:a="http://schemas.openxmlformats.org/drawingml/2006/main">
          <a:off x="633414" y="28576"/>
          <a:ext cx="5905500"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0.09889</cdr:x>
      <cdr:y>0.01293</cdr:y>
    </cdr:from>
    <cdr:to>
      <cdr:x>0.87033</cdr:x>
      <cdr:y>0.13147</cdr:y>
    </cdr:to>
    <cdr:sp macro="" textlink="">
      <cdr:nvSpPr>
        <cdr:cNvPr id="9" name="pole tekstowe 8"/>
        <cdr:cNvSpPr txBox="1"/>
      </cdr:nvSpPr>
      <cdr:spPr>
        <a:xfrm xmlns:a="http://schemas.openxmlformats.org/drawingml/2006/main">
          <a:off x="719139" y="57151"/>
          <a:ext cx="5610225" cy="523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cdr:x>
      <cdr:y>0.14884</cdr:y>
    </cdr:from>
    <cdr:to>
      <cdr:x>0.0595</cdr:x>
      <cdr:y>0.21198</cdr:y>
    </cdr:to>
    <cdr:sp macro="" textlink="">
      <cdr:nvSpPr>
        <cdr:cNvPr id="6" name="Pole tekstowe 1"/>
        <cdr:cNvSpPr txBox="1"/>
      </cdr:nvSpPr>
      <cdr:spPr>
        <a:xfrm xmlns:a="http://schemas.openxmlformats.org/drawingml/2006/main">
          <a:off x="0" y="428625"/>
          <a:ext cx="304791" cy="181817"/>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0</cdr:y>
    </cdr:from>
    <cdr:to>
      <cdr:x>1</cdr:x>
      <cdr:y>0.16207</cdr:y>
    </cdr:to>
    <cdr:sp macro="" textlink="">
      <cdr:nvSpPr>
        <cdr:cNvPr id="7" name="pole tekstowe 1"/>
        <cdr:cNvSpPr txBox="1"/>
      </cdr:nvSpPr>
      <cdr:spPr>
        <a:xfrm xmlns:a="http://schemas.openxmlformats.org/drawingml/2006/main">
          <a:off x="0" y="0"/>
          <a:ext cx="5122545" cy="466717"/>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Graph 8</a:t>
          </a:r>
          <a:r>
            <a:rPr lang="pl-PL" sz="900" b="0" i="1" spc="-1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a:t>
          </a:r>
          <a:r>
            <a:rPr lang="pl-PL" sz="900" b="0" i="1" spc="-10" baseline="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baseline="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Average monthly available income and expenditure per capita in households and the share</a:t>
          </a:r>
        </a:p>
        <a:p xmlns:a="http://schemas.openxmlformats.org/drawingml/2006/main">
          <a:pPr algn="l"/>
          <a:r>
            <a:rPr lang="pl-PL" sz="900" b="0" spc="-10" baseline="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                 of average monthly expenditure in available income by quintile groups in 2024</a:t>
          </a:r>
          <a:endParaRPr lang="pl-PL" sz="900" b="0" spc="-10">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0.1388</cdr:y>
    </cdr:from>
    <cdr:to>
      <cdr:x>0.0595</cdr:x>
      <cdr:y>0.20077</cdr:y>
    </cdr:to>
    <cdr:sp macro="" textlink="">
      <cdr:nvSpPr>
        <cdr:cNvPr id="3" name="Pole tekstowe 1"/>
        <cdr:cNvSpPr txBox="1"/>
      </cdr:nvSpPr>
      <cdr:spPr>
        <a:xfrm xmlns:a="http://schemas.openxmlformats.org/drawingml/2006/main">
          <a:off x="0" y="449680"/>
          <a:ext cx="304791" cy="200769"/>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0</cdr:y>
    </cdr:from>
    <cdr:to>
      <cdr:x>1</cdr:x>
      <cdr:y>0.14778</cdr:y>
    </cdr:to>
    <cdr:sp macro="" textlink="">
      <cdr:nvSpPr>
        <cdr:cNvPr id="4" name="pole tekstowe 1"/>
        <cdr:cNvSpPr txBox="1"/>
      </cdr:nvSpPr>
      <cdr:spPr>
        <a:xfrm xmlns:a="http://schemas.openxmlformats.org/drawingml/2006/main">
          <a:off x="0" y="-5931673"/>
          <a:ext cx="5122545" cy="478773"/>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9.</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Average monthly available income and expenditure per capita in households and the share</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of expenditure in available income by class of locality in 2024</a:t>
          </a:r>
        </a:p>
      </cdr:txBody>
    </cdr:sp>
  </cdr:relSizeAnchor>
</c:userShapes>
</file>

<file path=word/theme/theme1.xml><?xml version="1.0" encoding="utf-8"?>
<a:theme xmlns:a="http://schemas.openxmlformats.org/drawingml/2006/main" name="Motyw pakietu Office">
  <a:themeElements>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azwaPliku xmlns="1E9983FF-DC4B-4F4E-A072-0441E2B88E6D">The situation of households in 2023 on the basis of results of the Household Budgets Survey.docx</NazwaPliku>
    <Odbiorcy2 xmlns="1E9983FF-DC4B-4F4E-A072-0441E2B88E6D" xsi:nil="true"/>
    <Osoba xmlns="1E9983FF-DC4B-4F4E-A072-0441E2B88E6D">STAT\KowalewiczM1</Osoba>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 ds:uri="1E9983FF-DC4B-4F4E-A072-0441E2B88E6D"/>
    <ds:schemaRef ds:uri="http://schemas.microsoft.com/sharepoint/v3"/>
  </ds:schemaRefs>
</ds:datastoreItem>
</file>

<file path=customXml/itemProps2.xml><?xml version="1.0" encoding="utf-8"?>
<ds:datastoreItem xmlns:ds="http://schemas.openxmlformats.org/officeDocument/2006/customXml" ds:itemID="{776F61CB-33F1-45B6-95F6-BB680C7959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36D871-ACDA-4913-9B94-A569E83C2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6417</TotalTime>
  <Pages>17</Pages>
  <Words>3186</Words>
  <Characters>19121</Characters>
  <DocSecurity>0</DocSecurity>
  <Lines>159</Lines>
  <Paragraphs>44</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22263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2020-06-26T11:49:00Z</cp:lastPrinted>
  <dcterms:created xsi:type="dcterms:W3CDTF">2021-05-10T12:47:00Z</dcterms:created>
  <dcterms:modified xsi:type="dcterms:W3CDTF">2025-05-27T09:49:00Z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0x0101005F253E89B8992844AAE9836E71E202A8</vt:lpwstr>
  </property>
</Properties>
</file>