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239F1017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2024</w:t>
      </w:r>
    </w:p>
    <w:p w14:paraId="02BF4B14" w14:textId="61C812CF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3BE281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60700" cy="1049020"/>
                <wp:effectExtent l="0" t="0" r="6350" b="0"/>
                <wp:wrapSquare wrapText="bothSides"/>
                <wp:docPr id="6" name="Pole tekstowe 2" descr="223.5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252" cy="10490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019F8066" w:rsidR="005C0CAC" w:rsidRPr="00BE16FB" w:rsidRDefault="001324C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223.5</w:t>
                            </w:r>
                            <w:r w:rsidR="00A61CC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bn</w:t>
                            </w:r>
                            <w:r w:rsidR="008D004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223.5 bn PLN&#10;Net financial result&#10;" style="position:absolute;margin-left:0;margin-top:.6pt;width:241pt;height:82.6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jbUgIAAFkEAAAOAAAAZHJzL2Uyb0RvYy54bWyslN9v0zAQx9+R+B8sI/FG82PttoalU2nZ&#10;hDTGxOAPcGynseb4gu02KX89Z6frqvGG6INl585f333urlfXQ6vJTlqnwJQ0m6SUSMNBKLMp6c8f&#10;Nx8uKXGeGcE0GFnSvXT0evH2zVXfFTKHBrSQlqCIcUXflbTxviuSxPFGtsxNoJMGjTXYlnk82k0i&#10;LOtRvdVJnqbnSQ9WdBa4dA6/rkcjXUT9upbcf6trJz3RJcXYfFxtXKuwJosrVmws6xrFD2Gwf4ii&#10;Zcrgo0epNfOMbK36S6pV3IKD2k84tAnUteIy5oDZZOmrbB4b1smYC8Jx3RGT+3+y/H73YIkSJT2n&#10;xLAWS/QAWhIvn5yHXpKcEiEdR2R5fjaZkcqQh7v79++G5cd7xForwwxXTBMr3Vb7aAhU+84VKP7Y&#10;obwfPsGA3REJue4O+JMjBlYNMxu5tBb6RjKBWWXhZnJyddRxQaTqv4LA8NjWQxQaatsG5AiRoDpW&#10;d3+sqBw84fjxLD3P8hnmwNGWpdN5mseaJ6x4vt5Z528ltCRsSmpha8R37Jv4BtvdOR9iYsWzX3jS&#10;gVbiRmkdD3ZTrbQlOxZ6LM3WFxcxjVdu2pC+pPNZPovKBsL92H6t8jgDWrUlvUzDb+zKwOSzEdHF&#10;M6XHPUaizQFS4DIS8kM1oGMgV4HYIy4LY6/jbOKmAfubkh77vKTu15ZZSYn+YhD5PJtOw2DEw3R2&#10;gXyIPbVUpxasNUqV1FMyblc+DlPgYGCJpalV5PUSySFW7N+I8TBrYUBOz9Hr5R9h8QcAAP//AwBQ&#10;SwMEFAAGAAgAAAAhAMYMkxLaAAAABgEAAA8AAABkcnMvZG93bnJldi54bWxMj8FOwzAMhu9IvENk&#10;JC4VSylTNZWmE0MqB3aiG/es8ZqKxqmabC1vjznB8fNv/f5cbhc3iCtOofek4HGVgkBqvempU3A8&#10;1A8bECFqMnrwhAq+McC2ur0pdWH8TB94bWInuIRCoRXYGMdCytBadDqs/IjE2dlPTkfGqZNm0jOX&#10;u0FmaZpLp3viC1aP+Gqx/WouTsFuOu+b9GkJdnd43yd1nXy+zYlS93fLyzOIiEv8W4ZffVaHip1O&#10;/kImiEEBPxJ5moHgcL3JmE/Meb4GWZXyv371AwAA//8DAFBLAQItABQABgAIAAAAIQC2gziS/gAA&#10;AOEBAAATAAAAAAAAAAAAAAAAAAAAAABbQ29udGVudF9UeXBlc10ueG1sUEsBAi0AFAAGAAgAAAAh&#10;ADj9If/WAAAAlAEAAAsAAAAAAAAAAAAAAAAALwEAAF9yZWxzLy5yZWxzUEsBAi0AFAAGAAgAAAAh&#10;AJlWyNtSAgAAWQQAAA4AAAAAAAAAAAAAAAAALgIAAGRycy9lMm9Eb2MueG1sUEsBAi0AFAAGAAgA&#10;AAAhAMYMkxLaAAAABgEAAA8AAAAAAAAAAAAAAAAArAQAAGRycy9kb3ducmV2LnhtbFBLBQYAAAAA&#10;BAAEAPMAAACzBQAAAAA=&#10;" fillcolor="#001d77" stroked="f">
                <v:stroke joinstyle="miter"/>
                <v:textbox>
                  <w:txbxContent>
                    <w:p w14:paraId="30951E30" w14:textId="019F8066" w:rsidR="005C0CAC" w:rsidRPr="00BE16FB" w:rsidRDefault="001324C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223.5</w:t>
                      </w:r>
                      <w:r w:rsidR="00A61CC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bn</w:t>
                      </w:r>
                      <w:r w:rsidR="008D004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324C9">
        <w:rPr>
          <w:lang w:val="en-US"/>
        </w:rPr>
        <w:t>In</w:t>
      </w:r>
      <w:r w:rsidR="001C6A55">
        <w:rPr>
          <w:lang w:val="en-US"/>
        </w:rPr>
        <w:t xml:space="preserve"> 2024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>otal revenues</w:t>
      </w:r>
      <w:r w:rsidR="00E51AE6">
        <w:rPr>
          <w:lang w:val="en-US"/>
        </w:rPr>
        <w:t xml:space="preserve"> of</w:t>
      </w:r>
      <w:r w:rsidR="00511D67">
        <w:rPr>
          <w:lang w:val="en-US"/>
        </w:rPr>
        <w:t xml:space="preserve"> surveyed enterprises</w:t>
      </w:r>
      <w:r w:rsidR="008D004E">
        <w:rPr>
          <w:lang w:val="en-US"/>
        </w:rPr>
        <w:t xml:space="preserve"> </w:t>
      </w:r>
      <w:r w:rsidR="008D004E" w:rsidRPr="008D004E">
        <w:rPr>
          <w:lang w:val="en-US"/>
        </w:rPr>
        <w:t>amounted to</w:t>
      </w:r>
      <w:r w:rsidR="001324C9">
        <w:rPr>
          <w:lang w:val="en-US"/>
        </w:rPr>
        <w:t xml:space="preserve"> 6,032.4</w:t>
      </w:r>
      <w:r w:rsidR="008D004E">
        <w:rPr>
          <w:lang w:val="en-US"/>
        </w:rPr>
        <w:t xml:space="preserve"> bn PLN and </w:t>
      </w:r>
      <w:r w:rsidR="008D004E" w:rsidRPr="008D004E">
        <w:rPr>
          <w:lang w:val="en-US"/>
        </w:rPr>
        <w:t>total costs of obtaining the revenues</w:t>
      </w:r>
      <w:r w:rsidR="006B3970">
        <w:rPr>
          <w:lang w:val="en-US"/>
        </w:rPr>
        <w:t xml:space="preserve"> </w:t>
      </w:r>
      <w:r w:rsidR="006B3970" w:rsidRPr="008D004E">
        <w:rPr>
          <w:lang w:val="en-US"/>
        </w:rPr>
        <w:t>amounted to</w:t>
      </w:r>
      <w:r w:rsidR="001324C9">
        <w:rPr>
          <w:lang w:val="en-US"/>
        </w:rPr>
        <w:t xml:space="preserve"> 5,755.7</w:t>
      </w:r>
      <w:r w:rsidR="008D004E">
        <w:rPr>
          <w:lang w:val="en-US"/>
        </w:rPr>
        <w:t xml:space="preserve"> bn PLN. </w:t>
      </w:r>
      <w:r w:rsidR="008D004E" w:rsidRPr="008D004E">
        <w:rPr>
          <w:lang w:val="en-US"/>
        </w:rPr>
        <w:t>Net financial result amounted to</w:t>
      </w:r>
      <w:r w:rsidR="001324C9">
        <w:rPr>
          <w:lang w:val="en-US"/>
        </w:rPr>
        <w:t xml:space="preserve"> 223.5</w:t>
      </w:r>
      <w:r w:rsidR="003F5E57">
        <w:rPr>
          <w:lang w:val="en-US"/>
        </w:rPr>
        <w:t xml:space="preserve"> bn PLN.</w:t>
      </w:r>
    </w:p>
    <w:p w14:paraId="581BDE40" w14:textId="77777777" w:rsidR="006D6A2C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3198E059" w14:textId="77777777" w:rsidR="00E84DF3" w:rsidRDefault="00E84DF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</w:p>
    <w:p w14:paraId="6B81B5C6" w14:textId="37D506F3" w:rsidR="00511D67" w:rsidRPr="00E15169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E15169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E15169">
        <w:rPr>
          <w:b/>
          <w:lang w:val="en-US"/>
        </w:rPr>
        <w:t>keeping accounting ledgers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1324C9">
        <w:rPr>
          <w:rFonts w:eastAsia="Times New Roman" w:cs="Times New Roman"/>
          <w:b/>
          <w:szCs w:val="19"/>
          <w:lang w:val="en-US" w:eastAsia="pl-PL"/>
        </w:rPr>
        <w:t>with 1</w:t>
      </w:r>
      <w:r w:rsidRPr="00E15169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E15169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9D01CA">
        <w:rPr>
          <w:rFonts w:eastAsia="Times New Roman" w:cs="Times New Roman"/>
          <w:b/>
          <w:szCs w:val="19"/>
          <w:lang w:val="en-US" w:eastAsia="pl-PL"/>
        </w:rPr>
        <w:t>2024</w:t>
      </w:r>
    </w:p>
    <w:p w14:paraId="1752B4AB" w14:textId="180C6657" w:rsidR="00F0564E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23E96">
        <w:rPr>
          <w:rFonts w:eastAsia="Times New Roman" w:cs="Times New Roman"/>
          <w:szCs w:val="19"/>
          <w:lang w:val="en-US" w:eastAsia="pl-PL"/>
        </w:rPr>
        <w:t>In the population of</w:t>
      </w:r>
      <w:r w:rsidR="00D067FB">
        <w:rPr>
          <w:rFonts w:eastAsia="Times New Roman" w:cs="Times New Roman"/>
          <w:szCs w:val="19"/>
          <w:lang w:val="en-US" w:eastAsia="pl-PL"/>
        </w:rPr>
        <w:t xml:space="preserve"> 51,408</w:t>
      </w:r>
      <w:r w:rsidRPr="00D23E96">
        <w:rPr>
          <w:rFonts w:eastAsia="Times New Roman" w:cs="Times New Roman"/>
          <w:szCs w:val="19"/>
          <w:lang w:val="en-US" w:eastAsia="pl-PL"/>
        </w:rPr>
        <w:t xml:space="preserve"> enterprises keeping accountin</w:t>
      </w:r>
      <w:r>
        <w:rPr>
          <w:rFonts w:eastAsia="Times New Roman" w:cs="Times New Roman"/>
          <w:szCs w:val="19"/>
          <w:lang w:val="en-US" w:eastAsia="pl-PL"/>
        </w:rPr>
        <w:t>g ledgers</w:t>
      </w:r>
      <w:r w:rsidR="00D067FB">
        <w:rPr>
          <w:rFonts w:eastAsia="Times New Roman" w:cs="Times New Roman"/>
          <w:szCs w:val="19"/>
          <w:lang w:val="en-US" w:eastAsia="pl-PL"/>
        </w:rPr>
        <w:t xml:space="preserve"> surveyed in</w:t>
      </w:r>
      <w:r w:rsidR="009D01CA">
        <w:rPr>
          <w:rFonts w:eastAsia="Times New Roman" w:cs="Times New Roman"/>
          <w:szCs w:val="19"/>
          <w:lang w:val="en-US" w:eastAsia="pl-PL"/>
        </w:rPr>
        <w:t xml:space="preserve"> 2024</w:t>
      </w:r>
      <w:r w:rsidR="00D067FB">
        <w:rPr>
          <w:rFonts w:eastAsia="Times New Roman" w:cs="Times New Roman"/>
          <w:szCs w:val="19"/>
          <w:lang w:val="en-US" w:eastAsia="pl-PL"/>
        </w:rPr>
        <w:t>, the largest group (64.7</w:t>
      </w:r>
      <w:r w:rsidR="00D067FB" w:rsidRPr="00D067FB">
        <w:rPr>
          <w:rFonts w:eastAsia="Times New Roman" w:cs="Times New Roman"/>
          <w:szCs w:val="19"/>
          <w:lang w:val="en-US" w:eastAsia="pl-PL"/>
        </w:rPr>
        <w:t>%) were small enterprises, i.e. from 10 to 49 person</w:t>
      </w:r>
      <w:r w:rsidR="00D067FB">
        <w:rPr>
          <w:rFonts w:eastAsia="Times New Roman" w:cs="Times New Roman"/>
          <w:szCs w:val="19"/>
          <w:lang w:val="en-US" w:eastAsia="pl-PL"/>
        </w:rPr>
        <w:t>s employed and the smallest (7.7</w:t>
      </w:r>
      <w:r w:rsidR="00D067FB" w:rsidRPr="00D067FB">
        <w:rPr>
          <w:rFonts w:eastAsia="Times New Roman" w:cs="Times New Roman"/>
          <w:szCs w:val="19"/>
          <w:lang w:val="en-US" w:eastAsia="pl-PL"/>
        </w:rPr>
        <w:t>%) were large entities (with 250 and more persons employed). Medium-sized enterprises (from 50 to 249 pe</w:t>
      </w:r>
      <w:r w:rsidR="00D067FB">
        <w:rPr>
          <w:rFonts w:eastAsia="Times New Roman" w:cs="Times New Roman"/>
          <w:szCs w:val="19"/>
          <w:lang w:val="en-US" w:eastAsia="pl-PL"/>
        </w:rPr>
        <w:t>rsons employed) constituted 27.6</w:t>
      </w:r>
      <w:r w:rsidR="00D067FB" w:rsidRPr="00D067FB">
        <w:rPr>
          <w:rFonts w:eastAsia="Times New Roman" w:cs="Times New Roman"/>
          <w:szCs w:val="19"/>
          <w:lang w:val="en-US" w:eastAsia="pl-PL"/>
        </w:rPr>
        <w:t>% of the surveyed population.</w:t>
      </w:r>
      <w:r w:rsidR="00D067FB">
        <w:rPr>
          <w:rFonts w:eastAsia="Times New Roman" w:cs="Times New Roman"/>
          <w:szCs w:val="19"/>
          <w:lang w:val="en-US" w:eastAsia="pl-PL"/>
        </w:rPr>
        <w:t xml:space="preserve"> As of December 31</w:t>
      </w:r>
      <w:r w:rsidR="007D493C">
        <w:rPr>
          <w:rFonts w:eastAsia="Times New Roman" w:cs="Times New Roman"/>
          <w:szCs w:val="19"/>
          <w:lang w:val="en-US" w:eastAsia="pl-PL"/>
        </w:rPr>
        <w:t>, 2024</w:t>
      </w:r>
      <w:r w:rsidR="00F155BB">
        <w:rPr>
          <w:rFonts w:eastAsia="Times New Roman" w:cs="Times New Roman"/>
          <w:szCs w:val="19"/>
          <w:lang w:val="en-US" w:eastAsia="pl-PL"/>
        </w:rPr>
        <w:t xml:space="preserve">, </w:t>
      </w:r>
      <w:r w:rsidR="00F155BB" w:rsidRPr="00F155BB">
        <w:rPr>
          <w:rFonts w:eastAsia="Times New Roman" w:cs="Times New Roman"/>
          <w:szCs w:val="19"/>
          <w:lang w:val="en-US" w:eastAsia="pl-PL"/>
        </w:rPr>
        <w:t>the enterprises covered by the survey em</w:t>
      </w:r>
      <w:r w:rsidR="00D067FB">
        <w:rPr>
          <w:rFonts w:eastAsia="Times New Roman" w:cs="Times New Roman"/>
          <w:szCs w:val="19"/>
          <w:lang w:val="en-US" w:eastAsia="pl-PL"/>
        </w:rPr>
        <w:t>ployed 5,665.0</w:t>
      </w:r>
      <w:r w:rsidR="00F155BB">
        <w:rPr>
          <w:rFonts w:eastAsia="Times New Roman" w:cs="Times New Roman"/>
          <w:szCs w:val="19"/>
          <w:lang w:val="en-US" w:eastAsia="pl-PL"/>
        </w:rPr>
        <w:t xml:space="preserve"> thousand persons.</w:t>
      </w:r>
      <w:r w:rsidR="00FD3C79">
        <w:rPr>
          <w:rFonts w:eastAsia="Times New Roman" w:cs="Times New Roman"/>
          <w:szCs w:val="19"/>
          <w:lang w:val="en-US" w:eastAsia="pl-PL"/>
        </w:rPr>
        <w:t xml:space="preserve"> </w:t>
      </w:r>
      <w:r w:rsidR="00D067FB" w:rsidRPr="00D067FB">
        <w:rPr>
          <w:rFonts w:eastAsia="Times New Roman" w:cs="Times New Roman"/>
          <w:szCs w:val="19"/>
          <w:lang w:val="en-US" w:eastAsia="pl-PL"/>
        </w:rPr>
        <w:t>Large enti</w:t>
      </w:r>
      <w:r w:rsidR="00D067FB">
        <w:rPr>
          <w:rFonts w:eastAsia="Times New Roman" w:cs="Times New Roman"/>
          <w:szCs w:val="19"/>
          <w:lang w:val="en-US" w:eastAsia="pl-PL"/>
        </w:rPr>
        <w:t>ties were the workplace for 60.0</w:t>
      </w:r>
      <w:r w:rsidR="00D067FB" w:rsidRPr="00D067FB">
        <w:rPr>
          <w:rFonts w:eastAsia="Times New Roman" w:cs="Times New Roman"/>
          <w:szCs w:val="19"/>
          <w:lang w:val="en-US" w:eastAsia="pl-PL"/>
        </w:rPr>
        <w:t xml:space="preserve">% of all persons employed, medium-sized </w:t>
      </w:r>
      <w:r w:rsidR="00D067FB">
        <w:rPr>
          <w:rFonts w:eastAsia="Times New Roman" w:cs="Times New Roman"/>
          <w:szCs w:val="19"/>
          <w:lang w:val="en-US" w:eastAsia="pl-PL"/>
        </w:rPr>
        <w:t>entities – 26.7% and small entities – 13</w:t>
      </w:r>
      <w:r w:rsidR="00D067FB" w:rsidRPr="00D067FB">
        <w:rPr>
          <w:rFonts w:eastAsia="Times New Roman" w:cs="Times New Roman"/>
          <w:szCs w:val="19"/>
          <w:lang w:val="en-US" w:eastAsia="pl-PL"/>
        </w:rPr>
        <w:t>.3%.</w:t>
      </w:r>
      <w:r w:rsidR="006527F8">
        <w:rPr>
          <w:rFonts w:eastAsia="Times New Roman" w:cs="Times New Roman"/>
          <w:szCs w:val="19"/>
          <w:lang w:val="en-US" w:eastAsia="pl-PL"/>
        </w:rPr>
        <w:t xml:space="preserve"> 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D067FB">
        <w:rPr>
          <w:rFonts w:eastAsia="Times New Roman" w:cs="Times New Roman"/>
          <w:szCs w:val="19"/>
          <w:lang w:val="en-US" w:eastAsia="pl-PL"/>
        </w:rPr>
        <w:t>end of</w:t>
      </w:r>
      <w:r w:rsidR="00624640">
        <w:rPr>
          <w:rFonts w:eastAsia="Times New Roman" w:cs="Times New Roman"/>
          <w:szCs w:val="19"/>
          <w:lang w:val="en-US" w:eastAsia="pl-PL"/>
        </w:rPr>
        <w:t xml:space="preserve"> 2024</w:t>
      </w:r>
      <w:r w:rsidR="00F0564E">
        <w:rPr>
          <w:rFonts w:eastAsia="Times New Roman" w:cs="Times New Roman"/>
          <w:szCs w:val="19"/>
          <w:lang w:val="en-US" w:eastAsia="pl-PL"/>
        </w:rPr>
        <w:t xml:space="preserve">, </w:t>
      </w:r>
      <w:r w:rsidR="006527F8" w:rsidRPr="006527F8">
        <w:rPr>
          <w:rFonts w:eastAsia="Times New Roman" w:cs="Times New Roman"/>
          <w:szCs w:val="19"/>
          <w:lang w:val="en-US" w:eastAsia="pl-PL"/>
        </w:rPr>
        <w:t>the average surveyed entity keeping</w:t>
      </w:r>
      <w:r w:rsidR="006527F8">
        <w:rPr>
          <w:rFonts w:eastAsia="Times New Roman" w:cs="Times New Roman"/>
          <w:szCs w:val="19"/>
          <w:lang w:val="en-US" w:eastAsia="pl-PL"/>
        </w:rPr>
        <w:t xml:space="preserve"> accounting ledgers employed 110 persons, a large entity – 862</w:t>
      </w:r>
      <w:r w:rsidR="006527F8" w:rsidRPr="006527F8">
        <w:rPr>
          <w:rFonts w:eastAsia="Times New Roman" w:cs="Times New Roman"/>
          <w:szCs w:val="19"/>
          <w:lang w:val="en-US" w:eastAsia="pl-PL"/>
        </w:rPr>
        <w:t xml:space="preserve"> pers</w:t>
      </w:r>
      <w:r w:rsidR="006527F8">
        <w:rPr>
          <w:rFonts w:eastAsia="Times New Roman" w:cs="Times New Roman"/>
          <w:szCs w:val="19"/>
          <w:lang w:val="en-US" w:eastAsia="pl-PL"/>
        </w:rPr>
        <w:t>ons, a medium-sized entity – 106</w:t>
      </w:r>
      <w:r w:rsidR="006527F8" w:rsidRPr="006527F8">
        <w:rPr>
          <w:rFonts w:eastAsia="Times New Roman" w:cs="Times New Roman"/>
          <w:szCs w:val="19"/>
          <w:lang w:val="en-US" w:eastAsia="pl-PL"/>
        </w:rPr>
        <w:t xml:space="preserve"> persons and</w:t>
      </w:r>
      <w:r w:rsidR="00F717CD">
        <w:rPr>
          <w:rFonts w:eastAsia="Times New Roman" w:cs="Times New Roman"/>
          <w:szCs w:val="19"/>
          <w:lang w:val="en-US" w:eastAsia="pl-PL"/>
        </w:rPr>
        <w:t xml:space="preserve"> a</w:t>
      </w:r>
      <w:r w:rsidR="006527F8" w:rsidRPr="006527F8">
        <w:rPr>
          <w:rFonts w:eastAsia="Times New Roman" w:cs="Times New Roman"/>
          <w:szCs w:val="19"/>
          <w:lang w:val="en-US" w:eastAsia="pl-PL"/>
        </w:rPr>
        <w:t xml:space="preserve"> small entity – 23 persons.</w:t>
      </w:r>
    </w:p>
    <w:p w14:paraId="5D6EF89B" w14:textId="2A044CC9" w:rsidR="001C6F87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="001C6F87" w:rsidRPr="001C6F87">
        <w:rPr>
          <w:rFonts w:eastAsia="Times New Roman" w:cs="Times New Roman"/>
          <w:szCs w:val="19"/>
          <w:lang w:val="en-US" w:eastAsia="pl-PL"/>
        </w:rPr>
        <w:t>otal r</w:t>
      </w:r>
      <w:r w:rsidR="001C6F87">
        <w:rPr>
          <w:rFonts w:eastAsia="Times New Roman" w:cs="Times New Roman"/>
          <w:szCs w:val="19"/>
          <w:lang w:val="en-US" w:eastAsia="pl-PL"/>
        </w:rPr>
        <w:t>evenues of the surveyed</w:t>
      </w:r>
      <w:r w:rsidR="00A123B0">
        <w:rPr>
          <w:rFonts w:eastAsia="Times New Roman" w:cs="Times New Roman"/>
          <w:szCs w:val="19"/>
          <w:lang w:val="en-US" w:eastAsia="pl-PL"/>
        </w:rPr>
        <w:t xml:space="preserve"> enterprises amounted to 6,032.4</w:t>
      </w:r>
      <w:r w:rsidR="001C6F87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1C6F87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1C6F87">
        <w:rPr>
          <w:rFonts w:eastAsia="Times New Roman" w:cs="Times New Roman"/>
          <w:szCs w:val="19"/>
          <w:lang w:val="en-US" w:eastAsia="pl-PL"/>
        </w:rPr>
        <w:t xml:space="preserve"> PLN</w:t>
      </w:r>
      <w:r w:rsidR="00F12F40">
        <w:rPr>
          <w:rFonts w:eastAsia="Times New Roman" w:cs="Times New Roman"/>
          <w:szCs w:val="19"/>
          <w:lang w:val="en-US" w:eastAsia="pl-PL"/>
        </w:rPr>
        <w:t>. I</w:t>
      </w:r>
      <w:r w:rsidR="001C6F87" w:rsidRPr="001C6F87">
        <w:rPr>
          <w:rFonts w:eastAsia="Times New Roman" w:cs="Times New Roman"/>
          <w:szCs w:val="19"/>
          <w:lang w:val="en-US" w:eastAsia="pl-PL"/>
        </w:rPr>
        <w:t>n the s</w:t>
      </w:r>
      <w:r w:rsidR="00A123B0">
        <w:rPr>
          <w:rFonts w:eastAsia="Times New Roman" w:cs="Times New Roman"/>
          <w:szCs w:val="19"/>
          <w:lang w:val="en-US" w:eastAsia="pl-PL"/>
        </w:rPr>
        <w:t>tructure of these revenues, 57.5</w:t>
      </w:r>
      <w:r w:rsidR="001C6F87" w:rsidRPr="001C6F87">
        <w:rPr>
          <w:rFonts w:eastAsia="Times New Roman" w:cs="Times New Roman"/>
          <w:szCs w:val="19"/>
          <w:lang w:val="en-US" w:eastAsia="pl-PL"/>
        </w:rPr>
        <w:t>% were revenues from the sale of products (pr</w:t>
      </w:r>
      <w:r w:rsidR="00C475DF">
        <w:rPr>
          <w:rFonts w:eastAsia="Times New Roman" w:cs="Times New Roman"/>
          <w:szCs w:val="19"/>
          <w:lang w:val="en-US" w:eastAsia="pl-PL"/>
        </w:rPr>
        <w:t xml:space="preserve">oducts and </w:t>
      </w:r>
      <w:r w:rsidR="00A123B0">
        <w:rPr>
          <w:rFonts w:eastAsia="Times New Roman" w:cs="Times New Roman"/>
          <w:szCs w:val="19"/>
          <w:lang w:val="en-US" w:eastAsia="pl-PL"/>
        </w:rPr>
        <w:t>services) and 39.1</w:t>
      </w:r>
      <w:r w:rsidR="005D3341">
        <w:rPr>
          <w:rFonts w:eastAsia="Times New Roman" w:cs="Times New Roman"/>
          <w:szCs w:val="19"/>
          <w:lang w:val="en-US" w:eastAsia="pl-PL"/>
        </w:rPr>
        <w:t xml:space="preserve">% </w:t>
      </w:r>
      <w:r w:rsidR="005D3341" w:rsidRPr="00FD3C79">
        <w:rPr>
          <w:rFonts w:eastAsia="Times New Roman" w:cs="Times New Roman"/>
          <w:szCs w:val="19"/>
          <w:lang w:val="en-US" w:eastAsia="pl-PL"/>
        </w:rPr>
        <w:t>–</w:t>
      </w:r>
      <w:r w:rsidR="001C6F87" w:rsidRPr="001C6F87">
        <w:rPr>
          <w:rFonts w:eastAsia="Times New Roman" w:cs="Times New Roman"/>
          <w:szCs w:val="19"/>
          <w:lang w:val="en-US" w:eastAsia="pl-PL"/>
        </w:rPr>
        <w:t xml:space="preserve"> revenues from the sale of goods and materials.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Ot</w:t>
      </w:r>
      <w:r w:rsidR="000345BD">
        <w:rPr>
          <w:rFonts w:eastAsia="Times New Roman" w:cs="Times New Roman"/>
          <w:szCs w:val="19"/>
          <w:lang w:val="en-US" w:eastAsia="pl-PL"/>
        </w:rPr>
        <w:t xml:space="preserve">her operating revenues </w:t>
      </w:r>
      <w:r w:rsidR="00C475DF">
        <w:rPr>
          <w:rFonts w:eastAsia="Times New Roman" w:cs="Times New Roman"/>
          <w:szCs w:val="19"/>
          <w:lang w:val="en-US" w:eastAsia="pl-PL"/>
        </w:rPr>
        <w:t>and financial revenues</w:t>
      </w:r>
      <w:r w:rsidR="00F717CD">
        <w:rPr>
          <w:rFonts w:eastAsia="Times New Roman" w:cs="Times New Roman"/>
          <w:szCs w:val="19"/>
          <w:lang w:val="en-US" w:eastAsia="pl-PL"/>
        </w:rPr>
        <w:t xml:space="preserve"> </w:t>
      </w:r>
      <w:r w:rsidR="00F717CD">
        <w:rPr>
          <w:rFonts w:eastAsia="Times New Roman" w:cs="Times New Roman"/>
          <w:szCs w:val="19"/>
          <w:lang w:val="en-US" w:eastAsia="pl-PL"/>
        </w:rPr>
        <w:t>–</w:t>
      </w:r>
      <w:r w:rsidR="00C475DF">
        <w:rPr>
          <w:rFonts w:eastAsia="Times New Roman" w:cs="Times New Roman"/>
          <w:szCs w:val="19"/>
          <w:lang w:val="en-US" w:eastAsia="pl-PL"/>
        </w:rPr>
        <w:t xml:space="preserve"> </w:t>
      </w:r>
      <w:r w:rsidR="009675F2">
        <w:rPr>
          <w:rFonts w:eastAsia="Times New Roman" w:cs="Times New Roman"/>
          <w:szCs w:val="19"/>
          <w:lang w:val="en-US" w:eastAsia="pl-PL"/>
        </w:rPr>
        <w:t xml:space="preserve">each </w:t>
      </w:r>
      <w:r w:rsidR="00C475DF">
        <w:rPr>
          <w:rFonts w:eastAsia="Times New Roman" w:cs="Times New Roman"/>
          <w:szCs w:val="19"/>
          <w:lang w:val="en-US" w:eastAsia="pl-PL"/>
        </w:rPr>
        <w:t>for 1.</w:t>
      </w:r>
      <w:r w:rsidR="00A123B0">
        <w:rPr>
          <w:rFonts w:eastAsia="Times New Roman" w:cs="Times New Roman"/>
          <w:szCs w:val="19"/>
          <w:lang w:val="en-US" w:eastAsia="pl-PL"/>
        </w:rPr>
        <w:t>7</w:t>
      </w:r>
      <w:r w:rsidR="009675F2">
        <w:rPr>
          <w:rFonts w:eastAsia="Times New Roman" w:cs="Times New Roman"/>
          <w:szCs w:val="19"/>
          <w:lang w:val="en-US" w:eastAsia="pl-PL"/>
        </w:rPr>
        <w:t>%</w:t>
      </w:r>
      <w:r w:rsidR="00F12F40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of total revenues.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A123B0" w:rsidRPr="00A123B0">
        <w:rPr>
          <w:rFonts w:eastAsia="Times New Roman" w:cs="Times New Roman"/>
          <w:szCs w:val="19"/>
          <w:lang w:val="en-US" w:eastAsia="pl-PL"/>
        </w:rPr>
        <w:t>Total revenues obtained by large</w:t>
      </w:r>
      <w:r w:rsidR="00A123B0">
        <w:rPr>
          <w:rFonts w:eastAsia="Times New Roman" w:cs="Times New Roman"/>
          <w:szCs w:val="19"/>
          <w:lang w:val="en-US" w:eastAsia="pl-PL"/>
        </w:rPr>
        <w:t xml:space="preserve"> enterprises constituted for 61.8</w:t>
      </w:r>
      <w:r w:rsidR="00A123B0" w:rsidRPr="00A123B0">
        <w:rPr>
          <w:rFonts w:eastAsia="Times New Roman" w:cs="Times New Roman"/>
          <w:szCs w:val="19"/>
          <w:lang w:val="en-US" w:eastAsia="pl-PL"/>
        </w:rPr>
        <w:t>% of the revenues of all surveyed ente</w:t>
      </w:r>
      <w:r w:rsidR="00F12F40">
        <w:rPr>
          <w:rFonts w:eastAsia="Times New Roman" w:cs="Times New Roman"/>
          <w:szCs w:val="19"/>
          <w:lang w:val="en-US" w:eastAsia="pl-PL"/>
        </w:rPr>
        <w:t xml:space="preserve">rprises. Medium-sized entities </w:t>
      </w:r>
      <w:r w:rsidR="00A123B0">
        <w:rPr>
          <w:rFonts w:eastAsia="Times New Roman" w:cs="Times New Roman"/>
          <w:szCs w:val="19"/>
          <w:lang w:val="en-US" w:eastAsia="pl-PL"/>
        </w:rPr>
        <w:t>obtained 24.8</w:t>
      </w:r>
      <w:r w:rsidR="00F12F40">
        <w:rPr>
          <w:rFonts w:eastAsia="Times New Roman" w:cs="Times New Roman"/>
          <w:szCs w:val="19"/>
          <w:lang w:val="en-US" w:eastAsia="pl-PL"/>
        </w:rPr>
        <w:t xml:space="preserve">% of total revenues and small entities </w:t>
      </w:r>
      <w:r w:rsidR="00A123B0">
        <w:rPr>
          <w:rFonts w:eastAsia="Times New Roman" w:cs="Times New Roman"/>
          <w:szCs w:val="19"/>
          <w:lang w:val="en-US" w:eastAsia="pl-PL"/>
        </w:rPr>
        <w:t>obtained</w:t>
      </w:r>
      <w:r w:rsidR="00F12F40">
        <w:rPr>
          <w:rFonts w:eastAsia="Times New Roman" w:cs="Times New Roman"/>
          <w:szCs w:val="19"/>
          <w:lang w:val="en-US" w:eastAsia="pl-PL"/>
        </w:rPr>
        <w:t xml:space="preserve"> </w:t>
      </w:r>
      <w:r w:rsidR="00F12F40" w:rsidRPr="006527F8">
        <w:rPr>
          <w:rFonts w:eastAsia="Times New Roman" w:cs="Times New Roman"/>
          <w:szCs w:val="19"/>
          <w:lang w:val="en-US" w:eastAsia="pl-PL"/>
        </w:rPr>
        <w:t>–</w:t>
      </w:r>
      <w:r w:rsidR="00A123B0">
        <w:rPr>
          <w:rFonts w:eastAsia="Times New Roman" w:cs="Times New Roman"/>
          <w:szCs w:val="19"/>
          <w:lang w:val="en-US" w:eastAsia="pl-PL"/>
        </w:rPr>
        <w:t xml:space="preserve"> 13.4</w:t>
      </w:r>
      <w:r w:rsidR="00F12F40">
        <w:rPr>
          <w:rFonts w:eastAsia="Times New Roman" w:cs="Times New Roman"/>
          <w:szCs w:val="19"/>
          <w:lang w:val="en-US" w:eastAsia="pl-PL"/>
        </w:rPr>
        <w:t>%.</w:t>
      </w:r>
    </w:p>
    <w:p w14:paraId="03FEFCAE" w14:textId="071F36A5" w:rsidR="00457B3D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5C07944E">
                <wp:simplePos x="0" y="0"/>
                <wp:positionH relativeFrom="column">
                  <wp:posOffset>5351228</wp:posOffset>
                </wp:positionH>
                <wp:positionV relativeFrom="paragraph">
                  <wp:posOffset>948221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4" name="Pole tekstowe 4" descr="In 2024, gross financial result of enterprises amounted to 276.7 bn PLN and net financial result amounted to 223.5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6D43" w14:textId="14E570AF" w:rsidR="00D248E5" w:rsidRPr="00BE16FB" w:rsidRDefault="00D248E5" w:rsidP="00D248E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30C1D">
                              <w:rPr>
                                <w:lang w:val="en-US"/>
                              </w:rPr>
                              <w:t>2024</w:t>
                            </w:r>
                            <w:r>
                              <w:rPr>
                                <w:lang w:val="en-US"/>
                              </w:rPr>
                              <w:t>, gross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</w:t>
                            </w:r>
                            <w:r w:rsidR="00825A5A">
                              <w:rPr>
                                <w:lang w:val="en-US"/>
                              </w:rPr>
                              <w:t>of enterprises amounted to 276.7</w:t>
                            </w:r>
                            <w:r>
                              <w:rPr>
                                <w:lang w:val="en-US"/>
                              </w:rPr>
                              <w:t xml:space="preserve"> bn PLN and net fi</w:t>
                            </w:r>
                            <w:r w:rsidR="00825A5A">
                              <w:rPr>
                                <w:lang w:val="en-US"/>
                              </w:rPr>
                              <w:t>nancial result amounted to 223.5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In 2024, gross financial result of enterprises amounted to 276.7 bn PLN and net financial result amounted to 223.5 bn PLN" style="position:absolute;margin-left:421.35pt;margin-top:74.65pt;width:124.5pt;height:90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8tVQIAAIEEAAAOAAAAZHJzL2Uyb0RvYy54bWysVNtu2zAMfR+wfyD0vMWJl/RixCm6dh0K&#10;ZF2Bbh+gyHIsVBI1Sandff0oOW2z9m1YAgiUaR7yHJJeng1Gw4P0QaGt2WwyZSCtwEbZbc1+/rj6&#10;eMIgRG4brtHKmj3KwM5W798te1fJEjvUjfRAIDZUvatZF6OriiKIThoeJuikJWeL3vBIV78tGs97&#10;Qje6KKfTo6JH3ziPQoZATy9HJ1tl/LaVIn5v2yAj6JpRbTGfPp+bdBarJa+2nrtOiX0Z/B+qMFxZ&#10;SvoMdckjh51Xb6CMEh4DtnEi0BTYtkrIzIHYzKav2Nx13MnMhcQJ7lmm8P9gxc3DrQfV1GzOwHJD&#10;LbpFLSHK+xCxl0CPGxkESXZtoZyW8w+wJQYBWmW5FYpr8DLsdARsqfVReudVkAG4wR1dG4gI5fHR&#10;5Bg2Fm7XN0DDAJY68gbgr4jy02Sxj0hN6l2oqNY7R9XG4TMONGxZ8ODWKO4DWLzouN3Kc++x7yRv&#10;SKRZiiwOQkeckEA2/TdsiC3fRcxAQ+tN6iD1BAidhuXxeUDkEEGklIuT2WxBLkE+skr65xy8egp3&#10;PsSvEg0ko2aeJjDD84d1iKkcXj29krJZvFJa5ynUFvqanSbIVx6jSFbQytTsZJp+49gmll9sk4Mj&#10;V3q0KYG2e9qJ6cg5DpshtzlrkiTZYPNIOngcd4J2mIwO/W8GPe1DzcKvHfeSgb62pOXpbD5PC5Qv&#10;88VxSRd/6NkcemgyCKpmkVG7k3kR89KNxM5J81ZlNV4q2ZdMc55F2u9kWqTDe37r5cux+gMAAP//&#10;AwBQSwMEFAAGAAgAAAAhAFasPgrfAAAADAEAAA8AAABkcnMvZG93bnJldi54bWxMj8FOwzAMhu9I&#10;vENkJG4s2VqgLU0nBOIKYrBJ3LLGaysap2qytbw93gmO9v/p9+dyPbtenHAMnScNy4UCgVR721Gj&#10;4fPj5SYDEaIha3pPqOEHA6yry4vSFNZP9I6nTWwEl1AojIY2xqGQMtQtOhMWfkDi7OBHZyKPYyPt&#10;aCYud71cKXUnnemIL7RmwKcW6+/N0WnYvh6+dql6a57d7TD5WUlyudT6+mp+fAARcY5/MJz1WR0q&#10;dtr7I9kgeg1ZurpnlIM0T0CcCZUvebXXkCQqA1mV8v8T1S8AAAD//wMAUEsBAi0AFAAGAAgAAAAh&#10;ALaDOJL+AAAA4QEAABMAAAAAAAAAAAAAAAAAAAAAAFtDb250ZW50X1R5cGVzXS54bWxQSwECLQAU&#10;AAYACAAAACEAOP0h/9YAAACUAQAACwAAAAAAAAAAAAAAAAAvAQAAX3JlbHMvLnJlbHNQSwECLQAU&#10;AAYACAAAACEAN27/LVUCAACBBAAADgAAAAAAAAAAAAAAAAAuAgAAZHJzL2Uyb0RvYy54bWxQSwEC&#10;LQAUAAYACAAAACEAVqw+Ct8AAAAMAQAADwAAAAAAAAAAAAAAAACvBAAAZHJzL2Rvd25yZXYueG1s&#10;UEsFBgAAAAAEAAQA8wAAALsFAAAAAA==&#10;" filled="f" stroked="f">
                <v:textbox>
                  <w:txbxContent>
                    <w:p w14:paraId="5EB56D43" w14:textId="14E570AF" w:rsidR="00D248E5" w:rsidRPr="00BE16FB" w:rsidRDefault="00D248E5" w:rsidP="00D248E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E30C1D">
                        <w:rPr>
                          <w:lang w:val="en-US"/>
                        </w:rPr>
                        <w:t>2024</w:t>
                      </w:r>
                      <w:r>
                        <w:rPr>
                          <w:lang w:val="en-US"/>
                        </w:rPr>
                        <w:t>, gross</w:t>
                      </w:r>
                      <w:r w:rsidRPr="00994EE6">
                        <w:rPr>
                          <w:lang w:val="en-US"/>
                        </w:rPr>
                        <w:t xml:space="preserve"> financia</w:t>
                      </w:r>
                      <w:r>
                        <w:rPr>
                          <w:lang w:val="en-US"/>
                        </w:rPr>
                        <w:t xml:space="preserve">l result </w:t>
                      </w:r>
                      <w:r w:rsidR="00825A5A">
                        <w:rPr>
                          <w:lang w:val="en-US"/>
                        </w:rPr>
                        <w:t>of enterprises amounted to 276.7</w:t>
                      </w:r>
                      <w:r>
                        <w:rPr>
                          <w:lang w:val="en-US"/>
                        </w:rPr>
                        <w:t xml:space="preserve"> bn PLN and net fi</w:t>
                      </w:r>
                      <w:r w:rsidR="00825A5A">
                        <w:rPr>
                          <w:lang w:val="en-US"/>
                        </w:rPr>
                        <w:t>nancial result amounted to 223.5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814">
        <w:rPr>
          <w:rFonts w:eastAsia="Times New Roman" w:cs="Times New Roman"/>
          <w:szCs w:val="19"/>
          <w:lang w:val="en-US" w:eastAsia="pl-PL"/>
        </w:rPr>
        <w:t xml:space="preserve">In </w:t>
      </w:r>
      <w:r w:rsidR="00C353AE">
        <w:rPr>
          <w:rFonts w:eastAsia="Times New Roman" w:cs="Times New Roman"/>
          <w:szCs w:val="19"/>
          <w:lang w:val="en-US" w:eastAsia="pl-PL"/>
        </w:rPr>
        <w:t>2024</w:t>
      </w:r>
      <w:r w:rsidR="00920814">
        <w:rPr>
          <w:rFonts w:eastAsia="Times New Roman" w:cs="Times New Roman"/>
          <w:szCs w:val="19"/>
          <w:lang w:val="en-US" w:eastAsia="pl-PL"/>
        </w:rPr>
        <w:t>, tot</w:t>
      </w:r>
      <w:r w:rsidR="00A123B0">
        <w:rPr>
          <w:rFonts w:eastAsia="Times New Roman" w:cs="Times New Roman"/>
          <w:szCs w:val="19"/>
          <w:lang w:val="en-US" w:eastAsia="pl-PL"/>
        </w:rPr>
        <w:t>al costs amounted to 5,755.7</w:t>
      </w:r>
      <w:r w:rsidR="00920814">
        <w:rPr>
          <w:rFonts w:eastAsia="Times New Roman" w:cs="Times New Roman"/>
          <w:szCs w:val="19"/>
          <w:lang w:val="en-US" w:eastAsia="pl-PL"/>
        </w:rPr>
        <w:t xml:space="preserve"> b</w:t>
      </w:r>
      <w:r w:rsidR="00920814" w:rsidRPr="00920814">
        <w:rPr>
          <w:rFonts w:eastAsia="Times New Roman" w:cs="Times New Roman"/>
          <w:szCs w:val="19"/>
          <w:lang w:val="en-US" w:eastAsia="pl-PL"/>
        </w:rPr>
        <w:t>n</w:t>
      </w:r>
      <w:r w:rsidR="00920814">
        <w:rPr>
          <w:rFonts w:eastAsia="Times New Roman" w:cs="Times New Roman"/>
          <w:szCs w:val="19"/>
          <w:lang w:val="en-US" w:eastAsia="pl-PL"/>
        </w:rPr>
        <w:t xml:space="preserve"> PLN</w:t>
      </w:r>
      <w:r w:rsidR="00920814" w:rsidRPr="00920814">
        <w:rPr>
          <w:rFonts w:eastAsia="Times New Roman" w:cs="Times New Roman"/>
          <w:szCs w:val="19"/>
          <w:lang w:val="en-US" w:eastAsia="pl-PL"/>
        </w:rPr>
        <w:t>. I</w:t>
      </w:r>
      <w:r w:rsidR="00714581">
        <w:rPr>
          <w:rFonts w:eastAsia="Times New Roman" w:cs="Times New Roman"/>
          <w:szCs w:val="19"/>
          <w:lang w:val="en-US" w:eastAsia="pl-PL"/>
        </w:rPr>
        <w:t>n the total cost structure, 96.4</w:t>
      </w:r>
      <w:r w:rsidR="00920814" w:rsidRPr="00920814">
        <w:rPr>
          <w:rFonts w:eastAsia="Times New Roman" w:cs="Times New Roman"/>
          <w:szCs w:val="19"/>
          <w:lang w:val="en-US" w:eastAsia="pl-PL"/>
        </w:rPr>
        <w:t>% were the costs of products, goods a</w:t>
      </w:r>
      <w:r w:rsidR="00C131E3">
        <w:rPr>
          <w:rFonts w:eastAsia="Times New Roman" w:cs="Times New Roman"/>
          <w:szCs w:val="19"/>
          <w:lang w:val="en-US" w:eastAsia="pl-PL"/>
        </w:rPr>
        <w:t xml:space="preserve">nd materials sold </w:t>
      </w:r>
      <w:r w:rsidR="00457B3D">
        <w:rPr>
          <w:rFonts w:eastAsia="Times New Roman" w:cs="Times New Roman"/>
          <w:szCs w:val="19"/>
          <w:lang w:val="en-US" w:eastAsia="pl-PL"/>
        </w:rPr>
        <w:t>(of which 62.8</w:t>
      </w:r>
      <w:r w:rsidR="009907CC" w:rsidRPr="00920814">
        <w:rPr>
          <w:rFonts w:eastAsia="Times New Roman" w:cs="Times New Roman"/>
          <w:szCs w:val="19"/>
          <w:lang w:val="en-US" w:eastAsia="pl-PL"/>
        </w:rPr>
        <w:t xml:space="preserve">% was </w:t>
      </w:r>
      <w:r w:rsidR="009907CC">
        <w:rPr>
          <w:rFonts w:eastAsia="Times New Roman" w:cs="Times New Roman"/>
          <w:szCs w:val="19"/>
          <w:lang w:val="en-US" w:eastAsia="pl-PL"/>
        </w:rPr>
        <w:t xml:space="preserve">the </w:t>
      </w:r>
      <w:r w:rsidR="009907CC" w:rsidRPr="00920814">
        <w:rPr>
          <w:rFonts w:eastAsia="Times New Roman" w:cs="Times New Roman"/>
          <w:szCs w:val="19"/>
          <w:lang w:val="en-US" w:eastAsia="pl-PL"/>
        </w:rPr>
        <w:t>cost of product</w:t>
      </w:r>
      <w:r w:rsidR="00457B3D">
        <w:rPr>
          <w:rFonts w:eastAsia="Times New Roman" w:cs="Times New Roman"/>
          <w:szCs w:val="19"/>
          <w:lang w:val="en-US" w:eastAsia="pl-PL"/>
        </w:rPr>
        <w:t>s sold and 33.6</w:t>
      </w:r>
      <w:r w:rsidR="009907CC">
        <w:rPr>
          <w:rFonts w:eastAsia="Times New Roman" w:cs="Times New Roman"/>
          <w:szCs w:val="19"/>
          <w:lang w:val="en-US" w:eastAsia="pl-PL"/>
        </w:rPr>
        <w:t xml:space="preserve">% </w:t>
      </w:r>
      <w:r w:rsidR="009907CC" w:rsidRPr="00FD3C79">
        <w:rPr>
          <w:rFonts w:eastAsia="Times New Roman" w:cs="Times New Roman"/>
          <w:szCs w:val="19"/>
          <w:lang w:val="en-US" w:eastAsia="pl-PL"/>
        </w:rPr>
        <w:t>–</w:t>
      </w:r>
      <w:r w:rsidR="009907CC">
        <w:rPr>
          <w:rFonts w:eastAsia="Times New Roman" w:cs="Times New Roman"/>
          <w:szCs w:val="19"/>
          <w:lang w:val="en-US" w:eastAsia="pl-PL"/>
        </w:rPr>
        <w:t xml:space="preserve"> </w:t>
      </w:r>
      <w:r w:rsidR="009907CC" w:rsidRPr="00920814">
        <w:rPr>
          <w:rFonts w:eastAsia="Times New Roman" w:cs="Times New Roman"/>
          <w:szCs w:val="19"/>
          <w:lang w:val="en-US" w:eastAsia="pl-PL"/>
        </w:rPr>
        <w:t>value of good</w:t>
      </w:r>
      <w:r w:rsidR="009907CC">
        <w:rPr>
          <w:rFonts w:eastAsia="Times New Roman" w:cs="Times New Roman"/>
          <w:szCs w:val="19"/>
          <w:lang w:val="en-US" w:eastAsia="pl-PL"/>
        </w:rPr>
        <w:t xml:space="preserve">s and materials sold), </w:t>
      </w:r>
      <w:r w:rsidR="004739BC">
        <w:rPr>
          <w:rFonts w:eastAsia="Times New Roman" w:cs="Times New Roman"/>
          <w:szCs w:val="19"/>
          <w:lang w:val="en-US" w:eastAsia="pl-PL"/>
        </w:rPr>
        <w:t xml:space="preserve">other operating costs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714581">
        <w:rPr>
          <w:rFonts w:eastAsia="Times New Roman" w:cs="Times New Roman"/>
          <w:szCs w:val="19"/>
          <w:lang w:val="en-US" w:eastAsia="pl-PL"/>
        </w:rPr>
        <w:t xml:space="preserve"> 1.6%, and financial costs – 2.0</w:t>
      </w:r>
      <w:r w:rsidR="00920814" w:rsidRPr="00920814">
        <w:rPr>
          <w:rFonts w:eastAsia="Times New Roman" w:cs="Times New Roman"/>
          <w:szCs w:val="19"/>
          <w:lang w:val="en-US" w:eastAsia="pl-PL"/>
        </w:rPr>
        <w:t>%.</w:t>
      </w:r>
      <w:r w:rsidR="00457B3D">
        <w:rPr>
          <w:rFonts w:eastAsia="Times New Roman" w:cs="Times New Roman"/>
          <w:szCs w:val="19"/>
          <w:lang w:val="en-US" w:eastAsia="pl-PL"/>
        </w:rPr>
        <w:t xml:space="preserve"> </w:t>
      </w:r>
      <w:r w:rsidR="00457B3D" w:rsidRPr="00457B3D">
        <w:rPr>
          <w:rFonts w:eastAsia="Times New Roman" w:cs="Times New Roman"/>
          <w:szCs w:val="19"/>
          <w:lang w:val="en-US" w:eastAsia="pl-PL"/>
        </w:rPr>
        <w:t>The total costs incurred by large</w:t>
      </w:r>
      <w:r w:rsidR="00457B3D">
        <w:rPr>
          <w:rFonts w:eastAsia="Times New Roman" w:cs="Times New Roman"/>
          <w:szCs w:val="19"/>
          <w:lang w:val="en-US" w:eastAsia="pl-PL"/>
        </w:rPr>
        <w:t xml:space="preserve"> enterprises accounted for 62.1</w:t>
      </w:r>
      <w:r w:rsidR="00457B3D" w:rsidRPr="00457B3D">
        <w:rPr>
          <w:rFonts w:eastAsia="Times New Roman" w:cs="Times New Roman"/>
          <w:szCs w:val="19"/>
          <w:lang w:val="en-US" w:eastAsia="pl-PL"/>
        </w:rPr>
        <w:t>% of the costs of all surveyed enterprises. Medium-sized entities in</w:t>
      </w:r>
      <w:r w:rsidR="00457B3D">
        <w:rPr>
          <w:rFonts w:eastAsia="Times New Roman" w:cs="Times New Roman"/>
          <w:szCs w:val="19"/>
          <w:lang w:val="en-US" w:eastAsia="pl-PL"/>
        </w:rPr>
        <w:t xml:space="preserve">curred 24.7% </w:t>
      </w:r>
      <w:r w:rsidR="00941182" w:rsidRPr="00457B3D">
        <w:rPr>
          <w:rFonts w:eastAsia="Times New Roman" w:cs="Times New Roman"/>
          <w:szCs w:val="19"/>
          <w:lang w:val="en-US" w:eastAsia="pl-PL"/>
        </w:rPr>
        <w:t>of the total costs</w:t>
      </w:r>
      <w:r w:rsidR="00941182">
        <w:rPr>
          <w:rFonts w:eastAsia="Times New Roman" w:cs="Times New Roman"/>
          <w:szCs w:val="19"/>
          <w:lang w:val="en-US" w:eastAsia="pl-PL"/>
        </w:rPr>
        <w:t xml:space="preserve"> </w:t>
      </w:r>
      <w:r w:rsidR="00457B3D">
        <w:rPr>
          <w:rFonts w:eastAsia="Times New Roman" w:cs="Times New Roman"/>
          <w:szCs w:val="19"/>
          <w:lang w:val="en-US" w:eastAsia="pl-PL"/>
        </w:rPr>
        <w:t xml:space="preserve">and small entities </w:t>
      </w:r>
      <w:r w:rsidR="00941182">
        <w:rPr>
          <w:rFonts w:eastAsia="Times New Roman" w:cs="Times New Roman"/>
          <w:szCs w:val="19"/>
          <w:lang w:val="en-US" w:eastAsia="pl-PL"/>
        </w:rPr>
        <w:t xml:space="preserve">– </w:t>
      </w:r>
      <w:r w:rsidR="00457B3D">
        <w:rPr>
          <w:rFonts w:eastAsia="Times New Roman" w:cs="Times New Roman"/>
          <w:szCs w:val="19"/>
          <w:lang w:val="en-US" w:eastAsia="pl-PL"/>
        </w:rPr>
        <w:t>13.2</w:t>
      </w:r>
      <w:r w:rsidR="00941182">
        <w:rPr>
          <w:rFonts w:eastAsia="Times New Roman" w:cs="Times New Roman"/>
          <w:szCs w:val="19"/>
          <w:lang w:val="en-US" w:eastAsia="pl-PL"/>
        </w:rPr>
        <w:t>%.</w:t>
      </w:r>
    </w:p>
    <w:p w14:paraId="5EAF4017" w14:textId="05ED7EED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G</w:t>
      </w:r>
      <w:r w:rsidR="005E326B" w:rsidRPr="005E326B">
        <w:rPr>
          <w:rFonts w:eastAsia="Times New Roman" w:cs="Times New Roman"/>
          <w:szCs w:val="19"/>
          <w:lang w:val="en-US" w:eastAsia="pl-PL"/>
        </w:rPr>
        <w:t>ross financial res</w:t>
      </w:r>
      <w:r w:rsidR="005509A6">
        <w:rPr>
          <w:rFonts w:eastAsia="Times New Roman" w:cs="Times New Roman"/>
          <w:szCs w:val="19"/>
          <w:lang w:val="en-US" w:eastAsia="pl-PL"/>
        </w:rPr>
        <w:t>ult amounted to 276.7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. </w:t>
      </w:r>
      <w:r w:rsidR="005E326B">
        <w:rPr>
          <w:rFonts w:eastAsia="Times New Roman" w:cs="Times New Roman"/>
          <w:szCs w:val="19"/>
          <w:lang w:val="en-US" w:eastAsia="pl-PL"/>
        </w:rPr>
        <w:t>O</w:t>
      </w:r>
      <w:r w:rsidR="005E326B" w:rsidRPr="00293571">
        <w:rPr>
          <w:rFonts w:eastAsia="Times New Roman" w:cs="Times New Roman"/>
          <w:szCs w:val="19"/>
          <w:lang w:val="en-US" w:eastAsia="pl-PL"/>
        </w:rPr>
        <w:t>bligato</w:t>
      </w:r>
      <w:r w:rsidR="005E326B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5E326B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714581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5509A6">
        <w:rPr>
          <w:rFonts w:eastAsia="Times New Roman" w:cs="Times New Roman"/>
          <w:szCs w:val="19"/>
          <w:lang w:val="en-US" w:eastAsia="pl-PL"/>
        </w:rPr>
        <w:t>53.1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4450C3">
        <w:rPr>
          <w:rFonts w:eastAsia="Times New Roman" w:cs="Times New Roman"/>
          <w:szCs w:val="19"/>
          <w:lang w:val="en-US" w:eastAsia="pl-PL"/>
        </w:rPr>
        <w:t>. 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et </w:t>
      </w:r>
      <w:r w:rsidR="005E326B">
        <w:rPr>
          <w:rFonts w:eastAsia="Times New Roman" w:cs="Times New Roman"/>
          <w:szCs w:val="19"/>
          <w:lang w:val="en-US" w:eastAsia="pl-PL"/>
        </w:rPr>
        <w:t>fi</w:t>
      </w:r>
      <w:r w:rsidR="00C131E3">
        <w:rPr>
          <w:rFonts w:eastAsia="Times New Roman" w:cs="Times New Roman"/>
          <w:szCs w:val="19"/>
          <w:lang w:val="en-US" w:eastAsia="pl-PL"/>
        </w:rPr>
        <w:t xml:space="preserve">nancial </w:t>
      </w:r>
      <w:r w:rsidR="005509A6">
        <w:rPr>
          <w:rFonts w:eastAsia="Times New Roman" w:cs="Times New Roman"/>
          <w:szCs w:val="19"/>
          <w:lang w:val="en-US" w:eastAsia="pl-PL"/>
        </w:rPr>
        <w:t>result amounted to 223.5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PLN.</w:t>
      </w:r>
    </w:p>
    <w:p w14:paraId="043A8E26" w14:textId="40D94E4D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In </w:t>
      </w:r>
      <w:r w:rsidR="00AB2AF4">
        <w:rPr>
          <w:rFonts w:eastAsia="Times New Roman" w:cs="Times New Roman"/>
          <w:szCs w:val="19"/>
          <w:lang w:val="en-US" w:eastAsia="pl-PL"/>
        </w:rPr>
        <w:t>2024</w:t>
      </w:r>
      <w:r>
        <w:rPr>
          <w:rFonts w:eastAsia="Times New Roman" w:cs="Times New Roman"/>
          <w:szCs w:val="19"/>
          <w:lang w:val="en-US" w:eastAsia="pl-PL"/>
        </w:rPr>
        <w:t>,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DD660F">
        <w:rPr>
          <w:rFonts w:eastAsia="Times New Roman" w:cs="Times New Roman"/>
          <w:szCs w:val="19"/>
          <w:lang w:val="en-US" w:eastAsia="pl-PL"/>
        </w:rPr>
        <w:t>e surveyed enterprises with 1</w:t>
      </w:r>
      <w:r w:rsidR="00056AD7">
        <w:rPr>
          <w:rFonts w:eastAsia="Times New Roman" w:cs="Times New Roman"/>
          <w:szCs w:val="19"/>
          <w:lang w:val="en-US" w:eastAsia="pl-PL"/>
        </w:rPr>
        <w:t>0 and more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keeping accounting </w:t>
      </w:r>
      <w:r w:rsidR="00DD660F">
        <w:rPr>
          <w:rFonts w:eastAsia="Times New Roman" w:cs="Times New Roman"/>
          <w:szCs w:val="19"/>
          <w:lang w:val="en-US" w:eastAsia="pl-PL"/>
        </w:rPr>
        <w:t>ledgers amounted to 235.4</w:t>
      </w:r>
      <w:r w:rsidR="00056AD7">
        <w:rPr>
          <w:rFonts w:eastAsia="Times New Roman" w:cs="Times New Roman"/>
          <w:szCs w:val="19"/>
          <w:lang w:val="en-US" w:eastAsia="pl-PL"/>
        </w:rPr>
        <w:t xml:space="preserve"> b</w:t>
      </w:r>
      <w:r w:rsidR="00056AD7" w:rsidRPr="00056AD7">
        <w:rPr>
          <w:rFonts w:eastAsia="Times New Roman" w:cs="Times New Roman"/>
          <w:szCs w:val="19"/>
          <w:lang w:val="en-US" w:eastAsia="pl-PL"/>
        </w:rPr>
        <w:t>n</w:t>
      </w:r>
      <w:r w:rsidR="00056AD7">
        <w:rPr>
          <w:rFonts w:eastAsia="Times New Roman" w:cs="Times New Roman"/>
          <w:szCs w:val="19"/>
          <w:lang w:val="en-US" w:eastAsia="pl-PL"/>
        </w:rPr>
        <w:t xml:space="preserve"> PLN</w:t>
      </w:r>
      <w:r w:rsidR="00056AD7" w:rsidRPr="00056AD7">
        <w:rPr>
          <w:rFonts w:eastAsia="Times New Roman" w:cs="Times New Roman"/>
          <w:szCs w:val="19"/>
          <w:lang w:val="en-US" w:eastAsia="pl-PL"/>
        </w:rPr>
        <w:t>.</w:t>
      </w:r>
      <w:r w:rsidR="00056AD7">
        <w:rPr>
          <w:rFonts w:eastAsia="Times New Roman" w:cs="Times New Roman"/>
          <w:szCs w:val="19"/>
          <w:lang w:val="en-US" w:eastAsia="pl-PL"/>
        </w:rPr>
        <w:t xml:space="preserve"> </w:t>
      </w:r>
      <w:r w:rsidR="00056AD7" w:rsidRPr="00056AD7">
        <w:rPr>
          <w:rFonts w:eastAsia="Times New Roman" w:cs="Times New Roman"/>
          <w:szCs w:val="19"/>
          <w:lang w:val="en-US" w:eastAsia="pl-PL"/>
        </w:rPr>
        <w:t>Large e</w:t>
      </w:r>
      <w:r w:rsidR="005E5ED0">
        <w:rPr>
          <w:rFonts w:eastAsia="Times New Roman" w:cs="Times New Roman"/>
          <w:szCs w:val="19"/>
          <w:lang w:val="en-US" w:eastAsia="pl-PL"/>
        </w:rPr>
        <w:t xml:space="preserve">nterprises </w:t>
      </w:r>
      <w:r w:rsidR="00E84DF3">
        <w:rPr>
          <w:rFonts w:eastAsia="Times New Roman" w:cs="Times New Roman"/>
          <w:szCs w:val="19"/>
          <w:lang w:val="en-US" w:eastAsia="pl-PL"/>
        </w:rPr>
        <w:t>incurred 73.1</w:t>
      </w:r>
      <w:r w:rsidR="00056AD7" w:rsidRPr="00056AD7">
        <w:rPr>
          <w:rFonts w:eastAsia="Times New Roman" w:cs="Times New Roman"/>
          <w:szCs w:val="19"/>
          <w:lang w:val="en-US" w:eastAsia="pl-PL"/>
        </w:rPr>
        <w:t>% of the total investment outlays incurred by th</w:t>
      </w:r>
      <w:r w:rsidR="00E84DF3">
        <w:rPr>
          <w:rFonts w:eastAsia="Times New Roman" w:cs="Times New Roman"/>
          <w:szCs w:val="19"/>
          <w:lang w:val="en-US" w:eastAsia="pl-PL"/>
        </w:rPr>
        <w:t>e surveyed enterprises with 1</w:t>
      </w:r>
      <w:r w:rsidR="00056AD7">
        <w:rPr>
          <w:rFonts w:eastAsia="Times New Roman" w:cs="Times New Roman"/>
          <w:szCs w:val="19"/>
          <w:lang w:val="en-US" w:eastAsia="pl-PL"/>
        </w:rPr>
        <w:t xml:space="preserve">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C36368">
        <w:rPr>
          <w:rFonts w:eastAsia="Times New Roman" w:cs="Times New Roman"/>
          <w:szCs w:val="19"/>
          <w:lang w:val="en-US" w:eastAsia="pl-PL"/>
        </w:rPr>
        <w:t>, m</w:t>
      </w:r>
      <w:r w:rsidR="005E5ED0">
        <w:rPr>
          <w:rFonts w:eastAsia="Times New Roman" w:cs="Times New Roman"/>
          <w:szCs w:val="19"/>
          <w:lang w:val="en-US" w:eastAsia="pl-PL"/>
        </w:rPr>
        <w:t xml:space="preserve">edium-sized units </w:t>
      </w:r>
      <w:r w:rsidR="00E84DF3">
        <w:rPr>
          <w:rFonts w:eastAsia="Times New Roman" w:cs="Times New Roman"/>
          <w:szCs w:val="19"/>
          <w:lang w:val="en-US" w:eastAsia="pl-PL"/>
        </w:rPr>
        <w:t xml:space="preserve">– 18.9% </w:t>
      </w:r>
      <w:r w:rsidR="005E5ED0">
        <w:rPr>
          <w:rFonts w:eastAsia="Times New Roman" w:cs="Times New Roman"/>
          <w:szCs w:val="19"/>
          <w:lang w:val="en-US" w:eastAsia="pl-PL"/>
        </w:rPr>
        <w:t xml:space="preserve">and small units </w:t>
      </w:r>
      <w:r w:rsidR="00E84DF3">
        <w:rPr>
          <w:rFonts w:eastAsia="Times New Roman" w:cs="Times New Roman"/>
          <w:szCs w:val="19"/>
          <w:lang w:val="en-US" w:eastAsia="pl-PL"/>
        </w:rPr>
        <w:t>– 8.0</w:t>
      </w:r>
      <w:r w:rsidR="00E84DF3" w:rsidRPr="00E84DF3">
        <w:rPr>
          <w:rFonts w:eastAsia="Times New Roman" w:cs="Times New Roman"/>
          <w:szCs w:val="19"/>
          <w:lang w:val="en-US" w:eastAsia="pl-PL"/>
        </w:rPr>
        <w:t>%.</w:t>
      </w:r>
    </w:p>
    <w:p w14:paraId="00A5AEE9" w14:textId="77777777" w:rsidR="00DD35C2" w:rsidRDefault="00DD35C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B9DBE3B" w14:textId="77777777" w:rsidR="005E5ED0" w:rsidRDefault="005E5ED0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D97CA9B" w14:textId="77777777" w:rsidR="005E5ED0" w:rsidRDefault="005E5ED0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6E7BE82" w14:textId="31F82E55" w:rsidR="002146A0" w:rsidRPr="001D7BC0" w:rsidRDefault="0095489D" w:rsidP="001D7BC0">
      <w:pPr>
        <w:pStyle w:val="LID"/>
        <w:contextualSpacing/>
        <w:rPr>
          <w:lang w:val="en-US"/>
        </w:rPr>
      </w:pPr>
      <w:r>
        <w:rPr>
          <w:lang w:val="en-US"/>
        </w:rPr>
        <w:lastRenderedPageBreak/>
        <w:t>Table 1. Basic</w:t>
      </w:r>
      <w:r w:rsidR="009E3005" w:rsidRPr="009744B8">
        <w:rPr>
          <w:lang w:val="en-US"/>
        </w:rPr>
        <w:t xml:space="preserve"> data of surveyed enterprises</w:t>
      </w:r>
      <w:r w:rsidR="00F16967">
        <w:rPr>
          <w:lang w:val="en-US"/>
        </w:rPr>
        <w:t xml:space="preserve"> in </w:t>
      </w:r>
      <w:r w:rsidR="00023A22">
        <w:rPr>
          <w:lang w:val="en-US"/>
        </w:rPr>
        <w:t>2024</w:t>
      </w:r>
    </w:p>
    <w:p w14:paraId="0497BFD4" w14:textId="1D40F8C4" w:rsidR="001D7BC0" w:rsidRPr="001D7BC0" w:rsidRDefault="001D7BC0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160"/>
        <w:gridCol w:w="1060"/>
        <w:gridCol w:w="1160"/>
        <w:gridCol w:w="1320"/>
      </w:tblGrid>
      <w:tr w:rsidR="001D7BC0" w:rsidRPr="001D7BC0" w14:paraId="5B19C6AE" w14:textId="77777777" w:rsidTr="001D7BC0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065C80" w14:textId="77777777" w:rsidR="001D7BC0" w:rsidRPr="001D7BC0" w:rsidRDefault="001D7BC0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1755D8" w14:textId="77777777" w:rsidR="001D7BC0" w:rsidRPr="001D7BC0" w:rsidRDefault="001D7BC0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4513EA" w14:textId="77777777" w:rsidR="001D7BC0" w:rsidRPr="001D7BC0" w:rsidRDefault="001D7BC0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1D7BC0" w:rsidRPr="001D7BC0" w14:paraId="5A820D14" w14:textId="77777777" w:rsidTr="001D7BC0">
        <w:trPr>
          <w:trHeight w:val="345"/>
        </w:trPr>
        <w:tc>
          <w:tcPr>
            <w:tcW w:w="33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6E7F6C7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BF2E38C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102EA1" w14:textId="6CB02FBD" w:rsidR="001D7BC0" w:rsidRPr="001D7BC0" w:rsidRDefault="007E6087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="001D7BC0"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D995E2" w14:textId="234EB584" w:rsidR="001D7BC0" w:rsidRPr="001D7BC0" w:rsidRDefault="007E6087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="001D7BC0"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157A5D7" w14:textId="77777777" w:rsidR="001D7BC0" w:rsidRPr="001D7BC0" w:rsidRDefault="001D7BC0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1D7BC0" w:rsidRPr="001D7BC0" w14:paraId="3940E60B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3C9613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5640A1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51,408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FA1F47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33,276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8EC8D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14,189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2BD0A4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3,943</w:t>
            </w:r>
          </w:p>
        </w:tc>
      </w:tr>
      <w:tr w:rsidR="001D7BC0" w:rsidRPr="001D7BC0" w14:paraId="02975813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C60512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BD4B8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5,665,021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0802B0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753,906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5C090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1,511,118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8D4463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3,399,997</w:t>
            </w:r>
          </w:p>
        </w:tc>
      </w:tr>
      <w:tr w:rsidR="001D7BC0" w:rsidRPr="001D7BC0" w14:paraId="347D828E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1A7027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84D31D5" w14:textId="77777777" w:rsidR="001D7BC0" w:rsidRPr="001D7BC0" w:rsidRDefault="001D7BC0" w:rsidP="001D7B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1D7BC0" w:rsidRPr="001D7BC0" w14:paraId="48C676E1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064D0A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C64F19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6,032,410.0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D56372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806,725.6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5505C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1,499,563.8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5CC46D7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3,726,120.6</w:t>
            </w:r>
          </w:p>
        </w:tc>
      </w:tr>
      <w:tr w:rsidR="001D7BC0" w:rsidRPr="001D7BC0" w14:paraId="524DD284" w14:textId="77777777" w:rsidTr="001D7BC0">
        <w:trPr>
          <w:trHeight w:val="58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CB683D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1D7BC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6A9F1D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5,825,597.3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66E2C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782,025.0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17611E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1,451,245.4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F5BC84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3,592,326.9</w:t>
            </w:r>
          </w:p>
        </w:tc>
      </w:tr>
      <w:tr w:rsidR="001D7BC0" w:rsidRPr="001D7BC0" w14:paraId="5399F8D9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92057F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E99010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5,755,741.1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486EC3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757,687.0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CDE41D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1,424,714.2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3B50BF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3,573,339.9</w:t>
            </w:r>
          </w:p>
        </w:tc>
      </w:tr>
      <w:tr w:rsidR="001D7BC0" w:rsidRPr="001D7BC0" w14:paraId="1258FC84" w14:textId="77777777" w:rsidTr="001D7BC0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EC740C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1D7BC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2CDAB0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5,545,715.7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CE3BB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736,857.5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D6F5DD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1,376,418.6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CA2F334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3,432,439.6</w:t>
            </w:r>
          </w:p>
        </w:tc>
      </w:tr>
      <w:tr w:rsidR="001D7BC0" w:rsidRPr="001D7BC0" w14:paraId="3358036B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DC19B5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D33913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276,668.8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4185B7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49,038.6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B381F8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74,849.6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78DBB52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152,780.7</w:t>
            </w:r>
          </w:p>
        </w:tc>
      </w:tr>
      <w:tr w:rsidR="001D7BC0" w:rsidRPr="001D7BC0" w14:paraId="1EC04AB1" w14:textId="77777777" w:rsidTr="001D7BC0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87F66A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05127B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223,534.8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A2C795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41,807.1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CF833B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61,256.9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EA620D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120,470.8</w:t>
            </w:r>
          </w:p>
        </w:tc>
      </w:tr>
      <w:tr w:rsidR="001D7BC0" w:rsidRPr="001D7BC0" w14:paraId="2E9AD2DA" w14:textId="77777777" w:rsidTr="001D7BC0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FE2418" w14:textId="77777777" w:rsidR="001D7BC0" w:rsidRPr="001D7BC0" w:rsidRDefault="001D7BC0" w:rsidP="001D7BC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BB849D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235,416.0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DB30FC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18,825.9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F304F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44,541.7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6F1F" w14:textId="77777777" w:rsidR="001D7BC0" w:rsidRPr="001D7BC0" w:rsidRDefault="001D7BC0" w:rsidP="001D7B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D7BC0">
              <w:rPr>
                <w:rFonts w:eastAsia="Times New Roman" w:cs="Calibri"/>
                <w:color w:val="000000"/>
                <w:szCs w:val="19"/>
                <w:lang w:eastAsia="pl-PL"/>
              </w:rPr>
              <w:t>172,048.4</w:t>
            </w:r>
          </w:p>
        </w:tc>
      </w:tr>
    </w:tbl>
    <w:p w14:paraId="7304DF48" w14:textId="4083D9A2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064FA1EC" w:rsidR="009E3005" w:rsidRPr="00011503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011503">
        <w:rPr>
          <w:rFonts w:eastAsia="Times New Roman" w:cs="Times New Roman"/>
          <w:b/>
          <w:szCs w:val="19"/>
          <w:lang w:val="en-US" w:eastAsia="pl-PL"/>
        </w:rPr>
        <w:t>Enterprises keeping accounting ledgers with a predominant share of foreign capital</w:t>
      </w:r>
      <w:r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5EDB0A44" w14:textId="7F10D99B" w:rsidR="0076328F" w:rsidRDefault="008B642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0270CAB6">
                <wp:simplePos x="0" y="0"/>
                <wp:positionH relativeFrom="page">
                  <wp:posOffset>5722648</wp:posOffset>
                </wp:positionH>
                <wp:positionV relativeFrom="paragraph">
                  <wp:posOffset>1666875</wp:posOffset>
                </wp:positionV>
                <wp:extent cx="1772920" cy="1176655"/>
                <wp:effectExtent l="0" t="0" r="0" b="4445"/>
                <wp:wrapTight wrapText="bothSides">
                  <wp:wrapPolygon edited="0">
                    <wp:start x="696" y="0"/>
                    <wp:lineTo x="696" y="21332"/>
                    <wp:lineTo x="20888" y="21332"/>
                    <wp:lineTo x="20888" y="0"/>
                    <wp:lineTo x="696" y="0"/>
                  </wp:wrapPolygon>
                </wp:wrapTight>
                <wp:docPr id="13" name="Pole tekstowe 13" descr="Total revenues of enterprises with predominant foreign capital amounted to 2,467.2 bn PLN, and costs of obtaining them amounted to 2,351.5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52C7" w14:textId="64A31C1E" w:rsidR="00C74675" w:rsidRPr="00BE16FB" w:rsidRDefault="00C74675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>otal revenues of enterprises with predominant</w:t>
                            </w:r>
                            <w:r>
                              <w:rPr>
                                <w:lang w:val="en-US"/>
                              </w:rPr>
                              <w:t xml:space="preserve"> foreign capital amounted to</w:t>
                            </w:r>
                            <w:r w:rsidR="00414B31">
                              <w:rPr>
                                <w:lang w:val="en-US"/>
                              </w:rPr>
                              <w:t xml:space="preserve"> 2,467.2</w:t>
                            </w:r>
                            <w:r>
                              <w:rPr>
                                <w:lang w:val="en-US"/>
                              </w:rPr>
                              <w:t xml:space="preserve"> b</w:t>
                            </w:r>
                            <w:r w:rsidRPr="00C74675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PLN, and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 costs of obtaining the</w:t>
                            </w:r>
                            <w:r w:rsidR="00414B31">
                              <w:rPr>
                                <w:lang w:val="en-US"/>
                              </w:rPr>
                              <w:t>m amounted to 2,351.5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C94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Total revenues of enterprises with predominant foreign capital amounted to 2,467.2 bn PLN, and costs of obtaining them amounted to 2,351.5 bn PLN" style="position:absolute;margin-left:450.6pt;margin-top:131.25pt;width:139.6pt;height:92.6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yscAIAAJsEAAAOAAAAZHJzL2Uyb0RvYy54bWysVMFu2zAMvQ/YPxA6d3Hsxkkb1Cm6dhsG&#10;dF2Bdh8gy3Is1BI1SYndff0oOe2C7jYsB0EyxSe+98hcXI66h710XqGpWD6bM5BGYKPMtmI/Hj9/&#10;OGPgAzcN79HIij1Lzy43799dDHYtC+ywb6QDAjF+PdiKdSHYdZZ50UnN/QytNBRs0Wke6Oi2WeP4&#10;QOi6z4r5fJkN6BrrUEjv6evNFGSbhN+2UoTvbetlgL5iVFtIq0trHddsc8HXW8dtp8ShDP4PVWiu&#10;DD36CnXDA4edU39BaSUcemzDTKDOsG2VkIkDscnnb9g8dNzKxIXE8fZVJv//YMXd/t6Basi7UwaG&#10;a/LoHnsJQT75gIOE+L2RXpBojxh4D07updlJD9iS10E665Sn46BCB9bJBrUy3AQg16TaGhDcqpjI&#10;Ne7ofgMBoThZLFezAmoD97d3J0AdAgJ9SKhYB9KT7IRAbfAm77TMZ+UhL9o3WL8mFg+WeITxI45E&#10;JVnh7S2KJw8GrztutvLKORw6yRuSL4+Z2VHqhOMjSD18w4Zk4LuACWhsnY7ekltA6NRGz6+tI8cA&#10;Ij65WhXnBYUExfJ8tVyWZXqDr1/SrfPhi0RNGnnqQ0e9meD5/taHWA5fv1yJrxn8rPo+9WdvYKjY&#10;eVmUKeEoohXpD73SFTubx9/U0JHlJ9OkZJKyn/b0QG8OtCPTiXMY6zE1QPGiZo3NM+ngcJoWmm7a&#10;dOh+MRhoUirmf+64kwz6r4a0PM8Xizha6bAoV1EFdxypjyPcCIKqWGDkedxehzSOE+Ur0rxVSY1o&#10;zlTJoWSagCTSYVrjiB2f060//ymb3wAAAP//AwBQSwMEFAAGAAgAAAAhAH4DxwbfAAAADAEAAA8A&#10;AABkcnMvZG93bnJldi54bWxMj8FOwzAQRO9I/IO1SNyonSgtacimQiCuIAqtxM2Nt0lEvI5itwl/&#10;j3uC42qeZt6Wm9n24kyj7xwjJAsFgrh2puMG4fPj5S4H4YNmo3vHhPBDHjbV9VWpC+MmfqfzNjQi&#10;lrAvNEIbwlBI6euWrPYLNxDH7OhGq0M8x0aaUU+x3PYyVWolre44LrR6oKeW6u/tySLsXo9f+0y9&#10;Nc92OUxuVpLtWiLe3syPDyACzeEPhot+VIcqOh3ciY0XPcJaJWlEEdJVugRxIZJcZSAOCFl2n4Os&#10;Svn/ieoXAAD//wMAUEsBAi0AFAAGAAgAAAAhALaDOJL+AAAA4QEAABMAAAAAAAAAAAAAAAAAAAAA&#10;AFtDb250ZW50X1R5cGVzXS54bWxQSwECLQAUAAYACAAAACEAOP0h/9YAAACUAQAACwAAAAAAAAAA&#10;AAAAAAAvAQAAX3JlbHMvLnJlbHNQSwECLQAUAAYACAAAACEAoFGsrHACAACbBAAADgAAAAAAAAAA&#10;AAAAAAAuAgAAZHJzL2Uyb0RvYy54bWxQSwECLQAUAAYACAAAACEAfgPHBt8AAAAMAQAADwAAAAAA&#10;AAAAAAAAAADKBAAAZHJzL2Rvd25yZXYueG1sUEsFBgAAAAAEAAQA8wAAANYFAAAAAA==&#10;" filled="f" stroked="f">
                <v:textbox>
                  <w:txbxContent>
                    <w:p w14:paraId="01FD52C7" w14:textId="64A31C1E" w:rsidR="00C74675" w:rsidRPr="00BE16FB" w:rsidRDefault="00C74675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>otal revenues of enterprises with predominant</w:t>
                      </w:r>
                      <w:r>
                        <w:rPr>
                          <w:lang w:val="en-US"/>
                        </w:rPr>
                        <w:t xml:space="preserve"> foreign capital amounted to</w:t>
                      </w:r>
                      <w:r w:rsidR="00414B31">
                        <w:rPr>
                          <w:lang w:val="en-US"/>
                        </w:rPr>
                        <w:t xml:space="preserve"> 2,467.2</w:t>
                      </w:r>
                      <w:r>
                        <w:rPr>
                          <w:lang w:val="en-US"/>
                        </w:rPr>
                        <w:t xml:space="preserve"> b</w:t>
                      </w:r>
                      <w:r w:rsidRPr="00C74675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PLN, and</w:t>
                      </w:r>
                      <w:r w:rsidRPr="00C74675">
                        <w:rPr>
                          <w:lang w:val="en-US"/>
                        </w:rPr>
                        <w:t xml:space="preserve"> costs of obtaining the</w:t>
                      </w:r>
                      <w:r w:rsidR="00414B31">
                        <w:rPr>
                          <w:lang w:val="en-US"/>
                        </w:rPr>
                        <w:t>m amounted to 2,351.5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1503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437464">
        <w:rPr>
          <w:rFonts w:eastAsia="Times New Roman" w:cs="Times New Roman"/>
          <w:szCs w:val="19"/>
          <w:lang w:val="en-US" w:eastAsia="pl-PL"/>
        </w:rPr>
        <w:t>population of enterprises with 1</w:t>
      </w:r>
      <w:r w:rsidR="00011503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437464">
        <w:rPr>
          <w:rFonts w:eastAsia="Times New Roman" w:cs="Times New Roman"/>
          <w:szCs w:val="19"/>
          <w:lang w:val="en-US" w:eastAsia="pl-PL"/>
        </w:rPr>
        <w:t>, 8,355</w:t>
      </w:r>
      <w:r w:rsidR="00011503" w:rsidRPr="00011503">
        <w:rPr>
          <w:rFonts w:eastAsia="Times New Roman" w:cs="Times New Roman"/>
          <w:szCs w:val="19"/>
          <w:lang w:val="en-US" w:eastAsia="pl-PL"/>
        </w:rPr>
        <w:t xml:space="preserve"> units had a predominant share of foreign capital.</w:t>
      </w:r>
      <w:r w:rsidR="00011503">
        <w:rPr>
          <w:rFonts w:eastAsia="Times New Roman" w:cs="Times New Roman"/>
          <w:szCs w:val="19"/>
          <w:lang w:val="en-US" w:eastAsia="pl-PL"/>
        </w:rPr>
        <w:t xml:space="preserve"> </w:t>
      </w:r>
      <w:r w:rsidR="00011503" w:rsidRPr="00011503">
        <w:rPr>
          <w:rFonts w:eastAsia="Times New Roman" w:cs="Times New Roman"/>
          <w:szCs w:val="19"/>
          <w:lang w:val="en-US" w:eastAsia="pl-PL"/>
        </w:rPr>
        <w:t>They constitu</w:t>
      </w:r>
      <w:r w:rsidR="00437464">
        <w:rPr>
          <w:rFonts w:eastAsia="Times New Roman" w:cs="Times New Roman"/>
          <w:szCs w:val="19"/>
          <w:lang w:val="en-US" w:eastAsia="pl-PL"/>
        </w:rPr>
        <w:t>ted 16.3</w:t>
      </w:r>
      <w:r w:rsidR="00011503">
        <w:rPr>
          <w:rFonts w:eastAsia="Times New Roman" w:cs="Times New Roman"/>
          <w:szCs w:val="19"/>
          <w:lang w:val="en-US" w:eastAsia="pl-PL"/>
        </w:rPr>
        <w:t>% of all surveyed enter</w:t>
      </w:r>
      <w:r w:rsidR="00011503" w:rsidRPr="00011503">
        <w:rPr>
          <w:rFonts w:eastAsia="Times New Roman" w:cs="Times New Roman"/>
          <w:szCs w:val="19"/>
          <w:lang w:val="en-US" w:eastAsia="pl-PL"/>
        </w:rPr>
        <w:t>prises.</w:t>
      </w:r>
      <w:r w:rsidR="005A1873">
        <w:rPr>
          <w:rFonts w:eastAsia="Times New Roman" w:cs="Times New Roman"/>
          <w:szCs w:val="19"/>
          <w:lang w:val="en-US" w:eastAsia="pl-PL"/>
        </w:rPr>
        <w:t xml:space="preserve"> </w:t>
      </w:r>
      <w:r w:rsidR="00437464" w:rsidRPr="00437464">
        <w:rPr>
          <w:rFonts w:eastAsia="Times New Roman" w:cs="Times New Roman"/>
          <w:szCs w:val="19"/>
          <w:lang w:val="en-US" w:eastAsia="pl-PL"/>
        </w:rPr>
        <w:t xml:space="preserve">Among these units, the share of small entities (from 10 </w:t>
      </w:r>
      <w:r w:rsidR="00437464">
        <w:rPr>
          <w:rFonts w:eastAsia="Times New Roman" w:cs="Times New Roman"/>
          <w:szCs w:val="19"/>
          <w:lang w:val="en-US" w:eastAsia="pl-PL"/>
        </w:rPr>
        <w:t>to 49 persons employed) was 44.1</w:t>
      </w:r>
      <w:r w:rsidR="00437464" w:rsidRPr="00437464">
        <w:rPr>
          <w:rFonts w:eastAsia="Times New Roman" w:cs="Times New Roman"/>
          <w:szCs w:val="19"/>
          <w:lang w:val="en-US" w:eastAsia="pl-PL"/>
        </w:rPr>
        <w:t>%, medium-sized entities (from 50 to 249 persons</w:t>
      </w:r>
      <w:r w:rsidR="00437464">
        <w:rPr>
          <w:rFonts w:eastAsia="Times New Roman" w:cs="Times New Roman"/>
          <w:szCs w:val="19"/>
          <w:lang w:val="en-US" w:eastAsia="pl-PL"/>
        </w:rPr>
        <w:t xml:space="preserve"> employed) was 35.7</w:t>
      </w:r>
      <w:r w:rsidR="00437464" w:rsidRPr="00437464">
        <w:rPr>
          <w:rFonts w:eastAsia="Times New Roman" w:cs="Times New Roman"/>
          <w:szCs w:val="19"/>
          <w:lang w:val="en-US" w:eastAsia="pl-PL"/>
        </w:rPr>
        <w:t>%, and large entities (with 250 a</w:t>
      </w:r>
      <w:r w:rsidR="00437464">
        <w:rPr>
          <w:rFonts w:eastAsia="Times New Roman" w:cs="Times New Roman"/>
          <w:szCs w:val="19"/>
          <w:lang w:val="en-US" w:eastAsia="pl-PL"/>
        </w:rPr>
        <w:t>nd more persons employed) – 20.2</w:t>
      </w:r>
      <w:r w:rsidR="00437464" w:rsidRPr="00437464">
        <w:rPr>
          <w:rFonts w:eastAsia="Times New Roman" w:cs="Times New Roman"/>
          <w:szCs w:val="19"/>
          <w:lang w:val="en-US" w:eastAsia="pl-PL"/>
        </w:rPr>
        <w:t>%.</w:t>
      </w:r>
      <w:r w:rsidR="00EC22C3">
        <w:rPr>
          <w:rFonts w:eastAsia="Times New Roman" w:cs="Times New Roman"/>
          <w:szCs w:val="19"/>
          <w:lang w:val="en-US" w:eastAsia="pl-PL"/>
        </w:rPr>
        <w:t xml:space="preserve"> As of December 31</w:t>
      </w:r>
      <w:r w:rsidR="00377436">
        <w:rPr>
          <w:rFonts w:eastAsia="Times New Roman" w:cs="Times New Roman"/>
          <w:szCs w:val="19"/>
          <w:lang w:val="en-US" w:eastAsia="pl-PL"/>
        </w:rPr>
        <w:t>,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the 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155BB">
        <w:rPr>
          <w:rFonts w:eastAsia="Times New Roman" w:cs="Times New Roman"/>
          <w:szCs w:val="19"/>
          <w:lang w:val="en-US" w:eastAsia="pl-PL"/>
        </w:rPr>
        <w:t>covered by the survey em</w:t>
      </w:r>
      <w:r w:rsidR="00EC22C3">
        <w:rPr>
          <w:rFonts w:eastAsia="Times New Roman" w:cs="Times New Roman"/>
          <w:szCs w:val="19"/>
          <w:lang w:val="en-US" w:eastAsia="pl-PL"/>
        </w:rPr>
        <w:t>ployed 2,053.8</w:t>
      </w:r>
      <w:r w:rsidR="0076328F">
        <w:rPr>
          <w:rFonts w:eastAsia="Times New Roman" w:cs="Times New Roman"/>
          <w:szCs w:val="19"/>
          <w:lang w:val="en-US" w:eastAsia="pl-PL"/>
        </w:rPr>
        <w:t xml:space="preserve"> thousand persons. </w:t>
      </w:r>
      <w:r w:rsidR="0001766D">
        <w:rPr>
          <w:rFonts w:eastAsia="Times New Roman" w:cs="Times New Roman"/>
          <w:szCs w:val="19"/>
          <w:lang w:val="en-US" w:eastAsia="pl-PL"/>
        </w:rPr>
        <w:t>In small entities 4.4%</w:t>
      </w:r>
      <w:r w:rsidR="00400148">
        <w:rPr>
          <w:rFonts w:eastAsia="Times New Roman" w:cs="Times New Roman"/>
          <w:szCs w:val="19"/>
          <w:lang w:val="en-US" w:eastAsia="pl-PL"/>
        </w:rPr>
        <w:t xml:space="preserve"> of all persons employed</w:t>
      </w:r>
      <w:r w:rsidR="0001766D">
        <w:rPr>
          <w:rFonts w:eastAsia="Times New Roman" w:cs="Times New Roman"/>
          <w:szCs w:val="19"/>
          <w:lang w:val="en-US" w:eastAsia="pl-PL"/>
        </w:rPr>
        <w:t>, 17.0</w:t>
      </w:r>
      <w:r w:rsidR="00EC22C3" w:rsidRPr="00EC22C3">
        <w:rPr>
          <w:rFonts w:eastAsia="Times New Roman" w:cs="Times New Roman"/>
          <w:szCs w:val="19"/>
          <w:lang w:val="en-US" w:eastAsia="pl-PL"/>
        </w:rPr>
        <w:t xml:space="preserve">% in medium-sized entities </w:t>
      </w:r>
      <w:r w:rsidR="0001766D">
        <w:rPr>
          <w:rFonts w:eastAsia="Times New Roman" w:cs="Times New Roman"/>
          <w:szCs w:val="19"/>
          <w:lang w:val="en-US" w:eastAsia="pl-PL"/>
        </w:rPr>
        <w:t>and 78.6</w:t>
      </w:r>
      <w:r w:rsidR="00EC22C3" w:rsidRPr="00EC22C3">
        <w:rPr>
          <w:rFonts w:eastAsia="Times New Roman" w:cs="Times New Roman"/>
          <w:szCs w:val="19"/>
          <w:lang w:val="en-US" w:eastAsia="pl-PL"/>
        </w:rPr>
        <w:t>% in large entities.</w:t>
      </w:r>
      <w:r w:rsidR="0001766D">
        <w:rPr>
          <w:rFonts w:eastAsia="Times New Roman" w:cs="Times New Roman"/>
          <w:szCs w:val="19"/>
          <w:lang w:val="en-US" w:eastAsia="pl-PL"/>
        </w:rPr>
        <w:t xml:space="preserve"> 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E83017">
        <w:rPr>
          <w:rFonts w:eastAsia="Times New Roman" w:cs="Times New Roman"/>
          <w:szCs w:val="19"/>
          <w:lang w:val="en-US" w:eastAsia="pl-PL"/>
        </w:rPr>
        <w:t xml:space="preserve">end of </w:t>
      </w:r>
      <w:r w:rsidR="00593A57">
        <w:rPr>
          <w:rFonts w:eastAsia="Times New Roman" w:cs="Times New Roman"/>
          <w:szCs w:val="19"/>
          <w:lang w:val="en-US" w:eastAsia="pl-PL"/>
        </w:rPr>
        <w:t>2024</w:t>
      </w:r>
      <w:r w:rsidR="0001766D">
        <w:rPr>
          <w:rFonts w:eastAsia="Times New Roman" w:cs="Times New Roman"/>
          <w:szCs w:val="19"/>
          <w:lang w:val="en-US" w:eastAsia="pl-PL"/>
        </w:rPr>
        <w:t xml:space="preserve">, </w:t>
      </w:r>
      <w:r w:rsidR="0001766D" w:rsidRPr="0001766D">
        <w:rPr>
          <w:rFonts w:eastAsia="Times New Roman" w:cs="Times New Roman"/>
          <w:szCs w:val="19"/>
          <w:lang w:val="en-US" w:eastAsia="pl-PL"/>
        </w:rPr>
        <w:t>the average surveyed enterprises with a predominant shar</w:t>
      </w:r>
      <w:bookmarkStart w:id="0" w:name="_GoBack"/>
      <w:bookmarkEnd w:id="0"/>
      <w:r w:rsidR="0001766D" w:rsidRPr="0001766D">
        <w:rPr>
          <w:rFonts w:eastAsia="Times New Roman" w:cs="Times New Roman"/>
          <w:szCs w:val="19"/>
          <w:lang w:val="en-US" w:eastAsia="pl-PL"/>
        </w:rPr>
        <w:t>e</w:t>
      </w:r>
      <w:r w:rsidR="0001766D">
        <w:rPr>
          <w:rFonts w:eastAsia="Times New Roman" w:cs="Times New Roman"/>
          <w:szCs w:val="19"/>
          <w:lang w:val="en-US" w:eastAsia="pl-PL"/>
        </w:rPr>
        <w:t xml:space="preserve"> of foreign capital employed 246 persons, a large entity – 955</w:t>
      </w:r>
      <w:r w:rsidR="0001766D" w:rsidRPr="0001766D">
        <w:rPr>
          <w:rFonts w:eastAsia="Times New Roman" w:cs="Times New Roman"/>
          <w:szCs w:val="19"/>
          <w:lang w:val="en-US" w:eastAsia="pl-PL"/>
        </w:rPr>
        <w:t xml:space="preserve"> persons, a medium-si</w:t>
      </w:r>
      <w:r w:rsidR="0001766D">
        <w:rPr>
          <w:rFonts w:eastAsia="Times New Roman" w:cs="Times New Roman"/>
          <w:szCs w:val="19"/>
          <w:lang w:val="en-US" w:eastAsia="pl-PL"/>
        </w:rPr>
        <w:t>zed entity – 117</w:t>
      </w:r>
      <w:r w:rsidR="0001766D" w:rsidRPr="0001766D">
        <w:rPr>
          <w:rFonts w:eastAsia="Times New Roman" w:cs="Times New Roman"/>
          <w:szCs w:val="19"/>
          <w:lang w:val="en-US" w:eastAsia="pl-PL"/>
        </w:rPr>
        <w:t xml:space="preserve"> persons, small entity – 25 persons.</w:t>
      </w:r>
    </w:p>
    <w:p w14:paraId="200FDBC5" w14:textId="5B2FE32E" w:rsidR="002919F2" w:rsidRDefault="002919F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2919F2">
        <w:rPr>
          <w:rFonts w:eastAsia="Times New Roman" w:cs="Times New Roman"/>
          <w:szCs w:val="19"/>
          <w:lang w:val="en-US" w:eastAsia="pl-PL"/>
        </w:rPr>
        <w:t>otal revenues of these entitie</w:t>
      </w:r>
      <w:r w:rsidR="003863FC">
        <w:rPr>
          <w:rFonts w:eastAsia="Times New Roman" w:cs="Times New Roman"/>
          <w:szCs w:val="19"/>
          <w:lang w:val="en-US" w:eastAsia="pl-PL"/>
        </w:rPr>
        <w:t>s amounted to 2,467.2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, and the costs of</w:t>
      </w:r>
      <w:r>
        <w:rPr>
          <w:rFonts w:eastAsia="Times New Roman" w:cs="Times New Roman"/>
          <w:szCs w:val="19"/>
          <w:lang w:val="en-US" w:eastAsia="pl-PL"/>
        </w:rPr>
        <w:t xml:space="preserve"> obtaining them amounted to </w:t>
      </w:r>
      <w:r w:rsidR="003863FC">
        <w:rPr>
          <w:rFonts w:eastAsia="Times New Roman" w:cs="Times New Roman"/>
          <w:szCs w:val="19"/>
          <w:lang w:val="en-US" w:eastAsia="pl-PL"/>
        </w:rPr>
        <w:t>2,351.5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>
        <w:rPr>
          <w:rFonts w:eastAsia="Times New Roman" w:cs="Times New Roman"/>
          <w:szCs w:val="19"/>
          <w:lang w:val="en-US" w:eastAsia="pl-PL"/>
        </w:rPr>
        <w:t xml:space="preserve"> G</w:t>
      </w:r>
      <w:r w:rsidRPr="002919F2">
        <w:rPr>
          <w:rFonts w:eastAsia="Times New Roman" w:cs="Times New Roman"/>
          <w:szCs w:val="19"/>
          <w:lang w:val="en-US" w:eastAsia="pl-PL"/>
        </w:rPr>
        <w:t>ross financial result of entities with a predominant share of foreign capital in 2</w:t>
      </w:r>
      <w:r w:rsidR="003863FC">
        <w:rPr>
          <w:rFonts w:eastAsia="Times New Roman" w:cs="Times New Roman"/>
          <w:szCs w:val="19"/>
          <w:lang w:val="en-US" w:eastAsia="pl-PL"/>
        </w:rPr>
        <w:t>024 amounted to 115.7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O</w:t>
      </w:r>
      <w:r w:rsidR="0021208A" w:rsidRPr="00293571">
        <w:rPr>
          <w:rFonts w:eastAsia="Times New Roman" w:cs="Times New Roman"/>
          <w:szCs w:val="19"/>
          <w:lang w:val="en-US" w:eastAsia="pl-PL"/>
        </w:rPr>
        <w:t>bligato</w:t>
      </w:r>
      <w:r w:rsidR="0021208A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21208A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F977C1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3863FC">
        <w:rPr>
          <w:rFonts w:eastAsia="Times New Roman" w:cs="Times New Roman"/>
          <w:szCs w:val="19"/>
          <w:lang w:val="en-US" w:eastAsia="pl-PL"/>
        </w:rPr>
        <w:t>21.9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5E326B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</w:t>
      </w:r>
      <w:r w:rsidR="0021208A" w:rsidRPr="005E326B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N</w:t>
      </w:r>
      <w:r w:rsidR="0021208A" w:rsidRPr="0021208A">
        <w:rPr>
          <w:rFonts w:eastAsia="Times New Roman" w:cs="Times New Roman"/>
          <w:szCs w:val="19"/>
          <w:lang w:val="en-US" w:eastAsia="pl-PL"/>
        </w:rPr>
        <w:t>et financial result of entities with a predominant share of foreign</w:t>
      </w:r>
      <w:r w:rsidR="003863FC">
        <w:rPr>
          <w:rFonts w:eastAsia="Times New Roman" w:cs="Times New Roman"/>
          <w:szCs w:val="19"/>
          <w:lang w:val="en-US" w:eastAsia="pl-PL"/>
        </w:rPr>
        <w:t xml:space="preserve"> capital amounted to 93.8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21208A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 and </w:t>
      </w:r>
      <w:r w:rsidR="0021208A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3863FC">
        <w:rPr>
          <w:rFonts w:eastAsia="Times New Roman" w:cs="Times New Roman"/>
          <w:szCs w:val="19"/>
          <w:lang w:val="en-US" w:eastAsia="pl-PL"/>
        </w:rPr>
        <w:t xml:space="preserve"> 42.0</w:t>
      </w:r>
      <w:r w:rsidR="0021208A">
        <w:rPr>
          <w:rFonts w:eastAsia="Times New Roman" w:cs="Times New Roman"/>
          <w:szCs w:val="19"/>
          <w:lang w:val="en-US" w:eastAsia="pl-PL"/>
        </w:rPr>
        <w:t>% of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net financial result of all surveyed e</w:t>
      </w:r>
      <w:r w:rsidR="0021208A">
        <w:rPr>
          <w:rFonts w:eastAsia="Times New Roman" w:cs="Times New Roman"/>
          <w:szCs w:val="19"/>
          <w:lang w:val="en-US" w:eastAsia="pl-PL"/>
        </w:rPr>
        <w:t>ntities keeping accounting ledgers</w:t>
      </w:r>
      <w:r w:rsidR="003863FC">
        <w:rPr>
          <w:rFonts w:eastAsia="Times New Roman" w:cs="Times New Roman"/>
          <w:szCs w:val="19"/>
          <w:lang w:val="en-US" w:eastAsia="pl-PL"/>
        </w:rPr>
        <w:t xml:space="preserve"> with 1</w:t>
      </w:r>
      <w:r w:rsidR="00DF6817">
        <w:rPr>
          <w:rFonts w:eastAsia="Times New Roman" w:cs="Times New Roman"/>
          <w:szCs w:val="19"/>
          <w:lang w:val="en-US" w:eastAsia="pl-PL"/>
        </w:rPr>
        <w:t>0 and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more </w:t>
      </w:r>
      <w:r w:rsidR="0021208A">
        <w:rPr>
          <w:rFonts w:eastAsia="Times New Roman" w:cs="Times New Roman"/>
          <w:szCs w:val="19"/>
          <w:lang w:val="en-US" w:eastAsia="pl-PL"/>
        </w:rPr>
        <w:t>persons employed</w:t>
      </w:r>
      <w:r w:rsidR="0021208A" w:rsidRPr="0021208A">
        <w:rPr>
          <w:rFonts w:eastAsia="Times New Roman" w:cs="Times New Roman"/>
          <w:szCs w:val="19"/>
          <w:lang w:val="en-US" w:eastAsia="pl-PL"/>
        </w:rPr>
        <w:t>.</w:t>
      </w:r>
    </w:p>
    <w:p w14:paraId="1E76EBA9" w14:textId="6EA30557" w:rsidR="00475DFE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475DFE">
        <w:rPr>
          <w:rFonts w:eastAsia="Times New Roman" w:cs="Times New Roman"/>
          <w:szCs w:val="19"/>
          <w:lang w:val="en-US" w:eastAsia="pl-PL"/>
        </w:rPr>
        <w:t xml:space="preserve">otal investment outlays of the surveyed enterprises with a predominant share of foreign capital in </w:t>
      </w:r>
      <w:r w:rsidR="00AB4F18">
        <w:rPr>
          <w:rFonts w:eastAsia="Times New Roman" w:cs="Times New Roman"/>
          <w:szCs w:val="19"/>
          <w:lang w:val="en-US" w:eastAsia="pl-PL"/>
        </w:rPr>
        <w:t>2024 amounted to 85.8</w:t>
      </w:r>
      <w:r w:rsidR="00DF6817">
        <w:rPr>
          <w:rFonts w:eastAsia="Times New Roman" w:cs="Times New Roman"/>
          <w:szCs w:val="19"/>
          <w:lang w:val="en-US" w:eastAsia="pl-PL"/>
        </w:rPr>
        <w:t xml:space="preserve"> b</w:t>
      </w:r>
      <w:r w:rsidRPr="00475DFE">
        <w:rPr>
          <w:rFonts w:eastAsia="Times New Roman" w:cs="Times New Roman"/>
          <w:szCs w:val="19"/>
          <w:lang w:val="en-US" w:eastAsia="pl-PL"/>
        </w:rPr>
        <w:t>n</w:t>
      </w:r>
      <w:r w:rsidR="00DF6817">
        <w:rPr>
          <w:rFonts w:eastAsia="Times New Roman" w:cs="Times New Roman"/>
          <w:szCs w:val="19"/>
          <w:lang w:val="en-US" w:eastAsia="pl-PL"/>
        </w:rPr>
        <w:t xml:space="preserve"> PLN</w:t>
      </w:r>
      <w:r w:rsidRPr="00475DFE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DF6817" w:rsidRPr="00475DFE">
        <w:rPr>
          <w:rFonts w:eastAsia="Times New Roman" w:cs="Times New Roman"/>
          <w:szCs w:val="19"/>
          <w:lang w:val="en-US" w:eastAsia="pl-PL"/>
        </w:rPr>
        <w:t xml:space="preserve"> </w:t>
      </w:r>
      <w:r w:rsidR="00AB4F18">
        <w:rPr>
          <w:rFonts w:eastAsia="Times New Roman" w:cs="Times New Roman"/>
          <w:szCs w:val="19"/>
          <w:lang w:val="en-US" w:eastAsia="pl-PL"/>
        </w:rPr>
        <w:t>36.4</w:t>
      </w:r>
      <w:r w:rsidRPr="00475DFE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>
        <w:rPr>
          <w:rFonts w:eastAsia="Times New Roman" w:cs="Times New Roman"/>
          <w:szCs w:val="19"/>
          <w:lang w:val="en-US" w:eastAsia="pl-PL"/>
        </w:rPr>
        <w:t xml:space="preserve"> entities keeping accounting ledgers</w:t>
      </w:r>
      <w:r w:rsidR="00E01812">
        <w:rPr>
          <w:rFonts w:eastAsia="Times New Roman" w:cs="Times New Roman"/>
          <w:szCs w:val="19"/>
          <w:lang w:val="en-US" w:eastAsia="pl-PL"/>
        </w:rPr>
        <w:t xml:space="preserve"> wit</w:t>
      </w:r>
      <w:r w:rsidR="006B6EAA">
        <w:rPr>
          <w:rFonts w:eastAsia="Times New Roman" w:cs="Times New Roman"/>
          <w:szCs w:val="19"/>
          <w:lang w:val="en-US" w:eastAsia="pl-PL"/>
        </w:rPr>
        <w:t>h 1</w:t>
      </w:r>
      <w:r w:rsidRPr="00475DFE">
        <w:rPr>
          <w:rFonts w:eastAsia="Times New Roman" w:cs="Times New Roman"/>
          <w:szCs w:val="19"/>
          <w:lang w:val="en-US" w:eastAsia="pl-PL"/>
        </w:rPr>
        <w:t xml:space="preserve">0 </w:t>
      </w:r>
      <w:r w:rsidR="00DF6817">
        <w:rPr>
          <w:rFonts w:eastAsia="Times New Roman" w:cs="Times New Roman"/>
          <w:szCs w:val="19"/>
          <w:lang w:val="en-US" w:eastAsia="pl-PL"/>
        </w:rPr>
        <w:t>and more persons employed</w:t>
      </w:r>
      <w:r w:rsidRPr="00475DFE">
        <w:rPr>
          <w:rFonts w:eastAsia="Times New Roman" w:cs="Times New Roman"/>
          <w:szCs w:val="19"/>
          <w:lang w:val="en-US" w:eastAsia="pl-PL"/>
        </w:rPr>
        <w:t>.</w:t>
      </w:r>
      <w:r w:rsidR="00392BDE">
        <w:rPr>
          <w:rFonts w:eastAsia="Times New Roman" w:cs="Times New Roman"/>
          <w:szCs w:val="19"/>
          <w:lang w:val="en-US" w:eastAsia="pl-PL"/>
        </w:rPr>
        <w:t xml:space="preserve"> </w:t>
      </w:r>
      <w:r w:rsidR="00400148">
        <w:rPr>
          <w:rFonts w:eastAsia="Times New Roman" w:cs="Times New Roman"/>
          <w:szCs w:val="19"/>
          <w:lang w:val="en-US" w:eastAsia="pl-PL"/>
        </w:rPr>
        <w:t xml:space="preserve">The share in </w:t>
      </w:r>
      <w:r w:rsidR="00400148" w:rsidRPr="00475DFE">
        <w:rPr>
          <w:rFonts w:eastAsia="Times New Roman" w:cs="Times New Roman"/>
          <w:szCs w:val="19"/>
          <w:lang w:val="en-US" w:eastAsia="pl-PL"/>
        </w:rPr>
        <w:t>investment outlays</w:t>
      </w:r>
      <w:r w:rsidR="00392BDE" w:rsidRPr="00392BDE">
        <w:rPr>
          <w:rFonts w:eastAsia="Times New Roman" w:cs="Times New Roman"/>
          <w:szCs w:val="19"/>
          <w:lang w:val="en-US" w:eastAsia="pl-PL"/>
        </w:rPr>
        <w:t xml:space="preserve"> of large entities was </w:t>
      </w:r>
      <w:r w:rsidR="00AB4F18">
        <w:rPr>
          <w:rFonts w:eastAsia="Times New Roman" w:cs="Times New Roman"/>
          <w:szCs w:val="19"/>
          <w:lang w:val="en-US" w:eastAsia="pl-PL"/>
        </w:rPr>
        <w:t>78.9</w:t>
      </w:r>
      <w:r w:rsidR="00E918DF">
        <w:rPr>
          <w:rFonts w:eastAsia="Times New Roman" w:cs="Times New Roman"/>
          <w:szCs w:val="19"/>
          <w:lang w:val="en-US" w:eastAsia="pl-PL"/>
        </w:rPr>
        <w:t>%,</w:t>
      </w:r>
      <w:r w:rsidR="001C2F48">
        <w:rPr>
          <w:rFonts w:eastAsia="Times New Roman" w:cs="Times New Roman"/>
          <w:szCs w:val="19"/>
          <w:lang w:val="en-US" w:eastAsia="pl-PL"/>
        </w:rPr>
        <w:t xml:space="preserve"> </w:t>
      </w:r>
      <w:r w:rsidR="009A63B9">
        <w:rPr>
          <w:rFonts w:eastAsia="Times New Roman" w:cs="Times New Roman"/>
          <w:szCs w:val="19"/>
          <w:lang w:val="en-US" w:eastAsia="pl-PL"/>
        </w:rPr>
        <w:t>medium-sized entities</w:t>
      </w:r>
      <w:r w:rsidR="00392BDE">
        <w:rPr>
          <w:rFonts w:eastAsia="Times New Roman" w:cs="Times New Roman"/>
          <w:szCs w:val="19"/>
          <w:lang w:val="en-US" w:eastAsia="pl-PL"/>
        </w:rPr>
        <w:t xml:space="preserve"> </w:t>
      </w:r>
      <w:r w:rsidR="00AB4F18">
        <w:rPr>
          <w:rFonts w:eastAsia="Times New Roman" w:cs="Times New Roman"/>
          <w:szCs w:val="19"/>
          <w:lang w:val="en-US" w:eastAsia="pl-PL"/>
        </w:rPr>
        <w:t>– 17.5</w:t>
      </w:r>
      <w:r w:rsidR="001C2F48">
        <w:rPr>
          <w:rFonts w:eastAsia="Times New Roman" w:cs="Times New Roman"/>
          <w:szCs w:val="19"/>
          <w:lang w:val="en-US" w:eastAsia="pl-PL"/>
        </w:rPr>
        <w:t>%</w:t>
      </w:r>
      <w:r w:rsidR="00AB4F18">
        <w:rPr>
          <w:rFonts w:eastAsia="Times New Roman" w:cs="Times New Roman"/>
          <w:szCs w:val="19"/>
          <w:lang w:val="en-US" w:eastAsia="pl-PL"/>
        </w:rPr>
        <w:t xml:space="preserve"> </w:t>
      </w:r>
      <w:r w:rsidR="009A63B9">
        <w:rPr>
          <w:rFonts w:eastAsia="Times New Roman" w:cs="Times New Roman"/>
          <w:szCs w:val="19"/>
          <w:lang w:val="en-US" w:eastAsia="pl-PL"/>
        </w:rPr>
        <w:t xml:space="preserve">and small entities </w:t>
      </w:r>
      <w:r w:rsidR="00AB4F18">
        <w:rPr>
          <w:rFonts w:eastAsia="Times New Roman" w:cs="Times New Roman"/>
          <w:szCs w:val="19"/>
          <w:lang w:val="en-US" w:eastAsia="pl-PL"/>
        </w:rPr>
        <w:t>– 3.6</w:t>
      </w:r>
      <w:r w:rsidR="00AB4F18" w:rsidRPr="00AB4F18">
        <w:rPr>
          <w:rFonts w:eastAsia="Times New Roman" w:cs="Times New Roman"/>
          <w:szCs w:val="19"/>
          <w:lang w:val="en-US" w:eastAsia="pl-PL"/>
        </w:rPr>
        <w:t>%.</w:t>
      </w:r>
    </w:p>
    <w:p w14:paraId="6617BA2C" w14:textId="77777777" w:rsidR="008A68DD" w:rsidRDefault="008A68D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2A816C" w14:textId="77777777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231CF36" w14:textId="12DBF2F0" w:rsidR="00564AEF" w:rsidRPr="00731FEB" w:rsidRDefault="001B17E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b/>
          <w:lang w:val="en-US"/>
        </w:rPr>
        <w:lastRenderedPageBreak/>
        <w:t>Table 2</w:t>
      </w:r>
      <w:r w:rsidRPr="001B17E3">
        <w:rPr>
          <w:b/>
          <w:lang w:val="en-US"/>
        </w:rPr>
        <w:t xml:space="preserve">. </w:t>
      </w:r>
      <w:r w:rsidR="0095489D">
        <w:rPr>
          <w:b/>
          <w:lang w:val="en-US"/>
        </w:rPr>
        <w:t>Basic</w:t>
      </w:r>
      <w:r w:rsidRPr="001B17E3">
        <w:rPr>
          <w:b/>
          <w:lang w:val="en-US"/>
        </w:rPr>
        <w:t xml:space="preserve">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>with a predominant share of foreign capital</w:t>
      </w:r>
      <w:r w:rsidR="009512B5">
        <w:rPr>
          <w:b/>
          <w:lang w:val="en-US"/>
        </w:rPr>
        <w:t xml:space="preserve"> in </w:t>
      </w:r>
      <w:r w:rsidR="00474C27">
        <w:rPr>
          <w:b/>
          <w:lang w:val="en-US"/>
        </w:rPr>
        <w:t>2024</w:t>
      </w:r>
    </w:p>
    <w:p w14:paraId="362E33C0" w14:textId="602DF098" w:rsidR="00731FEB" w:rsidRPr="00731FEB" w:rsidRDefault="00731FEB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160"/>
        <w:gridCol w:w="1060"/>
        <w:gridCol w:w="1160"/>
        <w:gridCol w:w="1320"/>
      </w:tblGrid>
      <w:tr w:rsidR="00731FEB" w:rsidRPr="00731FEB" w14:paraId="74EB47C8" w14:textId="77777777" w:rsidTr="00731FEB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950DF4" w14:textId="77777777" w:rsidR="00731FEB" w:rsidRPr="00731FEB" w:rsidRDefault="00731FEB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45158B" w14:textId="77777777" w:rsidR="00731FEB" w:rsidRPr="00731FEB" w:rsidRDefault="00731FEB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6584F69" w14:textId="77777777" w:rsidR="00731FEB" w:rsidRPr="00731FEB" w:rsidRDefault="00731FEB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731FEB" w:rsidRPr="00731FEB" w14:paraId="4110DE78" w14:textId="77777777" w:rsidTr="00731FEB">
        <w:trPr>
          <w:trHeight w:val="315"/>
        </w:trPr>
        <w:tc>
          <w:tcPr>
            <w:tcW w:w="33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12DBF4B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1048A2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BF4505" w14:textId="6C86DA76" w:rsidR="00731FEB" w:rsidRPr="00731FEB" w:rsidRDefault="007E6087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="00731FEB"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C7B1C5" w14:textId="1F60A2C9" w:rsidR="00731FEB" w:rsidRPr="00731FEB" w:rsidRDefault="007E6087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="00731FEB"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DFBD46A" w14:textId="77777777" w:rsidR="00731FEB" w:rsidRPr="00731FEB" w:rsidRDefault="00731FEB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731FEB" w:rsidRPr="00731FEB" w14:paraId="0BF738F1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337417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F96FAC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8,355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3DE0BF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3,683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E3A8E5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2,983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D34B28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1,689</w:t>
            </w:r>
          </w:p>
        </w:tc>
      </w:tr>
      <w:tr w:rsidR="00731FEB" w:rsidRPr="00731FEB" w14:paraId="0D497285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502F53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343859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2,053,814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62AD30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91,095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9AD1D7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348,895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1712948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1,613,824</w:t>
            </w:r>
          </w:p>
        </w:tc>
      </w:tr>
      <w:tr w:rsidR="00731FEB" w:rsidRPr="00731FEB" w14:paraId="0C6323C1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BB171B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57248E5" w14:textId="77777777" w:rsidR="00731FEB" w:rsidRPr="00731FEB" w:rsidRDefault="00731FEB" w:rsidP="00731FE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731FEB" w:rsidRPr="00731FEB" w14:paraId="37FF0291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5F5D2F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86A526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2,467,209.8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7A6ACF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172,693.8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607666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551,643.8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9AAC972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1,742,872.2</w:t>
            </w:r>
          </w:p>
        </w:tc>
      </w:tr>
      <w:tr w:rsidR="00731FEB" w:rsidRPr="00731FEB" w14:paraId="23104C60" w14:textId="77777777" w:rsidTr="00731FEB">
        <w:trPr>
          <w:trHeight w:val="570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125196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731FEB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D0CA52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2,388,792.9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EE9C08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165,806.2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E4BC7F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533,704.4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200297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1,689,282.2</w:t>
            </w:r>
          </w:p>
        </w:tc>
      </w:tr>
      <w:tr w:rsidR="00731FEB" w:rsidRPr="00731FEB" w14:paraId="31B64158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4EB98B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30EBF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2,351,543.5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D8BD0A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164,503.4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D91AD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527,059.9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1E6E39A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1,659,980.1</w:t>
            </w:r>
          </w:p>
        </w:tc>
      </w:tr>
      <w:tr w:rsidR="00731FEB" w:rsidRPr="00731FEB" w14:paraId="579C26D1" w14:textId="77777777" w:rsidTr="00731FEB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F5A1DD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731FEB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4F6D68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2,270,916.4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250B9E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157,490.9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3B8843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507,850.4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9E74058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1,605,575.1</w:t>
            </w:r>
          </w:p>
        </w:tc>
      </w:tr>
      <w:tr w:rsidR="00731FEB" w:rsidRPr="00731FEB" w14:paraId="6A054F38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89F845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062875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115,666.3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4B15F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8,190.4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95F872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24,583.9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69203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82,892.1</w:t>
            </w:r>
          </w:p>
        </w:tc>
      </w:tr>
      <w:tr w:rsidR="00731FEB" w:rsidRPr="00731FEB" w14:paraId="56AEC421" w14:textId="77777777" w:rsidTr="00731FE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BCF97F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BC7B6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93,779.2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D687A4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6,311.8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1E7006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19,492.5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CBC8107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67,974.9</w:t>
            </w:r>
          </w:p>
        </w:tc>
      </w:tr>
      <w:tr w:rsidR="00731FEB" w:rsidRPr="00731FEB" w14:paraId="0A5D3E5D" w14:textId="77777777" w:rsidTr="00731FE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A716FC" w14:textId="77777777" w:rsidR="00731FEB" w:rsidRPr="00731FEB" w:rsidRDefault="00731FEB" w:rsidP="00731FE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2971B9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85,807.3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FCBE8B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3,054.3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26A965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15,042.5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6BCB" w14:textId="77777777" w:rsidR="00731FEB" w:rsidRPr="00731FEB" w:rsidRDefault="00731FEB" w:rsidP="00731FE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31FEB">
              <w:rPr>
                <w:rFonts w:eastAsia="Times New Roman" w:cs="Calibri"/>
                <w:color w:val="000000"/>
                <w:szCs w:val="19"/>
                <w:lang w:eastAsia="pl-PL"/>
              </w:rPr>
              <w:t>67,710.6</w:t>
            </w:r>
          </w:p>
        </w:tc>
      </w:tr>
    </w:tbl>
    <w:p w14:paraId="3D4DFE05" w14:textId="3EEB33C5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2C3C2E" w14:textId="017C690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 w:rsidR="000A3DA4"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 w:rsidR="000A3DA4">
        <w:rPr>
          <w:rFonts w:eastAsia="Times New Roman" w:cs="Times New Roman"/>
          <w:szCs w:val="19"/>
          <w:lang w:val="en-US" w:eastAsia="pl-PL"/>
        </w:rPr>
        <w:t xml:space="preserve">nterprises (legal entities). </w:t>
      </w:r>
      <w:r w:rsidR="000A3DA4"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 w:rsidR="000A3DA4">
        <w:rPr>
          <w:rFonts w:eastAsia="Times New Roman" w:cs="Times New Roman"/>
          <w:szCs w:val="19"/>
          <w:lang w:val="en-US" w:eastAsia="pl-PL"/>
        </w:rPr>
        <w:t>costs and fin</w:t>
      </w:r>
      <w:r w:rsidR="000A3DA4"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 w:rsidR="000A3DA4"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51335C4D" w14:textId="64ACB5EA" w:rsidR="00E7545C" w:rsidRDefault="00E7545C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53F1B29F" w14:textId="17E2026A" w:rsidR="00881EEB" w:rsidRPr="00881EEB" w:rsidRDefault="00881EEB" w:rsidP="00EA57D9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="00EC0E17"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 w:rsidR="00F47D72">
        <w:rPr>
          <w:rFonts w:eastAsia="Times New Roman" w:cs="Times New Roman"/>
          <w:szCs w:val="19"/>
          <w:lang w:val="en-US" w:eastAsia="pl-PL"/>
        </w:rPr>
        <w:t xml:space="preserve">ficial Journal of 2024, pos. </w:t>
      </w:r>
      <w:r w:rsidR="00125AFF">
        <w:rPr>
          <w:rFonts w:eastAsia="Times New Roman" w:cs="Times New Roman"/>
          <w:szCs w:val="19"/>
          <w:lang w:val="en-US" w:eastAsia="pl-PL"/>
        </w:rPr>
        <w:t>1</w:t>
      </w:r>
      <w:r w:rsidR="00C334C0" w:rsidRPr="00C334C0">
        <w:rPr>
          <w:rFonts w:eastAsia="Times New Roman" w:cs="Times New Roman"/>
          <w:szCs w:val="19"/>
          <w:lang w:val="en-US" w:eastAsia="pl-PL"/>
        </w:rPr>
        <w:t>0</w:t>
      </w:r>
      <w:r w:rsidR="00F47D72">
        <w:rPr>
          <w:rFonts w:eastAsia="Times New Roman" w:cs="Times New Roman"/>
          <w:szCs w:val="19"/>
          <w:lang w:val="en-US" w:eastAsia="pl-PL"/>
        </w:rPr>
        <w:t>61</w:t>
      </w:r>
      <w:r w:rsidR="00C334C0">
        <w:rPr>
          <w:rFonts w:eastAsia="Times New Roman" w:cs="Times New Roman"/>
          <w:szCs w:val="19"/>
          <w:lang w:val="en-US" w:eastAsia="pl-PL"/>
        </w:rPr>
        <w:t>)</w:t>
      </w:r>
      <w:r w:rsidR="00EC0E17">
        <w:rPr>
          <w:rFonts w:eastAsia="Times New Roman" w:cs="Times New Roman"/>
          <w:szCs w:val="19"/>
          <w:lang w:val="en-US" w:eastAsia="pl-PL"/>
        </w:rPr>
        <w:t xml:space="preserve">, </w:t>
      </w:r>
      <w:r w:rsidR="00EC0E17"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 w:rsidR="00C334C0">
        <w:rPr>
          <w:rFonts w:eastAsia="Times New Roman" w:cs="Times New Roman"/>
          <w:szCs w:val="19"/>
          <w:lang w:val="en-US" w:eastAsia="pl-PL"/>
        </w:rPr>
        <w:t>l Companies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 w:rsidR="00C334C0">
        <w:rPr>
          <w:rFonts w:eastAsia="Times New Roman" w:cs="Times New Roman"/>
          <w:szCs w:val="19"/>
          <w:lang w:val="en-US" w:eastAsia="pl-PL"/>
        </w:rPr>
        <w:t xml:space="preserve">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 w:rsidR="0041497C"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="00EC0E17" w:rsidRPr="00EC0E17">
        <w:rPr>
          <w:rFonts w:eastAsia="Times New Roman" w:cs="Times New Roman"/>
          <w:szCs w:val="19"/>
          <w:lang w:val="en-US" w:eastAsia="pl-PL"/>
        </w:rPr>
        <w:t>appl</w:t>
      </w:r>
      <w:r w:rsidR="00EC0E17">
        <w:rPr>
          <w:rFonts w:eastAsia="Times New Roman" w:cs="Times New Roman"/>
          <w:szCs w:val="19"/>
          <w:lang w:val="en-US" w:eastAsia="pl-PL"/>
        </w:rPr>
        <w:t>y, branches of foreign entrepre</w:t>
      </w:r>
      <w:r w:rsidR="00EC0E17"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 w:rsidR="0041497C"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A5E5D8E" w14:textId="39A097D6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keeping accounting ledgers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11380660" w14:textId="64E76DD8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>with</w:t>
      </w:r>
      <w:r>
        <w:rPr>
          <w:rFonts w:eastAsia="Times New Roman" w:cs="Times New Roman"/>
          <w:szCs w:val="19"/>
          <w:lang w:val="en-US" w:eastAsia="pl-PL"/>
        </w:rPr>
        <w:t xml:space="preserve">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90DA6A5" w14:textId="5A9CF938" w:rsidR="001B17E3" w:rsidRPr="00C449A6" w:rsidRDefault="00EC0E17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 w:rsidR="002E6EF1"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 w:rsidR="00A27736"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881EEB" w:rsidRPr="00881EEB">
        <w:rPr>
          <w:rFonts w:eastAsia="Times New Roman" w:cs="Times New Roman"/>
          <w:szCs w:val="19"/>
          <w:lang w:val="en-US" w:eastAsia="pl-PL"/>
        </w:rPr>
        <w:t>A (excluding</w:t>
      </w:r>
      <w:r w:rsidR="008065C6">
        <w:rPr>
          <w:rFonts w:eastAsia="Times New Roman" w:cs="Times New Roman"/>
          <w:szCs w:val="19"/>
          <w:lang w:val="en-US" w:eastAsia="pl-PL"/>
        </w:rPr>
        <w:t xml:space="preserve"> </w:t>
      </w:r>
      <w:r w:rsidR="008065C6" w:rsidRPr="00982D89">
        <w:rPr>
          <w:rFonts w:cs="Arial"/>
          <w:szCs w:val="19"/>
          <w:lang w:val="en-US"/>
        </w:rPr>
        <w:t>individual agricultural holdings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 w:rsidR="00B02E84">
        <w:rPr>
          <w:rFonts w:eastAsia="Times New Roman" w:cs="Times New Roman"/>
          <w:szCs w:val="19"/>
          <w:lang w:val="en-US" w:eastAsia="pl-PL"/>
        </w:rPr>
        <w:t xml:space="preserve"> </w:t>
      </w:r>
      <w:r w:rsidR="00B02E84"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3E2B24">
        <w:rPr>
          <w:rFonts w:eastAsia="Times New Roman" w:cs="Times New Roman"/>
          <w:szCs w:val="19"/>
          <w:lang w:val="en-US" w:eastAsia="pl-PL"/>
        </w:rPr>
        <w:t>higher education</w:t>
      </w:r>
      <w:r w:rsidR="002161A4">
        <w:rPr>
          <w:rFonts w:eastAsia="Times New Roman" w:cs="Times New Roman"/>
          <w:szCs w:val="19"/>
          <w:lang w:val="en-US" w:eastAsia="pl-PL"/>
        </w:rPr>
        <w:t xml:space="preserve"> institutions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66EC232C" w14:textId="77777777" w:rsidR="00812F63" w:rsidRDefault="00812F6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5F169B18" w14:textId="700A8654" w:rsidR="00A75133" w:rsidRDefault="00010344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010344">
        <w:rPr>
          <w:rFonts w:eastAsia="Times New Roman" w:cs="Times New Roman"/>
          <w:szCs w:val="19"/>
          <w:lang w:val="en-US" w:eastAsia="pl-PL"/>
        </w:rPr>
        <w:t xml:space="preserve">The subjective and objective scope of the presented data is wider than information on non-financial enterprises (legal entities) published </w:t>
      </w:r>
      <w:proofErr w:type="spellStart"/>
      <w:r w:rsidRPr="00010344">
        <w:rPr>
          <w:rFonts w:eastAsia="Times New Roman" w:cs="Times New Roman"/>
          <w:szCs w:val="19"/>
          <w:lang w:val="en-US" w:eastAsia="pl-PL"/>
        </w:rPr>
        <w:t>a.o.</w:t>
      </w:r>
      <w:proofErr w:type="spellEnd"/>
      <w:r w:rsidRPr="00010344">
        <w:rPr>
          <w:rFonts w:eastAsia="Times New Roman" w:cs="Times New Roman"/>
          <w:szCs w:val="19"/>
          <w:lang w:val="en-US" w:eastAsia="pl-PL"/>
        </w:rPr>
        <w:t xml:space="preserve"> in Statis</w:t>
      </w:r>
      <w:r w:rsidR="002726A0">
        <w:rPr>
          <w:rFonts w:eastAsia="Times New Roman" w:cs="Times New Roman"/>
          <w:szCs w:val="19"/>
          <w:lang w:val="en-US" w:eastAsia="pl-PL"/>
        </w:rPr>
        <w:t>tical Bulletin, S</w:t>
      </w:r>
      <w:r w:rsidRPr="00010344">
        <w:rPr>
          <w:rFonts w:eastAsia="Times New Roman" w:cs="Times New Roman"/>
          <w:szCs w:val="19"/>
          <w:lang w:val="en-US" w:eastAsia="pl-PL"/>
        </w:rPr>
        <w:t xml:space="preserve">ocio-economic situation of the country, News releases "Financial results of non-financial enterprises" and databases. The data in this study apply to all entities preparing statistical questionnaire </w:t>
      </w:r>
      <w:r w:rsidR="00E1260A">
        <w:rPr>
          <w:rFonts w:eastAsia="Times New Roman" w:cs="Times New Roman"/>
          <w:szCs w:val="19"/>
          <w:lang w:val="en-US" w:eastAsia="pl-PL"/>
        </w:rPr>
        <w:br/>
      </w:r>
      <w:r w:rsidRPr="00010344">
        <w:rPr>
          <w:rFonts w:eastAsia="Times New Roman" w:cs="Times New Roman"/>
          <w:szCs w:val="19"/>
          <w:lang w:val="en-US" w:eastAsia="pl-PL"/>
        </w:rPr>
        <w:t xml:space="preserve">F-01/I-01, regardless of their main kind of activity in accordance with NACE Rev.2 and size class by number of persons employed and also cover the full scope of data collected on </w:t>
      </w:r>
      <w:r w:rsidR="00BF62A4">
        <w:rPr>
          <w:rFonts w:eastAsia="Times New Roman" w:cs="Times New Roman"/>
          <w:szCs w:val="19"/>
          <w:lang w:val="en-US" w:eastAsia="pl-PL"/>
        </w:rPr>
        <w:br/>
      </w:r>
      <w:r w:rsidRPr="00010344">
        <w:rPr>
          <w:rFonts w:eastAsia="Times New Roman" w:cs="Times New Roman"/>
          <w:szCs w:val="19"/>
          <w:lang w:val="en-US" w:eastAsia="pl-PL"/>
        </w:rPr>
        <w:t>a statistical questionnaire F-01/I-01.</w:t>
      </w:r>
    </w:p>
    <w:p w14:paraId="1FBA5241" w14:textId="5551EAC2" w:rsidR="00B32076" w:rsidRPr="00B32076" w:rsidRDefault="00B32076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67B82CAB" w14:textId="2F0F69AC" w:rsid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>with 50 and more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 w:rsidR="0013315B">
        <w:rPr>
          <w:rFonts w:eastAsia="Times New Roman" w:cs="Times New Roman"/>
          <w:szCs w:val="19"/>
          <w:lang w:val="en-US" w:eastAsia="pl-PL"/>
        </w:rPr>
        <w:t xml:space="preserve">wo subgroups: entities from 50 to 249 persons employed and entities with </w:t>
      </w:r>
      <w:r w:rsidR="0013315B">
        <w:rPr>
          <w:rFonts w:eastAsia="Times New Roman" w:cs="Times New Roman"/>
          <w:szCs w:val="19"/>
          <w:lang w:val="en-US" w:eastAsia="pl-PL"/>
        </w:rPr>
        <w:lastRenderedPageBreak/>
        <w:t>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 w:rsidR="0013315B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0148CADA" w14:textId="323DAEE8" w:rsidR="00A75133" w:rsidRP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enterprises from 10 to 49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1BBF0466" w14:textId="7777777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2671289C" w14:textId="25819ABE" w:rsidR="001D2E71" w:rsidRDefault="001D2E71" w:rsidP="006D3717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</w:t>
      </w:r>
      <w:r w:rsidR="00EA705D">
        <w:rPr>
          <w:rFonts w:eastAsia="Times New Roman" w:cs="Times New Roman"/>
          <w:szCs w:val="19"/>
          <w:lang w:val="en-US" w:eastAsia="pl-PL"/>
        </w:rPr>
        <w:t>ions and definitions of 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 w:rsidR="00761D2F">
        <w:rPr>
          <w:lang w:val="en-GB"/>
        </w:rPr>
        <w:t>explanatory notes to the data</w:t>
      </w:r>
      <w:r w:rsidR="00EA705D" w:rsidRPr="00314D2F">
        <w:rPr>
          <w:lang w:val="en-GB"/>
        </w:rPr>
        <w:t>set on revenues, costs and financial result and on outlays on fixed assets</w:t>
      </w:r>
      <w:r w:rsidR="00EA705D">
        <w:rPr>
          <w:rFonts w:eastAsia="Times New Roman" w:cs="Times New Roman"/>
          <w:szCs w:val="19"/>
          <w:lang w:val="en-US" w:eastAsia="pl-PL"/>
        </w:rPr>
        <w:t xml:space="preserve"> </w:t>
      </w:r>
      <w:r w:rsidRPr="001D2E71">
        <w:rPr>
          <w:rFonts w:eastAsia="Times New Roman" w:cs="Times New Roman"/>
          <w:szCs w:val="19"/>
          <w:lang w:val="en-US" w:eastAsia="pl-PL"/>
        </w:rPr>
        <w:t xml:space="preserve">on form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18DDD3A8" w14:textId="166F712E" w:rsidR="00893453" w:rsidRPr="00953206" w:rsidRDefault="00D11B1F" w:rsidP="00953206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 w:rsidR="00520F14"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(files for download)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 w:rsidR="00953206">
        <w:rPr>
          <w:rFonts w:eastAsia="Times New Roman" w:cs="Times New Roman"/>
          <w:b/>
          <w:szCs w:val="19"/>
          <w:lang w:val="en-US" w:eastAsia="pl-PL"/>
        </w:rPr>
        <w:t>.</w:t>
      </w:r>
    </w:p>
    <w:p w14:paraId="49855707" w14:textId="77777777" w:rsidR="00B15241" w:rsidRDefault="00B15241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3552E5" w14:textId="14F6CB30" w:rsidR="00D11B1F" w:rsidRDefault="00DE438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41C87D06" w:rsidR="00DA331D" w:rsidRPr="00B15241" w:rsidRDefault="00714B0C" w:rsidP="00B15241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14B0C">
        <w:rPr>
          <w:rFonts w:eastAsia="Times New Roman" w:cs="Times New Roman"/>
          <w:szCs w:val="19"/>
          <w:lang w:val="en-US" w:eastAsia="pl-PL"/>
        </w:rPr>
        <w:t>When quoting Statistics Poland data, please provide the information: “Source of data: Statistics Poland”, and when publishing calculations made o</w:t>
      </w:r>
      <w:r w:rsidR="00395D39">
        <w:rPr>
          <w:rFonts w:eastAsia="Times New Roman" w:cs="Times New Roman"/>
          <w:szCs w:val="19"/>
          <w:lang w:val="en-US" w:eastAsia="pl-PL"/>
        </w:rPr>
        <w:t xml:space="preserve">n data published by Statistics </w:t>
      </w:r>
      <w:r w:rsidRPr="00714B0C">
        <w:rPr>
          <w:rFonts w:eastAsia="Times New Roman" w:cs="Times New Roman"/>
          <w:szCs w:val="19"/>
          <w:lang w:val="en-US" w:eastAsia="pl-PL"/>
        </w:rPr>
        <w:t>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F717CD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5653EE" w:rsidRDefault="006C197A" w:rsidP="00B0247C">
            <w:pPr>
              <w:rPr>
                <w:b/>
                <w:lang w:val="en-GB"/>
              </w:rPr>
            </w:pPr>
            <w:r w:rsidRPr="00B0247C">
              <w:rPr>
                <w:rFonts w:cs="Arial"/>
                <w:sz w:val="20"/>
                <w:lang w:val="en-US"/>
              </w:rPr>
              <w:t>Issued by</w:t>
            </w:r>
            <w:r w:rsidR="00DE2400" w:rsidRPr="00B0247C">
              <w:rPr>
                <w:rFonts w:cs="Arial"/>
                <w:sz w:val="20"/>
                <w:lang w:val="en-US"/>
              </w:rPr>
              <w:t>:</w:t>
            </w:r>
            <w:r w:rsidR="00DE2400" w:rsidRPr="00B0247C">
              <w:rPr>
                <w:rFonts w:cs="Arial"/>
                <w:sz w:val="20"/>
                <w:lang w:val="en-US"/>
              </w:rPr>
              <w:br/>
            </w:r>
            <w:r w:rsidR="00B0247C" w:rsidRPr="005653EE">
              <w:rPr>
                <w:b/>
                <w:lang w:val="en-GB"/>
              </w:rPr>
              <w:t>Press Office</w:t>
            </w:r>
          </w:p>
          <w:p w14:paraId="4460D853" w14:textId="77777777" w:rsidR="00B0247C" w:rsidRPr="005653EE" w:rsidRDefault="00B0247C" w:rsidP="00B024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257B82D" w14:textId="77777777" w:rsidR="00B0247C" w:rsidRDefault="00B0247C" w:rsidP="00B024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A416FE4" w14:textId="77777777" w:rsidR="00B0247C" w:rsidRPr="005653EE" w:rsidRDefault="00B0247C" w:rsidP="00B024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B6E33A1" w14:textId="77777777" w:rsidR="00B0247C" w:rsidRPr="00AE54DC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B0247C" w:rsidRDefault="00DE2400" w:rsidP="00B0247C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Default="00CE0015" w:rsidP="00DE1D0A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419E64C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F717CD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2FF636" w14:textId="4F18D438" w:rsidR="00174A31" w:rsidRDefault="00174A31" w:rsidP="00174A3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9254C5" w14:textId="260B4F97" w:rsidR="00174A31" w:rsidRPr="00174A31" w:rsidRDefault="007000D1" w:rsidP="00174A31">
            <w:pPr>
              <w:rPr>
                <w:sz w:val="18"/>
                <w:szCs w:val="18"/>
                <w:lang w:val="en-US"/>
              </w:rPr>
            </w:pPr>
            <w:hyperlink r:id="rId23" w:history="1">
              <w:r w:rsidR="00E81DDA">
                <w:rPr>
                  <w:rStyle w:val="Hipercze"/>
                  <w:sz w:val="18"/>
                  <w:szCs w:val="18"/>
                  <w:lang w:val="en-US"/>
                </w:rPr>
                <w:t>News releases. Financial results of enterprises</w:t>
              </w:r>
            </w:hyperlink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7000D1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86A0" w14:textId="77777777" w:rsidR="007000D1" w:rsidRDefault="007000D1" w:rsidP="000662E2">
      <w:pPr>
        <w:spacing w:after="0" w:line="240" w:lineRule="auto"/>
      </w:pPr>
      <w:r>
        <w:separator/>
      </w:r>
    </w:p>
  </w:endnote>
  <w:endnote w:type="continuationSeparator" w:id="0">
    <w:p w14:paraId="2984F5F4" w14:textId="77777777" w:rsidR="007000D1" w:rsidRDefault="007000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14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14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C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564AE" w14:textId="77777777" w:rsidR="007000D1" w:rsidRDefault="007000D1" w:rsidP="000662E2">
      <w:pPr>
        <w:spacing w:after="0" w:line="240" w:lineRule="auto"/>
      </w:pPr>
      <w:r>
        <w:separator/>
      </w:r>
    </w:p>
  </w:footnote>
  <w:footnote w:type="continuationSeparator" w:id="0">
    <w:p w14:paraId="40BE5606" w14:textId="77777777" w:rsidR="007000D1" w:rsidRDefault="007000D1" w:rsidP="000662E2">
      <w:pPr>
        <w:spacing w:after="0" w:line="240" w:lineRule="auto"/>
      </w:pPr>
      <w:r>
        <w:continuationSeparator/>
      </w:r>
    </w:p>
  </w:footnote>
  <w:footnote w:id="1">
    <w:p w14:paraId="2B565E73" w14:textId="3F93BEA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</w:t>
      </w:r>
      <w:r w:rsidR="0095489D">
        <w:rPr>
          <w:sz w:val="16"/>
          <w:szCs w:val="16"/>
          <w:lang w:val="en-US"/>
        </w:rPr>
        <w:t>according to the F-01/I-01 data</w:t>
      </w:r>
      <w:r w:rsidR="0059542A" w:rsidRPr="0059542A">
        <w:rPr>
          <w:sz w:val="16"/>
          <w:szCs w:val="16"/>
          <w:lang w:val="en-US"/>
        </w:rPr>
        <w:t>set (methodology description on page 3).</w:t>
      </w:r>
    </w:p>
  </w:footnote>
  <w:footnote w:id="2">
    <w:p w14:paraId="380382D2" w14:textId="07A0C042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413D82">
        <w:rPr>
          <w:sz w:val="16"/>
          <w:szCs w:val="16"/>
          <w:lang w:val="en-US"/>
        </w:rPr>
        <w:t>in 2023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759189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3 April 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7516967" w:rsidR="00F37172" w:rsidRPr="00A01B40" w:rsidRDefault="00F40EAC" w:rsidP="00F049AB">
                          <w:pPr>
                            <w:pStyle w:val="Datainformacjisygnalnej"/>
                          </w:pPr>
                          <w:r>
                            <w:t>3</w:t>
                          </w:r>
                          <w:r w:rsidR="00F43ACD">
                            <w:t xml:space="preserve"> </w:t>
                          </w:r>
                          <w:proofErr w:type="spellStart"/>
                          <w:r>
                            <w:t>April</w:t>
                          </w:r>
                          <w:proofErr w:type="spellEnd"/>
                          <w:r w:rsidR="00D40968">
                            <w:t xml:space="preserve"> </w:t>
                          </w:r>
                          <w: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3 April 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1DHQIAABMEAAAOAAAAZHJzL2Uyb0RvYy54bWysU9Fu2yAUfZ+0f0C8L3acpGusOFXWrtOk&#10;bqvU7QMI4BgVuAxI7O7re8FpGnVv0/yAwJd77j3nHlZXg9HkIH1QYBs6nZSUSMtBKLtr6K+ftx8u&#10;KQmRWcE0WNnQJxno1fr9u1XvallBB1pITxDEhrp3De1idHVRBN5Jw8IEnLQYbMEbFvHod4XwrEd0&#10;o4uqLC+KHrxwHrgMAf/ejEG6zvhtK3n80bZBRqIbir3FvPq8btNarFes3nnmOsWPbbB/6MIwZbHo&#10;CeqGRUb2Xv0FZRT3EKCNEw6mgLZVXGYOyGZavmHz0DEnMxcUJ7iTTOH/wfLvh3tPlGgoDsoygyO6&#10;By1JlI8hQi9JRYmQgaNkM7JxXmlSldUi6da7UGP6g0OAOHyCAeefNQjuDvhjIBauO2Z3cuM99J1k&#10;AvuepsziLHXECQlk238DgQ2wfYQMNLTeJFFRJoLoOL+n08zkEAlPJeezqlrOKOEYm80uFpfLXILV&#10;L9nOh/hFgiFp01CPnsjo7HAXYuqG1S9XUjELt0rr7AttSd/Q5QL5vokYFdG2WhnUrUzfaKRE8rMV&#10;OTkypcc9FtD2yDoRHSnHYTtk4bMkSZEtiCeUwcPoUnxVuOnA/6GkR4c2NPzeMy8p0V8tSrmczufJ&#10;0vkwX3ys8ODPI9vzCLMcoRoaKRm31zE/g5HYBiVvVVbjtZNjy+i8LNLxlSRrn5/zrde3vH4GAAD/&#10;/wMAUEsDBBQABgAIAAAAIQC0yVff3gAAAAoBAAAPAAAAZHJzL2Rvd25yZXYueG1sTI/BTsMwEETv&#10;SPyDtUjcqN2SVknIpkIgrqC2gMTNjbdJRLyOYrcJf497ao+jGc28KdaT7cSJBt86RpjPFAjiypmW&#10;a4TP3dtDCsIHzUZ3jgnhjzysy9ubQufGjbyh0zbUIpawzzVCE0KfS+mrhqz2M9cTR+/gBqtDlEMt&#10;zaDHWG47uVBqJa1uOS40uqeXhqrf7dEifL0ffr4T9VG/2mU/uklJtplEvL+bnp9ABJrCJQxn/IgO&#10;ZWTauyMbLzqE9HER0QNCMs9AnANqmSYg9ghZkoEsC3l9ofwHAAD//wMAUEsBAi0AFAAGAAgAAAAh&#10;ALaDOJL+AAAA4QEAABMAAAAAAAAAAAAAAAAAAAAAAFtDb250ZW50X1R5cGVzXS54bWxQSwECLQAU&#10;AAYACAAAACEAOP0h/9YAAACUAQAACwAAAAAAAAAAAAAAAAAvAQAAX3JlbHMvLnJlbHNQSwECLQAU&#10;AAYACAAAACEAcJftQx0CAAATBAAADgAAAAAAAAAAAAAAAAAuAgAAZHJzL2Uyb0RvYy54bWxQSwEC&#10;LQAUAAYACAAAACEAtMlX394AAAAKAQAADwAAAAAAAAAAAAAAAAB3BAAAZHJzL2Rvd25yZXYueG1s&#10;UEsFBgAAAAAEAAQA8wAAAIIFAAAAAA==&#10;" filled="f" stroked="f">
              <v:textbox>
                <w:txbxContent>
                  <w:p w14:paraId="71967FEA" w14:textId="57516967" w:rsidR="00F37172" w:rsidRPr="00A01B40" w:rsidRDefault="00F40EAC" w:rsidP="00F049AB">
                    <w:pPr>
                      <w:pStyle w:val="Datainformacjisygnalnej"/>
                    </w:pPr>
                    <w:r>
                      <w:t>3</w:t>
                    </w:r>
                    <w:r w:rsidR="00F43ACD">
                      <w:t xml:space="preserve"> </w:t>
                    </w:r>
                    <w:proofErr w:type="spellStart"/>
                    <w:r>
                      <w:t>April</w:t>
                    </w:r>
                    <w:proofErr w:type="spellEnd"/>
                    <w:r w:rsidR="00D40968">
                      <w:t xml:space="preserve"> </w:t>
                    </w:r>
                    <w:r>
                      <w:t>2025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32D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2E55"/>
    <w:rsid w:val="000134FA"/>
    <w:rsid w:val="000152F5"/>
    <w:rsid w:val="0001766D"/>
    <w:rsid w:val="00020B93"/>
    <w:rsid w:val="00021CD0"/>
    <w:rsid w:val="00023A22"/>
    <w:rsid w:val="0002510A"/>
    <w:rsid w:val="0002724E"/>
    <w:rsid w:val="00027E98"/>
    <w:rsid w:val="000329FB"/>
    <w:rsid w:val="000345BD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371F"/>
    <w:rsid w:val="00087DFD"/>
    <w:rsid w:val="00094D8A"/>
    <w:rsid w:val="00094F98"/>
    <w:rsid w:val="000966AA"/>
    <w:rsid w:val="000974DD"/>
    <w:rsid w:val="00097840"/>
    <w:rsid w:val="000A3DA4"/>
    <w:rsid w:val="000A4B6B"/>
    <w:rsid w:val="000B0727"/>
    <w:rsid w:val="000B186A"/>
    <w:rsid w:val="000B3144"/>
    <w:rsid w:val="000C135D"/>
    <w:rsid w:val="000C1D73"/>
    <w:rsid w:val="000C6111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569C"/>
    <w:rsid w:val="000F614C"/>
    <w:rsid w:val="001011C3"/>
    <w:rsid w:val="00101BDF"/>
    <w:rsid w:val="00102335"/>
    <w:rsid w:val="001031BA"/>
    <w:rsid w:val="001032FE"/>
    <w:rsid w:val="00105D72"/>
    <w:rsid w:val="00106DA3"/>
    <w:rsid w:val="00110214"/>
    <w:rsid w:val="00110D87"/>
    <w:rsid w:val="00112399"/>
    <w:rsid w:val="001128C8"/>
    <w:rsid w:val="00114DB9"/>
    <w:rsid w:val="00116087"/>
    <w:rsid w:val="00117711"/>
    <w:rsid w:val="001223CE"/>
    <w:rsid w:val="001229D9"/>
    <w:rsid w:val="00124A93"/>
    <w:rsid w:val="00125AFF"/>
    <w:rsid w:val="00126B24"/>
    <w:rsid w:val="00127387"/>
    <w:rsid w:val="00130296"/>
    <w:rsid w:val="001324C9"/>
    <w:rsid w:val="0013315B"/>
    <w:rsid w:val="00134145"/>
    <w:rsid w:val="00135973"/>
    <w:rsid w:val="00136736"/>
    <w:rsid w:val="00136740"/>
    <w:rsid w:val="00136D67"/>
    <w:rsid w:val="00137355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74A31"/>
    <w:rsid w:val="001810EC"/>
    <w:rsid w:val="00183F5E"/>
    <w:rsid w:val="00185C39"/>
    <w:rsid w:val="0018695A"/>
    <w:rsid w:val="00191853"/>
    <w:rsid w:val="00192784"/>
    <w:rsid w:val="00194B3B"/>
    <w:rsid w:val="001951DA"/>
    <w:rsid w:val="001B053D"/>
    <w:rsid w:val="001B17E3"/>
    <w:rsid w:val="001B3BEA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D7BC0"/>
    <w:rsid w:val="001E5397"/>
    <w:rsid w:val="001E5B2D"/>
    <w:rsid w:val="001F1031"/>
    <w:rsid w:val="001F1B04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46A0"/>
    <w:rsid w:val="002148D1"/>
    <w:rsid w:val="002157D3"/>
    <w:rsid w:val="002161A4"/>
    <w:rsid w:val="00216634"/>
    <w:rsid w:val="002229F7"/>
    <w:rsid w:val="00231E97"/>
    <w:rsid w:val="0023792B"/>
    <w:rsid w:val="00237D54"/>
    <w:rsid w:val="00242D31"/>
    <w:rsid w:val="00242D4D"/>
    <w:rsid w:val="00243CF9"/>
    <w:rsid w:val="0024534E"/>
    <w:rsid w:val="00250981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26A0"/>
    <w:rsid w:val="00276811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372"/>
    <w:rsid w:val="002B3B0B"/>
    <w:rsid w:val="002B3DE2"/>
    <w:rsid w:val="002B40BA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0CAA"/>
    <w:rsid w:val="0037122D"/>
    <w:rsid w:val="0037213D"/>
    <w:rsid w:val="00372411"/>
    <w:rsid w:val="00373882"/>
    <w:rsid w:val="00375880"/>
    <w:rsid w:val="00377436"/>
    <w:rsid w:val="00382F39"/>
    <w:rsid w:val="0038304B"/>
    <w:rsid w:val="003843DB"/>
    <w:rsid w:val="00384453"/>
    <w:rsid w:val="00384936"/>
    <w:rsid w:val="00385CAC"/>
    <w:rsid w:val="003863FC"/>
    <w:rsid w:val="00387679"/>
    <w:rsid w:val="003907BE"/>
    <w:rsid w:val="00392BDE"/>
    <w:rsid w:val="00393761"/>
    <w:rsid w:val="00394972"/>
    <w:rsid w:val="003949F3"/>
    <w:rsid w:val="00394E26"/>
    <w:rsid w:val="00395D39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35E4"/>
    <w:rsid w:val="003F4C97"/>
    <w:rsid w:val="003F5E57"/>
    <w:rsid w:val="003F666D"/>
    <w:rsid w:val="003F7D5B"/>
    <w:rsid w:val="003F7FE6"/>
    <w:rsid w:val="00400148"/>
    <w:rsid w:val="00400193"/>
    <w:rsid w:val="00402B55"/>
    <w:rsid w:val="00404BE5"/>
    <w:rsid w:val="00407124"/>
    <w:rsid w:val="0040738A"/>
    <w:rsid w:val="0041163A"/>
    <w:rsid w:val="00411874"/>
    <w:rsid w:val="00413D82"/>
    <w:rsid w:val="004146FE"/>
    <w:rsid w:val="00414812"/>
    <w:rsid w:val="0041497C"/>
    <w:rsid w:val="00414B31"/>
    <w:rsid w:val="00414DDE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64"/>
    <w:rsid w:val="004374E5"/>
    <w:rsid w:val="00443638"/>
    <w:rsid w:val="00445047"/>
    <w:rsid w:val="004450C3"/>
    <w:rsid w:val="00446749"/>
    <w:rsid w:val="00451ED0"/>
    <w:rsid w:val="00453EB7"/>
    <w:rsid w:val="004540D3"/>
    <w:rsid w:val="00457B3D"/>
    <w:rsid w:val="00462AA5"/>
    <w:rsid w:val="00463E39"/>
    <w:rsid w:val="004657FC"/>
    <w:rsid w:val="00465E17"/>
    <w:rsid w:val="00465FAA"/>
    <w:rsid w:val="00470193"/>
    <w:rsid w:val="00470554"/>
    <w:rsid w:val="004733F6"/>
    <w:rsid w:val="004739BC"/>
    <w:rsid w:val="0047469E"/>
    <w:rsid w:val="00474C27"/>
    <w:rsid w:val="00474E69"/>
    <w:rsid w:val="00475DFE"/>
    <w:rsid w:val="00477595"/>
    <w:rsid w:val="00483E9F"/>
    <w:rsid w:val="00484982"/>
    <w:rsid w:val="00485A2C"/>
    <w:rsid w:val="00487913"/>
    <w:rsid w:val="004907EA"/>
    <w:rsid w:val="00491B76"/>
    <w:rsid w:val="00492107"/>
    <w:rsid w:val="0049621B"/>
    <w:rsid w:val="0049793B"/>
    <w:rsid w:val="004A1C9A"/>
    <w:rsid w:val="004A1D19"/>
    <w:rsid w:val="004B6422"/>
    <w:rsid w:val="004B72C8"/>
    <w:rsid w:val="004B769D"/>
    <w:rsid w:val="004C1895"/>
    <w:rsid w:val="004C1924"/>
    <w:rsid w:val="004C3189"/>
    <w:rsid w:val="004C38CE"/>
    <w:rsid w:val="004C5B26"/>
    <w:rsid w:val="004C6D40"/>
    <w:rsid w:val="004D024E"/>
    <w:rsid w:val="004D42AB"/>
    <w:rsid w:val="004D6768"/>
    <w:rsid w:val="004E0A2D"/>
    <w:rsid w:val="004E2D98"/>
    <w:rsid w:val="004E5CF9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1D67"/>
    <w:rsid w:val="00512E1E"/>
    <w:rsid w:val="0051392B"/>
    <w:rsid w:val="005203F1"/>
    <w:rsid w:val="00520F14"/>
    <w:rsid w:val="00521BC3"/>
    <w:rsid w:val="00524DC1"/>
    <w:rsid w:val="00532EDF"/>
    <w:rsid w:val="00533632"/>
    <w:rsid w:val="00534013"/>
    <w:rsid w:val="00535AAA"/>
    <w:rsid w:val="00535F6B"/>
    <w:rsid w:val="00537B5C"/>
    <w:rsid w:val="00540C5C"/>
    <w:rsid w:val="00541E6E"/>
    <w:rsid w:val="0054251F"/>
    <w:rsid w:val="005509A6"/>
    <w:rsid w:val="00551198"/>
    <w:rsid w:val="00551779"/>
    <w:rsid w:val="005520D8"/>
    <w:rsid w:val="00554DFB"/>
    <w:rsid w:val="00555354"/>
    <w:rsid w:val="00555CFB"/>
    <w:rsid w:val="00556CF1"/>
    <w:rsid w:val="00557641"/>
    <w:rsid w:val="0056350D"/>
    <w:rsid w:val="00564AEF"/>
    <w:rsid w:val="00564C18"/>
    <w:rsid w:val="00570282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3A57"/>
    <w:rsid w:val="0059427F"/>
    <w:rsid w:val="0059542A"/>
    <w:rsid w:val="005A1873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3341"/>
    <w:rsid w:val="005D62D7"/>
    <w:rsid w:val="005E0799"/>
    <w:rsid w:val="005E10F9"/>
    <w:rsid w:val="005E1200"/>
    <w:rsid w:val="005E326B"/>
    <w:rsid w:val="005E5ED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4640"/>
    <w:rsid w:val="00625A2F"/>
    <w:rsid w:val="0063106A"/>
    <w:rsid w:val="00633014"/>
    <w:rsid w:val="0063437B"/>
    <w:rsid w:val="0064017E"/>
    <w:rsid w:val="00651315"/>
    <w:rsid w:val="0065193B"/>
    <w:rsid w:val="006527F8"/>
    <w:rsid w:val="00653DC3"/>
    <w:rsid w:val="00654BB6"/>
    <w:rsid w:val="0066177D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A55A0"/>
    <w:rsid w:val="006B017D"/>
    <w:rsid w:val="006B076F"/>
    <w:rsid w:val="006B0853"/>
    <w:rsid w:val="006B0E9E"/>
    <w:rsid w:val="006B3970"/>
    <w:rsid w:val="006B486D"/>
    <w:rsid w:val="006B5AE4"/>
    <w:rsid w:val="006B618D"/>
    <w:rsid w:val="006B6EAA"/>
    <w:rsid w:val="006C197A"/>
    <w:rsid w:val="006C2517"/>
    <w:rsid w:val="006C469F"/>
    <w:rsid w:val="006C6656"/>
    <w:rsid w:val="006D1507"/>
    <w:rsid w:val="006D3717"/>
    <w:rsid w:val="006D4054"/>
    <w:rsid w:val="006D4245"/>
    <w:rsid w:val="006D6A2C"/>
    <w:rsid w:val="006D7459"/>
    <w:rsid w:val="006E02EC"/>
    <w:rsid w:val="006E21EE"/>
    <w:rsid w:val="006E3C4F"/>
    <w:rsid w:val="006E5817"/>
    <w:rsid w:val="006E6F41"/>
    <w:rsid w:val="006E73E6"/>
    <w:rsid w:val="006F32DD"/>
    <w:rsid w:val="006F515B"/>
    <w:rsid w:val="006F644F"/>
    <w:rsid w:val="007000D1"/>
    <w:rsid w:val="0070334D"/>
    <w:rsid w:val="007033F8"/>
    <w:rsid w:val="00707E90"/>
    <w:rsid w:val="007108C7"/>
    <w:rsid w:val="00712B90"/>
    <w:rsid w:val="00714581"/>
    <w:rsid w:val="00714B0C"/>
    <w:rsid w:val="0071566A"/>
    <w:rsid w:val="007211B1"/>
    <w:rsid w:val="007267B0"/>
    <w:rsid w:val="007277DA"/>
    <w:rsid w:val="00731D27"/>
    <w:rsid w:val="00731FEB"/>
    <w:rsid w:val="00737BBE"/>
    <w:rsid w:val="00742204"/>
    <w:rsid w:val="00746187"/>
    <w:rsid w:val="00753FE8"/>
    <w:rsid w:val="007562C7"/>
    <w:rsid w:val="0076139C"/>
    <w:rsid w:val="00761D2F"/>
    <w:rsid w:val="0076254F"/>
    <w:rsid w:val="0076328F"/>
    <w:rsid w:val="00763D98"/>
    <w:rsid w:val="007671F1"/>
    <w:rsid w:val="00767EAE"/>
    <w:rsid w:val="00770819"/>
    <w:rsid w:val="0077201D"/>
    <w:rsid w:val="007747D2"/>
    <w:rsid w:val="007801F5"/>
    <w:rsid w:val="00783478"/>
    <w:rsid w:val="0078354A"/>
    <w:rsid w:val="00783CA4"/>
    <w:rsid w:val="007842FB"/>
    <w:rsid w:val="00785FDD"/>
    <w:rsid w:val="00786124"/>
    <w:rsid w:val="00787577"/>
    <w:rsid w:val="00790059"/>
    <w:rsid w:val="00792D00"/>
    <w:rsid w:val="00793A65"/>
    <w:rsid w:val="00794071"/>
    <w:rsid w:val="0079514B"/>
    <w:rsid w:val="00795252"/>
    <w:rsid w:val="007A2DC1"/>
    <w:rsid w:val="007C1AA4"/>
    <w:rsid w:val="007D0869"/>
    <w:rsid w:val="007D14C4"/>
    <w:rsid w:val="007D32B0"/>
    <w:rsid w:val="007D3319"/>
    <w:rsid w:val="007D335D"/>
    <w:rsid w:val="007D3A4F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6087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4C16"/>
    <w:rsid w:val="00815216"/>
    <w:rsid w:val="00815254"/>
    <w:rsid w:val="008225AD"/>
    <w:rsid w:val="00822FF3"/>
    <w:rsid w:val="00823593"/>
    <w:rsid w:val="00825A5A"/>
    <w:rsid w:val="00825DC2"/>
    <w:rsid w:val="00827EA1"/>
    <w:rsid w:val="00833348"/>
    <w:rsid w:val="00834AD3"/>
    <w:rsid w:val="00834E40"/>
    <w:rsid w:val="00841249"/>
    <w:rsid w:val="008430F7"/>
    <w:rsid w:val="0084342E"/>
    <w:rsid w:val="00843795"/>
    <w:rsid w:val="00843840"/>
    <w:rsid w:val="00844B7B"/>
    <w:rsid w:val="00847F0F"/>
    <w:rsid w:val="00850B7B"/>
    <w:rsid w:val="00852448"/>
    <w:rsid w:val="008545A0"/>
    <w:rsid w:val="00854825"/>
    <w:rsid w:val="0085725B"/>
    <w:rsid w:val="00857292"/>
    <w:rsid w:val="00871074"/>
    <w:rsid w:val="008726FB"/>
    <w:rsid w:val="00872C6E"/>
    <w:rsid w:val="00872F39"/>
    <w:rsid w:val="00873FB0"/>
    <w:rsid w:val="008761DE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7877"/>
    <w:rsid w:val="008A0D96"/>
    <w:rsid w:val="008A26D9"/>
    <w:rsid w:val="008A5127"/>
    <w:rsid w:val="008A68DD"/>
    <w:rsid w:val="008A7B5B"/>
    <w:rsid w:val="008A7C79"/>
    <w:rsid w:val="008A7E99"/>
    <w:rsid w:val="008B12D2"/>
    <w:rsid w:val="008B5654"/>
    <w:rsid w:val="008B5A0A"/>
    <w:rsid w:val="008B642D"/>
    <w:rsid w:val="008C0C29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6E5D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1182"/>
    <w:rsid w:val="009446AD"/>
    <w:rsid w:val="00944998"/>
    <w:rsid w:val="009512B5"/>
    <w:rsid w:val="0095237D"/>
    <w:rsid w:val="009523C7"/>
    <w:rsid w:val="009530DB"/>
    <w:rsid w:val="00953206"/>
    <w:rsid w:val="00953676"/>
    <w:rsid w:val="0095489D"/>
    <w:rsid w:val="009557ED"/>
    <w:rsid w:val="00955BE0"/>
    <w:rsid w:val="00956840"/>
    <w:rsid w:val="00956F30"/>
    <w:rsid w:val="00962B00"/>
    <w:rsid w:val="00966C9A"/>
    <w:rsid w:val="009675F2"/>
    <w:rsid w:val="009705EE"/>
    <w:rsid w:val="00972A0F"/>
    <w:rsid w:val="00973536"/>
    <w:rsid w:val="009744B8"/>
    <w:rsid w:val="00974C65"/>
    <w:rsid w:val="00977927"/>
    <w:rsid w:val="0098135C"/>
    <w:rsid w:val="0098156A"/>
    <w:rsid w:val="009820C8"/>
    <w:rsid w:val="00982D89"/>
    <w:rsid w:val="009865FB"/>
    <w:rsid w:val="00987BA1"/>
    <w:rsid w:val="00987FC3"/>
    <w:rsid w:val="009907CC"/>
    <w:rsid w:val="00991BAC"/>
    <w:rsid w:val="00993E1F"/>
    <w:rsid w:val="00994EE6"/>
    <w:rsid w:val="009950CB"/>
    <w:rsid w:val="00995408"/>
    <w:rsid w:val="009A63B9"/>
    <w:rsid w:val="009A6EA0"/>
    <w:rsid w:val="009B5280"/>
    <w:rsid w:val="009B7228"/>
    <w:rsid w:val="009C11BC"/>
    <w:rsid w:val="009C1335"/>
    <w:rsid w:val="009C1AB2"/>
    <w:rsid w:val="009C4596"/>
    <w:rsid w:val="009C7251"/>
    <w:rsid w:val="009D01CA"/>
    <w:rsid w:val="009D25F6"/>
    <w:rsid w:val="009E2E91"/>
    <w:rsid w:val="009E3005"/>
    <w:rsid w:val="009E3513"/>
    <w:rsid w:val="009E5924"/>
    <w:rsid w:val="009E7D31"/>
    <w:rsid w:val="009F0A66"/>
    <w:rsid w:val="009F1102"/>
    <w:rsid w:val="009F62AE"/>
    <w:rsid w:val="00A01B40"/>
    <w:rsid w:val="00A048C0"/>
    <w:rsid w:val="00A07DF1"/>
    <w:rsid w:val="00A11AA9"/>
    <w:rsid w:val="00A121B0"/>
    <w:rsid w:val="00A1229A"/>
    <w:rsid w:val="00A123B0"/>
    <w:rsid w:val="00A12968"/>
    <w:rsid w:val="00A139F5"/>
    <w:rsid w:val="00A14CDF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585E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4F18"/>
    <w:rsid w:val="00AB64F3"/>
    <w:rsid w:val="00AB6D25"/>
    <w:rsid w:val="00AB7152"/>
    <w:rsid w:val="00AC56F7"/>
    <w:rsid w:val="00AD0507"/>
    <w:rsid w:val="00AD0E56"/>
    <w:rsid w:val="00AD1EB8"/>
    <w:rsid w:val="00AE229B"/>
    <w:rsid w:val="00AE2D4B"/>
    <w:rsid w:val="00AE42C6"/>
    <w:rsid w:val="00AE4F99"/>
    <w:rsid w:val="00AF09D5"/>
    <w:rsid w:val="00AF1109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1202"/>
    <w:rsid w:val="00B25B45"/>
    <w:rsid w:val="00B269A7"/>
    <w:rsid w:val="00B27C06"/>
    <w:rsid w:val="00B3094A"/>
    <w:rsid w:val="00B31E5A"/>
    <w:rsid w:val="00B32076"/>
    <w:rsid w:val="00B36586"/>
    <w:rsid w:val="00B37E83"/>
    <w:rsid w:val="00B46195"/>
    <w:rsid w:val="00B47359"/>
    <w:rsid w:val="00B475CF"/>
    <w:rsid w:val="00B5345C"/>
    <w:rsid w:val="00B541B2"/>
    <w:rsid w:val="00B54AA9"/>
    <w:rsid w:val="00B6052A"/>
    <w:rsid w:val="00B64AEE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1FD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2A4"/>
    <w:rsid w:val="00BF6B66"/>
    <w:rsid w:val="00C030DE"/>
    <w:rsid w:val="00C051A8"/>
    <w:rsid w:val="00C07EBA"/>
    <w:rsid w:val="00C131E3"/>
    <w:rsid w:val="00C1547C"/>
    <w:rsid w:val="00C21E6F"/>
    <w:rsid w:val="00C22105"/>
    <w:rsid w:val="00C23203"/>
    <w:rsid w:val="00C244B6"/>
    <w:rsid w:val="00C250BE"/>
    <w:rsid w:val="00C263E2"/>
    <w:rsid w:val="00C266BA"/>
    <w:rsid w:val="00C2737D"/>
    <w:rsid w:val="00C27BF1"/>
    <w:rsid w:val="00C27E08"/>
    <w:rsid w:val="00C324A2"/>
    <w:rsid w:val="00C324F5"/>
    <w:rsid w:val="00C334C0"/>
    <w:rsid w:val="00C353AE"/>
    <w:rsid w:val="00C36277"/>
    <w:rsid w:val="00C36368"/>
    <w:rsid w:val="00C3702F"/>
    <w:rsid w:val="00C40DA3"/>
    <w:rsid w:val="00C411E9"/>
    <w:rsid w:val="00C42AD2"/>
    <w:rsid w:val="00C449A6"/>
    <w:rsid w:val="00C44A65"/>
    <w:rsid w:val="00C4500A"/>
    <w:rsid w:val="00C475DF"/>
    <w:rsid w:val="00C47DC3"/>
    <w:rsid w:val="00C50055"/>
    <w:rsid w:val="00C5143B"/>
    <w:rsid w:val="00C55C5A"/>
    <w:rsid w:val="00C60504"/>
    <w:rsid w:val="00C60B05"/>
    <w:rsid w:val="00C62238"/>
    <w:rsid w:val="00C63E8C"/>
    <w:rsid w:val="00C64A37"/>
    <w:rsid w:val="00C71122"/>
    <w:rsid w:val="00C7158E"/>
    <w:rsid w:val="00C72032"/>
    <w:rsid w:val="00C7250B"/>
    <w:rsid w:val="00C7346B"/>
    <w:rsid w:val="00C74675"/>
    <w:rsid w:val="00C77C0E"/>
    <w:rsid w:val="00C77EB1"/>
    <w:rsid w:val="00C800D8"/>
    <w:rsid w:val="00C81004"/>
    <w:rsid w:val="00C81678"/>
    <w:rsid w:val="00C848A3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38E"/>
    <w:rsid w:val="00CB2F90"/>
    <w:rsid w:val="00CB3386"/>
    <w:rsid w:val="00CB6AD4"/>
    <w:rsid w:val="00CC56CD"/>
    <w:rsid w:val="00CC739E"/>
    <w:rsid w:val="00CD04AE"/>
    <w:rsid w:val="00CD1EBB"/>
    <w:rsid w:val="00CD21DB"/>
    <w:rsid w:val="00CD28CF"/>
    <w:rsid w:val="00CD4091"/>
    <w:rsid w:val="00CD58B7"/>
    <w:rsid w:val="00CD7967"/>
    <w:rsid w:val="00CE0015"/>
    <w:rsid w:val="00CF18EE"/>
    <w:rsid w:val="00CF30BD"/>
    <w:rsid w:val="00CF4099"/>
    <w:rsid w:val="00D00796"/>
    <w:rsid w:val="00D03813"/>
    <w:rsid w:val="00D067FB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77055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443A"/>
    <w:rsid w:val="00DB706E"/>
    <w:rsid w:val="00DC1CEA"/>
    <w:rsid w:val="00DC1F1A"/>
    <w:rsid w:val="00DC6708"/>
    <w:rsid w:val="00DD011A"/>
    <w:rsid w:val="00DD09FE"/>
    <w:rsid w:val="00DD2A25"/>
    <w:rsid w:val="00DD35C2"/>
    <w:rsid w:val="00DD660F"/>
    <w:rsid w:val="00DE1D0A"/>
    <w:rsid w:val="00DE2400"/>
    <w:rsid w:val="00DE35EF"/>
    <w:rsid w:val="00DE4388"/>
    <w:rsid w:val="00DE58F1"/>
    <w:rsid w:val="00DE6B58"/>
    <w:rsid w:val="00DF0886"/>
    <w:rsid w:val="00DF0932"/>
    <w:rsid w:val="00DF1521"/>
    <w:rsid w:val="00DF4C7D"/>
    <w:rsid w:val="00DF5E32"/>
    <w:rsid w:val="00DF6817"/>
    <w:rsid w:val="00E01436"/>
    <w:rsid w:val="00E01812"/>
    <w:rsid w:val="00E03B26"/>
    <w:rsid w:val="00E03E79"/>
    <w:rsid w:val="00E045BD"/>
    <w:rsid w:val="00E04D6C"/>
    <w:rsid w:val="00E06B6A"/>
    <w:rsid w:val="00E1260A"/>
    <w:rsid w:val="00E15169"/>
    <w:rsid w:val="00E17B77"/>
    <w:rsid w:val="00E224F3"/>
    <w:rsid w:val="00E231AB"/>
    <w:rsid w:val="00E23337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78D"/>
    <w:rsid w:val="00E51AE6"/>
    <w:rsid w:val="00E51AEB"/>
    <w:rsid w:val="00E522A7"/>
    <w:rsid w:val="00E5349E"/>
    <w:rsid w:val="00E543FE"/>
    <w:rsid w:val="00E54452"/>
    <w:rsid w:val="00E57256"/>
    <w:rsid w:val="00E60A80"/>
    <w:rsid w:val="00E61019"/>
    <w:rsid w:val="00E63B0C"/>
    <w:rsid w:val="00E664C5"/>
    <w:rsid w:val="00E671A2"/>
    <w:rsid w:val="00E67F9B"/>
    <w:rsid w:val="00E731EF"/>
    <w:rsid w:val="00E75225"/>
    <w:rsid w:val="00E7545C"/>
    <w:rsid w:val="00E76D26"/>
    <w:rsid w:val="00E76EE5"/>
    <w:rsid w:val="00E81D6E"/>
    <w:rsid w:val="00E81DDA"/>
    <w:rsid w:val="00E81EB3"/>
    <w:rsid w:val="00E83017"/>
    <w:rsid w:val="00E84DF3"/>
    <w:rsid w:val="00E918DF"/>
    <w:rsid w:val="00E95036"/>
    <w:rsid w:val="00E955F7"/>
    <w:rsid w:val="00E9588F"/>
    <w:rsid w:val="00E95B8E"/>
    <w:rsid w:val="00E960B4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22C3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2F40"/>
    <w:rsid w:val="00F142DB"/>
    <w:rsid w:val="00F155BB"/>
    <w:rsid w:val="00F16967"/>
    <w:rsid w:val="00F16D83"/>
    <w:rsid w:val="00F16DA1"/>
    <w:rsid w:val="00F25599"/>
    <w:rsid w:val="00F25ABB"/>
    <w:rsid w:val="00F27C8F"/>
    <w:rsid w:val="00F32749"/>
    <w:rsid w:val="00F37172"/>
    <w:rsid w:val="00F4051D"/>
    <w:rsid w:val="00F40EAC"/>
    <w:rsid w:val="00F43ACD"/>
    <w:rsid w:val="00F4477E"/>
    <w:rsid w:val="00F46269"/>
    <w:rsid w:val="00F47D72"/>
    <w:rsid w:val="00F50852"/>
    <w:rsid w:val="00F51D9C"/>
    <w:rsid w:val="00F53160"/>
    <w:rsid w:val="00F532E0"/>
    <w:rsid w:val="00F560B5"/>
    <w:rsid w:val="00F60BA8"/>
    <w:rsid w:val="00F651F5"/>
    <w:rsid w:val="00F6527E"/>
    <w:rsid w:val="00F65C7A"/>
    <w:rsid w:val="00F670E2"/>
    <w:rsid w:val="00F67D8F"/>
    <w:rsid w:val="00F717CD"/>
    <w:rsid w:val="00F72729"/>
    <w:rsid w:val="00F75174"/>
    <w:rsid w:val="00F802BE"/>
    <w:rsid w:val="00F80E93"/>
    <w:rsid w:val="00F82642"/>
    <w:rsid w:val="00F86024"/>
    <w:rsid w:val="00F8611A"/>
    <w:rsid w:val="00F92781"/>
    <w:rsid w:val="00F958D9"/>
    <w:rsid w:val="00F95951"/>
    <w:rsid w:val="00F977C1"/>
    <w:rsid w:val="00FA0285"/>
    <w:rsid w:val="00FA4D6D"/>
    <w:rsid w:val="00FA5128"/>
    <w:rsid w:val="00FA73C4"/>
    <w:rsid w:val="00FB0C7C"/>
    <w:rsid w:val="00FB163D"/>
    <w:rsid w:val="00FB42D4"/>
    <w:rsid w:val="00FB57F0"/>
    <w:rsid w:val="00FB5906"/>
    <w:rsid w:val="00FB762F"/>
    <w:rsid w:val="00FB7CA7"/>
    <w:rsid w:val="00FC242D"/>
    <w:rsid w:val="00FC2AED"/>
    <w:rsid w:val="00FC343D"/>
    <w:rsid w:val="00FC4996"/>
    <w:rsid w:val="00FC74F3"/>
    <w:rsid w:val="00FC7A34"/>
    <w:rsid w:val="00FD332C"/>
    <w:rsid w:val="00FD3C79"/>
    <w:rsid w:val="00FD3D98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22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metainformation/glossary/terms-used-in-official-statistics/58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financial-results-of-enterprises-in-period-january-september-of-2024,28,5.html" TargetMode="External"/><Relationship Id="rId28" Type="http://schemas.openxmlformats.org/officeDocument/2006/relationships/hyperlink" Target="https://stat.gov.pl/en/metainformation/glossary/terms-used-in-official-statistics/583,term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588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F9BECEE-6240-4F51-86E2-09336E1E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1740</Words>
  <Characters>10442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enterprises</vt:lpstr>
    </vt:vector>
  </TitlesOfParts>
  <Company/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2022-03-21T11:51:00Z</dcterms:created>
  <dcterms:modified xsi:type="dcterms:W3CDTF">2025-04-02T06:14:00Z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