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3594E" w14:textId="45A3ABE9" w:rsidR="007160E2" w:rsidRPr="00257F6F" w:rsidRDefault="00257F6F" w:rsidP="00915ECB">
      <w:pPr>
        <w:pStyle w:val="Tytuinfomacjisygnalnej"/>
        <w:rPr>
          <w:lang w:val="en-GB"/>
        </w:rPr>
      </w:pPr>
      <w:bookmarkStart w:id="0" w:name="OLE_LINK1"/>
      <w:r w:rsidRPr="00257F6F">
        <w:rPr>
          <w:lang w:val="en-GB"/>
        </w:rPr>
        <w:t>Labour cost index in the quarters of</w:t>
      </w:r>
      <w:r w:rsidR="00915ECB" w:rsidRPr="00257F6F">
        <w:rPr>
          <w:lang w:val="en-GB"/>
        </w:rPr>
        <w:t xml:space="preserve"> 202</w:t>
      </w:r>
      <w:r w:rsidR="00757C29" w:rsidRPr="00257F6F">
        <w:rPr>
          <w:lang w:val="en-GB"/>
        </w:rPr>
        <w:t>4</w:t>
      </w:r>
    </w:p>
    <w:bookmarkEnd w:id="0"/>
    <w:p w14:paraId="08A5AC27" w14:textId="4E475A9E" w:rsidR="00915ECB" w:rsidRPr="002C024F" w:rsidRDefault="006973AF" w:rsidP="004E4839">
      <w:pPr>
        <w:pStyle w:val="Lead"/>
        <w:spacing w:after="1080"/>
        <w:rPr>
          <w:rFonts w:eastAsia="Times New Roman" w:cs="Times New Roman"/>
          <w:bCs/>
          <w:noProof w:val="0"/>
          <w:lang w:val="en-GB"/>
        </w:rPr>
      </w:pPr>
      <w:r>
        <w:rPr>
          <w:color w:val="001D77"/>
        </w:rPr>
        <mc:AlternateContent>
          <mc:Choice Requires="wps">
            <w:drawing>
              <wp:anchor distT="45720" distB="45720" distL="114300" distR="114300" simplePos="0" relativeHeight="251798528" behindDoc="0" locked="0" layoutInCell="1" allowOverlap="1" wp14:anchorId="1B01E4DE" wp14:editId="70F88F84">
                <wp:simplePos x="0" y="0"/>
                <wp:positionH relativeFrom="margin">
                  <wp:posOffset>-4445</wp:posOffset>
                </wp:positionH>
                <wp:positionV relativeFrom="paragraph">
                  <wp:posOffset>13970</wp:posOffset>
                </wp:positionV>
                <wp:extent cx="2499995" cy="1242695"/>
                <wp:effectExtent l="0" t="0" r="0" b="0"/>
                <wp:wrapSquare wrapText="bothSides"/>
                <wp:docPr id="10" name="Pole tekstowe 2" descr="13.9% Increase in the labour cost index in the fourth quarter of 2024 compared with the fourth quarter of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1242695"/>
                        </a:xfrm>
                        <a:prstGeom prst="roundRect">
                          <a:avLst/>
                        </a:prstGeom>
                        <a:solidFill>
                          <a:srgbClr val="001D77"/>
                        </a:solidFill>
                        <a:ln w="9525">
                          <a:noFill/>
                          <a:miter lim="800000"/>
                          <a:headEnd/>
                          <a:tailEnd/>
                        </a:ln>
                      </wps:spPr>
                      <wps:txbx>
                        <w:txbxContent>
                          <w:p w14:paraId="7020DC1A" w14:textId="3A67DE0E" w:rsidR="009C47DA" w:rsidRPr="00FA0908" w:rsidRDefault="009C47DA" w:rsidP="00915ECB">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2"/>
                                <w:szCs w:val="72"/>
                              </w:rPr>
                              <w:sym w:font="Wingdings" w:char="F0F1"/>
                            </w:r>
                            <w:r w:rsidRPr="00FA0908">
                              <w:rPr>
                                <w:rFonts w:ascii="Fira Sans SemiBold" w:hAnsi="Fira Sans SemiBold"/>
                                <w:color w:val="FFFFFF" w:themeColor="background1"/>
                                <w:sz w:val="72"/>
                                <w:szCs w:val="72"/>
                                <w:lang w:val="en-GB"/>
                              </w:rPr>
                              <w:t xml:space="preserve"> </w:t>
                            </w:r>
                            <w:r w:rsidR="00C801A1" w:rsidRPr="00FA0908">
                              <w:rPr>
                                <w:rStyle w:val="WartowskanikaZnak"/>
                                <w:sz w:val="72"/>
                                <w:szCs w:val="72"/>
                                <w:lang w:val="en-GB"/>
                              </w:rPr>
                              <w:t>13.</w:t>
                            </w:r>
                            <w:r w:rsidR="00A571C1" w:rsidRPr="00FA0908">
                              <w:rPr>
                                <w:rStyle w:val="WartowskanikaZnak"/>
                                <w:sz w:val="72"/>
                                <w:szCs w:val="72"/>
                                <w:lang w:val="en-GB"/>
                              </w:rPr>
                              <w:t>9</w:t>
                            </w:r>
                            <w:r w:rsidRPr="00FA0908">
                              <w:rPr>
                                <w:rStyle w:val="WartowskanikaZnak"/>
                                <w:sz w:val="72"/>
                                <w:szCs w:val="72"/>
                                <w:lang w:val="en-GB"/>
                              </w:rPr>
                              <w:t>%</w:t>
                            </w:r>
                          </w:p>
                          <w:p w14:paraId="37A8B926" w14:textId="7C4E957B" w:rsidR="009C47DA" w:rsidRPr="00FA0908" w:rsidRDefault="00C801A1" w:rsidP="00C801A1">
                            <w:pPr>
                              <w:pStyle w:val="Opiswskanika"/>
                              <w:rPr>
                                <w:lang w:val="en-GB"/>
                              </w:rPr>
                            </w:pPr>
                            <w:r w:rsidRPr="00FA0908">
                              <w:rPr>
                                <w:lang w:val="en-GB"/>
                              </w:rPr>
                              <w:t>Increase in the labour cost index in the fourth quarter of 2024</w:t>
                            </w:r>
                            <w:r w:rsidR="00FA0908" w:rsidRPr="00FA0908">
                              <w:rPr>
                                <w:lang w:val="en-GB"/>
                              </w:rPr>
                              <w:t xml:space="preserve"> compared with the fourth </w:t>
                            </w:r>
                            <w:r w:rsidRPr="00FA0908">
                              <w:rPr>
                                <w:lang w:val="en-GB"/>
                              </w:rPr>
                              <w:t>quarter of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B01E4DE" id="Pole tekstowe 2" o:spid="_x0000_s1026" alt="13.9% Increase in the labour cost index in the fourth quarter of 2024 compared with the fourth quarter of 2023&#10;" style="position:absolute;margin-left:-.35pt;margin-top:1.1pt;width:196.85pt;height:97.8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" fillcolor="#001d77" stroked="f">
                <v:stroke joinstyle="miter"/>
                <v:textbox>
                  <w:txbxContent>
                    <w:p w14:paraId="7020DC1A" w14:textId="3A67DE0E" w:rsidR="009C47DA" w:rsidRPr="00FA0908" w:rsidRDefault="009C47DA" w:rsidP="00915ECB">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2"/>
                          <w:szCs w:val="72"/>
                        </w:rPr>
                        <w:sym w:font="Wingdings" w:char="F0F1"/>
                      </w:r>
                      <w:r w:rsidRPr="00FA0908">
                        <w:rPr>
                          <w:rFonts w:ascii="Fira Sans SemiBold" w:hAnsi="Fira Sans SemiBold"/>
                          <w:color w:val="FFFFFF" w:themeColor="background1"/>
                          <w:sz w:val="72"/>
                          <w:szCs w:val="72"/>
                          <w:lang w:val="en-GB"/>
                        </w:rPr>
                        <w:t xml:space="preserve"> </w:t>
                      </w:r>
                      <w:r w:rsidR="00C801A1" w:rsidRPr="00FA0908">
                        <w:rPr>
                          <w:rStyle w:val="WartowskanikaZnak"/>
                          <w:sz w:val="72"/>
                          <w:szCs w:val="72"/>
                          <w:lang w:val="en-GB"/>
                        </w:rPr>
                        <w:t>13.</w:t>
                      </w:r>
                      <w:r w:rsidR="00A571C1" w:rsidRPr="00FA0908">
                        <w:rPr>
                          <w:rStyle w:val="WartowskanikaZnak"/>
                          <w:sz w:val="72"/>
                          <w:szCs w:val="72"/>
                          <w:lang w:val="en-GB"/>
                        </w:rPr>
                        <w:t>9</w:t>
                      </w:r>
                      <w:r w:rsidRPr="00FA0908">
                        <w:rPr>
                          <w:rStyle w:val="WartowskanikaZnak"/>
                          <w:sz w:val="72"/>
                          <w:szCs w:val="72"/>
                          <w:lang w:val="en-GB"/>
                        </w:rPr>
                        <w:t>%</w:t>
                      </w:r>
                    </w:p>
                    <w:p w14:paraId="37A8B926" w14:textId="7C4E957B" w:rsidR="009C47DA" w:rsidRPr="00FA0908" w:rsidRDefault="00C801A1" w:rsidP="00C801A1">
                      <w:pPr>
                        <w:pStyle w:val="Opiswskanika"/>
                        <w:rPr>
                          <w:lang w:val="en-GB"/>
                        </w:rPr>
                      </w:pPr>
                      <w:r w:rsidRPr="00FA0908">
                        <w:rPr>
                          <w:lang w:val="en-GB"/>
                        </w:rPr>
                        <w:t>Increase in the labour cost index in the fourth quarter of 2024</w:t>
                      </w:r>
                      <w:r w:rsidR="00FA0908" w:rsidRPr="00FA0908">
                        <w:rPr>
                          <w:lang w:val="en-GB"/>
                        </w:rPr>
                        <w:t xml:space="preserve"> compared with the fourth </w:t>
                      </w:r>
                      <w:r w:rsidRPr="00FA0908">
                        <w:rPr>
                          <w:lang w:val="en-GB"/>
                        </w:rPr>
                        <w:t>quarter of 2023</w:t>
                      </w:r>
                    </w:p>
                  </w:txbxContent>
                </v:textbox>
                <w10:wrap type="square" anchorx="margin"/>
              </v:roundrect>
            </w:pict>
          </mc:Fallback>
        </mc:AlternateContent>
      </w:r>
      <w:r w:rsidR="00C636B8" w:rsidRPr="00C636B8">
        <w:rPr>
          <w:rFonts w:eastAsia="Times New Roman" w:cs="Times New Roman"/>
          <w:bCs/>
          <w:noProof w:val="0"/>
          <w:lang w:val="en-GB"/>
        </w:rPr>
        <w:t>In the fourth</w:t>
      </w:r>
      <w:r w:rsidR="00C636B8">
        <w:rPr>
          <w:rFonts w:eastAsia="Times New Roman" w:cs="Times New Roman"/>
          <w:bCs/>
          <w:noProof w:val="0"/>
          <w:lang w:val="en-GB"/>
        </w:rPr>
        <w:t xml:space="preserve"> quarter of 2024, the labour</w:t>
      </w:r>
      <w:r w:rsidR="00C636B8" w:rsidRPr="00C636B8">
        <w:rPr>
          <w:rFonts w:eastAsia="Times New Roman" w:cs="Times New Roman"/>
          <w:bCs/>
          <w:noProof w:val="0"/>
          <w:lang w:val="en-GB"/>
        </w:rPr>
        <w:t xml:space="preserve"> cost index inc</w:t>
      </w:r>
      <w:r w:rsidR="00C636B8">
        <w:rPr>
          <w:rFonts w:eastAsia="Times New Roman" w:cs="Times New Roman"/>
          <w:bCs/>
          <w:noProof w:val="0"/>
          <w:lang w:val="en-GB"/>
        </w:rPr>
        <w:t>reased by 9.4% compared with</w:t>
      </w:r>
      <w:r w:rsidR="00C636B8" w:rsidRPr="00C636B8">
        <w:rPr>
          <w:rFonts w:eastAsia="Times New Roman" w:cs="Times New Roman"/>
          <w:bCs/>
          <w:noProof w:val="0"/>
          <w:lang w:val="en-GB"/>
        </w:rPr>
        <w:t xml:space="preserve"> the first quarter of the same year,</w:t>
      </w:r>
      <w:r w:rsidR="00C636B8">
        <w:rPr>
          <w:rFonts w:eastAsia="Times New Roman" w:cs="Times New Roman"/>
          <w:bCs/>
          <w:noProof w:val="0"/>
          <w:lang w:val="en-GB"/>
        </w:rPr>
        <w:t xml:space="preserve"> and </w:t>
      </w:r>
      <w:r w:rsidR="00093A8A">
        <w:rPr>
          <w:rFonts w:eastAsia="Times New Roman" w:cs="Times New Roman"/>
          <w:bCs/>
          <w:noProof w:val="0"/>
          <w:lang w:val="en-GB"/>
        </w:rPr>
        <w:t xml:space="preserve">it </w:t>
      </w:r>
      <w:r w:rsidR="00C636B8">
        <w:rPr>
          <w:rFonts w:eastAsia="Times New Roman" w:cs="Times New Roman"/>
          <w:bCs/>
          <w:noProof w:val="0"/>
          <w:lang w:val="en-GB"/>
        </w:rPr>
        <w:t>was 4.4% higher compared with</w:t>
      </w:r>
      <w:r w:rsidR="00C636B8" w:rsidRPr="00C636B8">
        <w:rPr>
          <w:rFonts w:eastAsia="Times New Roman" w:cs="Times New Roman"/>
          <w:bCs/>
          <w:noProof w:val="0"/>
          <w:lang w:val="en-GB"/>
        </w:rPr>
        <w:t xml:space="preserve"> the third quarter of 2024.</w:t>
      </w:r>
    </w:p>
    <w:p w14:paraId="7B76354B" w14:textId="103A2421" w:rsidR="00C30C6E" w:rsidRDefault="00257F6F" w:rsidP="00C72833">
      <w:pPr>
        <w:spacing w:before="240" w:line="288" w:lineRule="auto"/>
        <w:rPr>
          <w:lang w:val="en-GB" w:eastAsia="pl-PL"/>
        </w:rPr>
      </w:pPr>
      <w:r w:rsidRPr="00C83A41">
        <w:rPr>
          <w:lang w:val="en-GB" w:eastAsia="pl-PL"/>
        </w:rPr>
        <w:t>In 2024, labour costs increased in Poland and the number of hours worked decreased slightly. In the fourth quarter of 2024, the number of hours worked wa</w:t>
      </w:r>
      <w:r w:rsidR="00F419A8" w:rsidRPr="00C83A41">
        <w:rPr>
          <w:lang w:val="en-GB" w:eastAsia="pl-PL"/>
        </w:rPr>
        <w:t>s 0.9% lower than in the fourth quarter of 2023</w:t>
      </w:r>
      <w:r w:rsidRPr="00C83A41">
        <w:rPr>
          <w:lang w:val="en-GB" w:eastAsia="pl-PL"/>
        </w:rPr>
        <w:t xml:space="preserve">, while labour costs rose by 12.3% over the same period. Between the first and fourth quarters of 2024, there was a 9.4% increase in the labour cost index. The LCI reached its </w:t>
      </w:r>
      <w:r w:rsidR="006B29EC" w:rsidRPr="00C83A41">
        <w:rPr>
          <w:lang w:val="en-GB" w:eastAsia="pl-PL"/>
        </w:rPr>
        <w:t>lowest value</w:t>
      </w:r>
      <w:r w:rsidR="00BA09A7">
        <w:rPr>
          <w:lang w:val="en-GB" w:eastAsia="pl-PL"/>
        </w:rPr>
        <w:t xml:space="preserve"> in the first quarter of 2024, while in</w:t>
      </w:r>
      <w:r w:rsidRPr="00C83A41">
        <w:rPr>
          <w:lang w:val="en-GB" w:eastAsia="pl-PL"/>
        </w:rPr>
        <w:t xml:space="preserve"> the second and third quarters</w:t>
      </w:r>
      <w:r w:rsidR="00BF2C8A" w:rsidRPr="00C83A41">
        <w:rPr>
          <w:lang w:val="en-GB" w:eastAsia="pl-PL"/>
        </w:rPr>
        <w:t xml:space="preserve"> of 2024</w:t>
      </w:r>
      <w:r w:rsidRPr="00C83A41">
        <w:rPr>
          <w:lang w:val="en-GB" w:eastAsia="pl-PL"/>
        </w:rPr>
        <w:t>, the index values were 3.4% and 4.7% h</w:t>
      </w:r>
      <w:r w:rsidR="00BF378A" w:rsidRPr="00C83A41">
        <w:rPr>
          <w:lang w:val="en-GB" w:eastAsia="pl-PL"/>
        </w:rPr>
        <w:t xml:space="preserve">igher than in the first quarter </w:t>
      </w:r>
      <w:r w:rsidR="00BA09A7">
        <w:rPr>
          <w:lang w:val="en-GB" w:eastAsia="pl-PL"/>
        </w:rPr>
        <w:t>of 2024.</w:t>
      </w:r>
    </w:p>
    <w:p w14:paraId="624508D3" w14:textId="15C8067A" w:rsidR="00D06EA0" w:rsidRPr="00595A97" w:rsidRDefault="00E62D74" w:rsidP="00595A97">
      <w:pPr>
        <w:spacing w:before="360" w:line="240" w:lineRule="auto"/>
        <w:rPr>
          <w:b/>
          <w:lang w:val="en-GB" w:eastAsia="pl-PL"/>
        </w:rPr>
      </w:pPr>
      <w:r>
        <w:rPr>
          <w:noProof/>
          <w:lang w:eastAsia="pl-PL"/>
        </w:rPr>
        <w:drawing>
          <wp:anchor distT="0" distB="0" distL="114300" distR="114300" simplePos="0" relativeHeight="251871232" behindDoc="0" locked="0" layoutInCell="1" allowOverlap="1" wp14:anchorId="57677B8E" wp14:editId="0688101D">
            <wp:simplePos x="0" y="0"/>
            <wp:positionH relativeFrom="margin">
              <wp:align>left</wp:align>
            </wp:positionH>
            <wp:positionV relativeFrom="paragraph">
              <wp:posOffset>348615</wp:posOffset>
            </wp:positionV>
            <wp:extent cx="5035550" cy="2573020"/>
            <wp:effectExtent l="0" t="0" r="0" b="0"/>
            <wp:wrapTopAndBottom/>
            <wp:docPr id="5" name="Obraz 5" descr="The line chart shows the values of the total labour cost index for each quarter from 2016 to 2024. A clear upward trend in the index can be seen. It reached a value of 76.6 in the first quarter of 2016 and 160.2 in the fourth quarter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5550" cy="2573020"/>
                    </a:xfrm>
                    <a:prstGeom prst="rect">
                      <a:avLst/>
                    </a:prstGeom>
                    <a:noFill/>
                  </pic:spPr>
                </pic:pic>
              </a:graphicData>
            </a:graphic>
            <wp14:sizeRelH relativeFrom="page">
              <wp14:pctWidth>0</wp14:pctWidth>
            </wp14:sizeRelH>
            <wp14:sizeRelV relativeFrom="page">
              <wp14:pctHeight>0</wp14:pctHeight>
            </wp14:sizeRelV>
          </wp:anchor>
        </w:drawing>
      </w:r>
      <w:r w:rsidR="00D06EA0" w:rsidRPr="00595A97">
        <w:rPr>
          <w:b/>
          <w:lang w:val="en-GB" w:eastAsia="pl-PL"/>
        </w:rPr>
        <w:t>Chart 1. Labour cost index</w:t>
      </w:r>
    </w:p>
    <w:p w14:paraId="7EF09930" w14:textId="404B2A6D" w:rsidR="00E62D74" w:rsidRDefault="00BA09A7" w:rsidP="004E4839">
      <w:pPr>
        <w:spacing w:before="360" w:line="288" w:lineRule="auto"/>
        <w:rPr>
          <w:lang w:val="en-GB"/>
        </w:rPr>
      </w:pPr>
      <w:r>
        <w:rPr>
          <w:lang w:val="en-GB"/>
        </w:rPr>
        <w:t xml:space="preserve">In </w:t>
      </w:r>
      <w:r w:rsidRPr="00C83A41">
        <w:rPr>
          <w:lang w:val="en-GB" w:eastAsia="pl-PL"/>
        </w:rPr>
        <w:t>the fourth quarter of 2024</w:t>
      </w:r>
      <w:bookmarkStart w:id="1" w:name="_GoBack"/>
      <w:bookmarkEnd w:id="1"/>
      <w:r w:rsidR="00BF236E" w:rsidRPr="00C83A41">
        <w:rPr>
          <w:lang w:val="en-GB"/>
        </w:rPr>
        <w:t xml:space="preserve"> increase in the labour cost index was observed in all </w:t>
      </w:r>
      <w:r w:rsidR="00BF378A" w:rsidRPr="00C83A41">
        <w:rPr>
          <w:lang w:val="en-GB"/>
        </w:rPr>
        <w:t xml:space="preserve">analysed </w:t>
      </w:r>
      <w:r w:rsidR="00BF236E" w:rsidRPr="00C83A41">
        <w:rPr>
          <w:lang w:val="en-GB"/>
        </w:rPr>
        <w:t>kinds of activity and ranged from 3.7% in the section Transportation and storage to 27.6% in the section Mining and quarrying.</w:t>
      </w:r>
      <w:r w:rsidR="00E62D74">
        <w:rPr>
          <w:lang w:val="en-GB"/>
        </w:rPr>
        <w:br w:type="page"/>
      </w:r>
    </w:p>
    <w:p w14:paraId="6F31D147" w14:textId="02C0C291" w:rsidR="00BA55FC" w:rsidRPr="00BF236E" w:rsidRDefault="00E62D74" w:rsidP="004E4839">
      <w:pPr>
        <w:pStyle w:val="Tytuwykresu0"/>
        <w:ind w:left="709" w:hanging="709"/>
        <w:rPr>
          <w:lang w:val="en-GB"/>
        </w:rPr>
      </w:pPr>
      <w:r w:rsidRPr="00E62D74">
        <w:rPr>
          <w:sz w:val="16"/>
          <w:szCs w:val="16"/>
        </w:rPr>
        <w:lastRenderedPageBreak/>
        <w:drawing>
          <wp:anchor distT="0" distB="0" distL="114300" distR="114300" simplePos="0" relativeHeight="251872256" behindDoc="0" locked="0" layoutInCell="1" allowOverlap="1" wp14:anchorId="13EDD760" wp14:editId="08ACC79D">
            <wp:simplePos x="0" y="0"/>
            <wp:positionH relativeFrom="margin">
              <wp:align>center</wp:align>
            </wp:positionH>
            <wp:positionV relativeFrom="paragraph">
              <wp:posOffset>180340</wp:posOffset>
            </wp:positionV>
            <wp:extent cx="5041265" cy="4540250"/>
            <wp:effectExtent l="0" t="0" r="6985" b="0"/>
            <wp:wrapTopAndBottom/>
            <wp:docPr id="11" name="Obraz 11" descr="The chart shows the values of the total labour cost index in the first and fourth quarters of 2024 in individual PKD 2007/NACE Rev. 2 sections. The order of the PKD/NACE sections was determined by calculating the difference in values between the fourth and first quarters of 2024. In all sections, the differences were positive, meaning that the value of the total labour cost index in the fourth quarter of 2024 in these sections increased compared with the first quarter of the same year. The differences were as follows: for the section Transportation and storage (H): 6.1, for the section Information and communication (J): 6.5, for the section Trade; repair of motor vehicles (G): 6.5, for the section Accommodation and catering (I): 6.9, for the section Electricity, gas, steam and air conditioning supply (D): 8, for the section Manufacturing (C): 9.5, for the section Water supply; sewerage, waste management and remediation activities (E): 10.3, for the section Professional, scientific and technical activities (M): 10.5, for the section Construction (F): 10.7, for the section Real estate activities (L): 11.4, for the section Administrative and support service activities (N): 12.4, for the section Arts, entertainment and recreation (R): 14.4, for the section Public administration and defence; compulsory social security (O): 16.2, for the section Financial and insurance activities (K): 16.3, for the section Other service activities (S): 17.1, for the section Education (P): 22.5, for the section Human health and social work activities (Q): 36.7, for the section Mining and quarrying (B):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fbdg01\WOU_SHARE\PUBLIKACJE\PUBLIKACJE_2025\SYGNALNE\IKZ\wykres2_a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1265" cy="454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6E" w:rsidRPr="00015D53">
        <w:rPr>
          <w:lang w:val="en-GB"/>
        </w:rPr>
        <w:t>C</w:t>
      </w:r>
      <w:r w:rsidR="00BF236E" w:rsidRPr="00E62D74">
        <w:rPr>
          <w:lang w:val="en-GB"/>
        </w:rPr>
        <w:t>hart</w:t>
      </w:r>
      <w:r w:rsidR="00142F59" w:rsidRPr="00E62D74">
        <w:rPr>
          <w:lang w:val="en-GB"/>
        </w:rPr>
        <w:t xml:space="preserve"> </w:t>
      </w:r>
      <w:r w:rsidRPr="00E62D74">
        <w:t>2</w:t>
      </w:r>
      <w:r w:rsidR="00142F59" w:rsidRPr="00E62D74">
        <w:rPr>
          <w:lang w:val="en-GB"/>
        </w:rPr>
        <w:t xml:space="preserve">. </w:t>
      </w:r>
      <w:r w:rsidR="00BF236E" w:rsidRPr="00E62D74">
        <w:rPr>
          <w:lang w:val="en-GB"/>
        </w:rPr>
        <w:t>Labour cost index by PKD</w:t>
      </w:r>
      <w:r w:rsidR="00876E7C" w:rsidRPr="00E62D74">
        <w:rPr>
          <w:lang w:val="en-GB"/>
        </w:rPr>
        <w:t xml:space="preserve"> 2007</w:t>
      </w:r>
      <w:r w:rsidR="00BF236E" w:rsidRPr="00E62D74">
        <w:rPr>
          <w:lang w:val="en-GB"/>
        </w:rPr>
        <w:t>/NACE</w:t>
      </w:r>
      <w:r w:rsidR="00876E7C" w:rsidRPr="00E62D74">
        <w:rPr>
          <w:lang w:val="en-GB"/>
        </w:rPr>
        <w:t xml:space="preserve"> Rev. 2</w:t>
      </w:r>
      <w:r w:rsidR="00365DBB" w:rsidRPr="00E62D74">
        <w:rPr>
          <w:lang w:val="en-GB"/>
        </w:rPr>
        <w:t xml:space="preserve"> section</w:t>
      </w:r>
      <w:r w:rsidR="0021145C" w:rsidRPr="00E62D74">
        <w:rPr>
          <w:lang w:val="en-GB"/>
        </w:rPr>
        <w:t xml:space="preserve"> (B-S)</w:t>
      </w:r>
      <w:r w:rsidR="00535729" w:rsidRPr="00E62D74">
        <w:rPr>
          <w:vertAlign w:val="superscript"/>
          <w:lang w:val="en-GB"/>
        </w:rPr>
        <w:t>a</w:t>
      </w:r>
      <w:r w:rsidR="00982870" w:rsidRPr="00E62D74">
        <w:rPr>
          <w:lang w:val="en-GB"/>
        </w:rPr>
        <w:t xml:space="preserve"> </w:t>
      </w:r>
      <w:r w:rsidR="0074165A" w:rsidRPr="00E62D74">
        <w:rPr>
          <w:lang w:val="en-GB"/>
        </w:rPr>
        <w:t>in Q1 2024 and Q4 2024</w:t>
      </w:r>
    </w:p>
    <w:p w14:paraId="17F9F8FB" w14:textId="7CE89C4A" w:rsidR="00E537D4" w:rsidRPr="00E62D74" w:rsidRDefault="00C73D7A" w:rsidP="00E537D4">
      <w:pPr>
        <w:spacing w:before="240" w:after="0" w:line="240" w:lineRule="auto"/>
        <w:rPr>
          <w:sz w:val="16"/>
          <w:szCs w:val="16"/>
          <w:lang w:val="en-GB" w:eastAsia="pl-PL"/>
        </w:rPr>
      </w:pPr>
      <w:r w:rsidRPr="00E62D74">
        <w:rPr>
          <w:sz w:val="16"/>
          <w:szCs w:val="16"/>
          <w:lang w:val="en-GB" w:eastAsia="pl-PL"/>
        </w:rPr>
        <w:t xml:space="preserve">a </w:t>
      </w:r>
      <w:r w:rsidR="00773071" w:rsidRPr="00E62D74">
        <w:rPr>
          <w:sz w:val="16"/>
          <w:szCs w:val="16"/>
          <w:lang w:val="en-GB" w:eastAsia="pl-PL"/>
        </w:rPr>
        <w:t>PKD/NACE sections sorted by the differ</w:t>
      </w:r>
      <w:r w:rsidR="00ED726A" w:rsidRPr="00E62D74">
        <w:rPr>
          <w:sz w:val="16"/>
          <w:szCs w:val="16"/>
          <w:lang w:val="en-GB" w:eastAsia="pl-PL"/>
        </w:rPr>
        <w:t>ence in LCI values between</w:t>
      </w:r>
      <w:r w:rsidR="00773071" w:rsidRPr="00E62D74">
        <w:rPr>
          <w:sz w:val="16"/>
          <w:szCs w:val="16"/>
          <w:lang w:val="en-GB" w:eastAsia="pl-PL"/>
        </w:rPr>
        <w:t xml:space="preserve"> the fourth and first quarter</w:t>
      </w:r>
      <w:r w:rsidR="00ED726A" w:rsidRPr="00E62D74">
        <w:rPr>
          <w:sz w:val="16"/>
          <w:szCs w:val="16"/>
          <w:lang w:val="en-GB" w:eastAsia="pl-PL"/>
        </w:rPr>
        <w:t>s</w:t>
      </w:r>
      <w:r w:rsidR="00773071" w:rsidRPr="00E62D74">
        <w:rPr>
          <w:sz w:val="16"/>
          <w:szCs w:val="16"/>
          <w:lang w:val="en-GB" w:eastAsia="pl-PL"/>
        </w:rPr>
        <w:t xml:space="preserve"> of </w:t>
      </w:r>
      <w:r w:rsidR="00F003CC" w:rsidRPr="00E62D74">
        <w:rPr>
          <w:sz w:val="16"/>
          <w:szCs w:val="16"/>
          <w:lang w:val="en-GB" w:eastAsia="pl-PL"/>
        </w:rPr>
        <w:t>2024</w:t>
      </w:r>
    </w:p>
    <w:p w14:paraId="142DA715" w14:textId="5D305628" w:rsidR="00800B0A" w:rsidRPr="00ED726A" w:rsidRDefault="00ED726A" w:rsidP="00E537D4">
      <w:pPr>
        <w:spacing w:before="360" w:line="240" w:lineRule="auto"/>
        <w:rPr>
          <w:b/>
          <w:color w:val="001D77"/>
          <w:lang w:val="en-GB"/>
        </w:rPr>
      </w:pPr>
      <w:r w:rsidRPr="00E62D74">
        <w:rPr>
          <w:b/>
          <w:color w:val="001D77"/>
          <w:lang w:val="en-GB"/>
        </w:rPr>
        <w:t>Poland compared to the European Union</w:t>
      </w:r>
    </w:p>
    <w:p w14:paraId="5D3F44D3" w14:textId="7B29215B" w:rsidR="00CD5A0E" w:rsidRPr="00015D53" w:rsidRDefault="00365DBB" w:rsidP="00B74006">
      <w:pPr>
        <w:spacing w:line="288" w:lineRule="auto"/>
        <w:rPr>
          <w:color w:val="000000" w:themeColor="text1"/>
          <w:lang w:val="en-GB"/>
        </w:rPr>
      </w:pPr>
      <w:r>
        <w:rPr>
          <w:color w:val="000000" w:themeColor="text1"/>
          <w:lang w:val="en-GB"/>
        </w:rPr>
        <w:t>The labour cost index</w:t>
      </w:r>
      <w:r w:rsidRPr="00365DBB">
        <w:rPr>
          <w:color w:val="000000" w:themeColor="text1"/>
          <w:lang w:val="en-GB"/>
        </w:rPr>
        <w:t xml:space="preserve"> makes it possible to compar</w:t>
      </w:r>
      <w:r>
        <w:rPr>
          <w:color w:val="000000" w:themeColor="text1"/>
          <w:lang w:val="en-GB"/>
        </w:rPr>
        <w:t>e labour cost dynamics across European Union</w:t>
      </w:r>
      <w:r w:rsidRPr="00365DBB">
        <w:rPr>
          <w:color w:val="000000" w:themeColor="text1"/>
          <w:lang w:val="en-GB"/>
        </w:rPr>
        <w:t xml:space="preserve"> Member States. Poland is in the group of countries with the highest LCI. In the fourth quar</w:t>
      </w:r>
      <w:r>
        <w:rPr>
          <w:color w:val="000000" w:themeColor="text1"/>
          <w:lang w:val="en-GB"/>
        </w:rPr>
        <w:t>ter of 2024, Poland's labour</w:t>
      </w:r>
      <w:r w:rsidRPr="00365DBB">
        <w:rPr>
          <w:color w:val="000000" w:themeColor="text1"/>
          <w:lang w:val="en-GB"/>
        </w:rPr>
        <w:t xml:space="preserve"> cost index was 160.2. The lowest value of the LCI among EU c</w:t>
      </w:r>
      <w:r>
        <w:rPr>
          <w:color w:val="000000" w:themeColor="text1"/>
          <w:lang w:val="en-GB"/>
        </w:rPr>
        <w:t xml:space="preserve">ountries was recorded in Italy </w:t>
      </w:r>
      <w:r w:rsidRPr="00365DBB">
        <w:rPr>
          <w:lang w:val="en-GB" w:eastAsia="pl-PL"/>
        </w:rPr>
        <w:t>– </w:t>
      </w:r>
      <w:r w:rsidRPr="00365DBB">
        <w:rPr>
          <w:color w:val="000000" w:themeColor="text1"/>
          <w:lang w:val="en-GB"/>
        </w:rPr>
        <w:t>107.</w:t>
      </w:r>
      <w:r>
        <w:rPr>
          <w:color w:val="000000" w:themeColor="text1"/>
          <w:lang w:val="en-GB"/>
        </w:rPr>
        <w:t xml:space="preserve">5, and the highest in Bulgaria </w:t>
      </w:r>
      <w:r w:rsidR="006B29EC" w:rsidRPr="006B29EC">
        <w:rPr>
          <w:lang w:val="en-GB" w:eastAsia="pl-PL"/>
        </w:rPr>
        <w:t>– </w:t>
      </w:r>
      <w:r w:rsidRPr="00365DBB">
        <w:rPr>
          <w:color w:val="000000" w:themeColor="text1"/>
          <w:lang w:val="en-GB"/>
        </w:rPr>
        <w:t>167.0.</w:t>
      </w:r>
    </w:p>
    <w:p w14:paraId="5F4028D1" w14:textId="74A4A678" w:rsidR="00AC492A" w:rsidRPr="00876D33" w:rsidRDefault="00D06EA0" w:rsidP="00096823">
      <w:pPr>
        <w:pStyle w:val="Tytuwykresu0"/>
        <w:ind w:left="709" w:hanging="709"/>
        <w:rPr>
          <w:lang w:val="en-GB"/>
        </w:rPr>
      </w:pPr>
      <w:r>
        <w:lastRenderedPageBreak/>
        <mc:AlternateContent>
          <mc:Choice Requires="wps">
            <w:drawing>
              <wp:anchor distT="45720" distB="45720" distL="114300" distR="114300" simplePos="0" relativeHeight="251855872" behindDoc="1" locked="0" layoutInCell="1" allowOverlap="1" wp14:anchorId="27A04C7A" wp14:editId="66B51EBB">
                <wp:simplePos x="0" y="0"/>
                <wp:positionH relativeFrom="margin">
                  <wp:posOffset>5291455</wp:posOffset>
                </wp:positionH>
                <wp:positionV relativeFrom="paragraph">
                  <wp:posOffset>266065</wp:posOffset>
                </wp:positionV>
                <wp:extent cx="1541145" cy="1398905"/>
                <wp:effectExtent l="0" t="0" r="0" b="0"/>
                <wp:wrapTight wrapText="bothSides">
                  <wp:wrapPolygon edited="0">
                    <wp:start x="801" y="0"/>
                    <wp:lineTo x="801" y="21178"/>
                    <wp:lineTo x="20559" y="21178"/>
                    <wp:lineTo x="20559" y="0"/>
                    <wp:lineTo x="801" y="0"/>
                  </wp:wrapPolygon>
                </wp:wrapTight>
                <wp:docPr id="7" name="Pole tekstowe 4" descr="In the fourth quarter of 2024, Poland was among the European Union Member States with the highest values of the labour cost inde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398905"/>
                        </a:xfrm>
                        <a:prstGeom prst="rect">
                          <a:avLst/>
                        </a:prstGeom>
                        <a:noFill/>
                        <a:ln w="9525">
                          <a:noFill/>
                          <a:miter lim="800000"/>
                          <a:headEnd/>
                          <a:tailEnd/>
                        </a:ln>
                      </wps:spPr>
                      <wps:txbx>
                        <w:txbxContent>
                          <w:p w14:paraId="7A4D1D78" w14:textId="77777777" w:rsidR="009E440B" w:rsidRPr="00015D53" w:rsidRDefault="009E440B" w:rsidP="009E440B">
                            <w:pPr>
                              <w:pStyle w:val="tekstzboku"/>
                              <w:rPr>
                                <w:lang w:val="en-GB"/>
                              </w:rPr>
                            </w:pPr>
                            <w:r w:rsidRPr="00A262AA">
                              <w:rPr>
                                <w:rFonts w:cs="Arial"/>
                                <w:szCs w:val="19"/>
                                <w:lang w:val="en-GB"/>
                              </w:rPr>
                              <w:t>In the fourth quarter of 2024, Poland was among the European Union Member States with the highest values of the labour</w:t>
                            </w:r>
                            <w:r w:rsidRPr="00015D53">
                              <w:rPr>
                                <w:lang w:val="en-GB"/>
                              </w:rPr>
                              <w:t xml:space="preserve"> cost index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A04C7A" id="_x0000_t202" coordsize="21600,21600" o:spt="202" path="m,l,21600r21600,l21600,xe">
                <v:stroke joinstyle="miter"/>
                <v:path gradientshapeok="t" o:connecttype="rect"/>
              </v:shapetype>
              <v:shape id="Pole tekstowe 4" o:spid="_x0000_s1027" type="#_x0000_t202" alt="In the fourth quarter of 2024, Poland was among the European Union Member States with the highest values of the labour cost index" style="position:absolute;left:0;text-align:left;margin-left:416.65pt;margin-top:20.95pt;width:121.35pt;height:110.15pt;z-index:-25146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" filled="f" stroked="f">
                <v:textbox>
                  <w:txbxContent>
                    <w:p w14:paraId="7A4D1D78" w14:textId="77777777" w:rsidR="009E440B" w:rsidRPr="00015D53" w:rsidRDefault="009E440B" w:rsidP="009E440B">
                      <w:pPr>
                        <w:pStyle w:val="tekstzboku"/>
                        <w:rPr>
                          <w:lang w:val="en-GB"/>
                        </w:rPr>
                      </w:pPr>
                      <w:r w:rsidRPr="00A262AA">
                        <w:rPr>
                          <w:rFonts w:cs="Arial"/>
                          <w:szCs w:val="19"/>
                          <w:lang w:val="en-GB"/>
                        </w:rPr>
                        <w:t>In the fourth quarter of 2024, Poland was among the European Union Member States with the highest values of the labour</w:t>
                      </w:r>
                      <w:r w:rsidRPr="00015D53">
                        <w:rPr>
                          <w:lang w:val="en-GB"/>
                        </w:rPr>
                        <w:t xml:space="preserve"> cost index</w:t>
                      </w:r>
                    </w:p>
                  </w:txbxContent>
                </v:textbox>
                <w10:wrap type="tight" anchorx="margin"/>
              </v:shape>
            </w:pict>
          </mc:Fallback>
        </mc:AlternateContent>
      </w:r>
      <w:r w:rsidRPr="00D06EA0">
        <w:drawing>
          <wp:anchor distT="0" distB="0" distL="114300" distR="114300" simplePos="0" relativeHeight="251866112" behindDoc="0" locked="0" layoutInCell="1" allowOverlap="1" wp14:anchorId="6842208E" wp14:editId="29D0C2F6">
            <wp:simplePos x="0" y="0"/>
            <wp:positionH relativeFrom="margin">
              <wp:align>left</wp:align>
            </wp:positionH>
            <wp:positionV relativeFrom="paragraph">
              <wp:posOffset>329777</wp:posOffset>
            </wp:positionV>
            <wp:extent cx="5122545" cy="4031472"/>
            <wp:effectExtent l="0" t="0" r="1905" b="7620"/>
            <wp:wrapTopAndBottom/>
            <wp:docPr id="15" name="Obraz 15" descr="The choropleth map presents the values of the total labour cost index in the fourth quarter of 2024 in selected European countries. The total labour cost index for Poland was 160.2. The values (in descending order) for other countries are as follows: Bulgaria: 167.0, Hungary: 165.8, Lithuania: 162.6, Romania: 161.8, Croatia: 153.0, Latvia 146.8, Estonia 143.4, Iceland 138.1, Slovakia: 136.9, Slovenia: 133.5, Ireland: 133.4, Austria: 126.3, Norway: 123.6, Portugal: 123.5, Cyprus: 123.2, Malta: 123.2, Netherlands: 123.2, Czechia: 121.4, Belgium: 120.1, Luxembourg: 118.2, Germany: 117.2, Sweden: 117.1, Greece: 116.6, Spain: 114.2, France: 114.1, Finland: 113.7, Denmark: 113.0, Italy: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fbdg01\WOU_SHARE\PUBLIKACJE\PUBLIKACJE_2025\SYGNALNE\IKZ\mapa1_a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2545" cy="4031472"/>
                    </a:xfrm>
                    <a:prstGeom prst="rect">
                      <a:avLst/>
                    </a:prstGeom>
                    <a:noFill/>
                    <a:ln>
                      <a:noFill/>
                    </a:ln>
                  </pic:spPr>
                </pic:pic>
              </a:graphicData>
            </a:graphic>
            <wp14:sizeRelH relativeFrom="page">
              <wp14:pctWidth>0</wp14:pctWidth>
            </wp14:sizeRelH>
            <wp14:sizeRelV relativeFrom="page">
              <wp14:pctHeight>0</wp14:pctHeight>
            </wp14:sizeRelV>
          </wp:anchor>
        </w:drawing>
      </w:r>
      <w:r w:rsidR="00876D33">
        <w:rPr>
          <w:lang w:val="en-GB"/>
        </w:rPr>
        <w:t>Map</w:t>
      </w:r>
      <w:r w:rsidR="00DE12B7" w:rsidRPr="00876D33">
        <w:rPr>
          <w:lang w:val="en-GB"/>
        </w:rPr>
        <w:t xml:space="preserve"> </w:t>
      </w:r>
      <w:r w:rsidR="00347391">
        <w:fldChar w:fldCharType="begin"/>
      </w:r>
      <w:r w:rsidR="00AC492A" w:rsidRPr="00876D33">
        <w:rPr>
          <w:lang w:val="en-GB"/>
        </w:rPr>
        <w:instrText xml:space="preserve"> SEQ Kartogram \* ARABIC </w:instrText>
      </w:r>
      <w:r w:rsidR="00347391">
        <w:fldChar w:fldCharType="separate"/>
      </w:r>
      <w:r w:rsidR="0074148F">
        <w:rPr>
          <w:lang w:val="en-GB"/>
        </w:rPr>
        <w:t>1</w:t>
      </w:r>
      <w:r w:rsidR="00347391">
        <w:fldChar w:fldCharType="end"/>
      </w:r>
      <w:r w:rsidR="00AC492A" w:rsidRPr="00876D33">
        <w:rPr>
          <w:lang w:val="en-GB"/>
        </w:rPr>
        <w:t xml:space="preserve">. </w:t>
      </w:r>
      <w:r w:rsidR="00876D33" w:rsidRPr="00876D33">
        <w:rPr>
          <w:lang w:val="en-GB"/>
        </w:rPr>
        <w:t xml:space="preserve">Labour cost index </w:t>
      </w:r>
      <w:r w:rsidR="006B29EC">
        <w:rPr>
          <w:lang w:val="en-GB"/>
        </w:rPr>
        <w:t xml:space="preserve">for selected European </w:t>
      </w:r>
      <w:r w:rsidR="006B29EC" w:rsidRPr="00E62D74">
        <w:rPr>
          <w:lang w:val="en-GB"/>
        </w:rPr>
        <w:t>countries</w:t>
      </w:r>
      <w:r w:rsidR="0074165A" w:rsidRPr="00E62D74">
        <w:rPr>
          <w:lang w:val="en-GB"/>
        </w:rPr>
        <w:t xml:space="preserve"> in Q4</w:t>
      </w:r>
      <w:r w:rsidR="00876D33" w:rsidRPr="00E62D74">
        <w:rPr>
          <w:lang w:val="en-GB"/>
        </w:rPr>
        <w:t xml:space="preserve"> 2024</w:t>
      </w:r>
      <w:r w:rsidR="009E440B" w:rsidRPr="009E440B">
        <w:rPr>
          <w:lang w:val="en-GB"/>
        </w:rPr>
        <w:t xml:space="preserve"> </w:t>
      </w:r>
    </w:p>
    <w:p w14:paraId="0C983D2A" w14:textId="1A6C2650" w:rsidR="00C34FF2" w:rsidRPr="00A262AA" w:rsidRDefault="00876D33" w:rsidP="00D06EA0">
      <w:pPr>
        <w:pStyle w:val="Przypis"/>
        <w:spacing w:after="120" w:line="240" w:lineRule="exact"/>
        <w:rPr>
          <w:sz w:val="16"/>
          <w:szCs w:val="16"/>
        </w:rPr>
      </w:pPr>
      <w:r w:rsidRPr="00A262AA">
        <w:rPr>
          <w:sz w:val="16"/>
          <w:szCs w:val="16"/>
        </w:rPr>
        <w:t>Source of data</w:t>
      </w:r>
      <w:r w:rsidR="0052244D" w:rsidRPr="00A262AA">
        <w:rPr>
          <w:sz w:val="16"/>
          <w:szCs w:val="16"/>
        </w:rPr>
        <w:t xml:space="preserve">: </w:t>
      </w:r>
      <w:hyperlink r:id="rId11" w:history="1">
        <w:r w:rsidR="0052244D" w:rsidRPr="00E62D74">
          <w:rPr>
            <w:rStyle w:val="Hipercze"/>
            <w:rFonts w:cstheme="minorBidi"/>
            <w:sz w:val="16"/>
            <w:szCs w:val="16"/>
          </w:rPr>
          <w:t>Eurostat</w:t>
        </w:r>
      </w:hyperlink>
      <w:r w:rsidR="00E62D74">
        <w:rPr>
          <w:sz w:val="16"/>
          <w:szCs w:val="16"/>
        </w:rPr>
        <w:t>.</w:t>
      </w:r>
    </w:p>
    <w:p w14:paraId="0B930EF4" w14:textId="1CF00774" w:rsidR="00E62D74" w:rsidRDefault="00A262AA" w:rsidP="00B52E6B">
      <w:pPr>
        <w:spacing w:before="240" w:line="288" w:lineRule="auto"/>
        <w:rPr>
          <w:lang w:val="en-GB"/>
        </w:rPr>
      </w:pPr>
      <w:r w:rsidRPr="00C24132">
        <w:rPr>
          <w:lang w:val="en-GB"/>
        </w:rPr>
        <w:t>There is a greater variation in the value of the labour cost index by kind of activity in Poland than in the European Union. In the last quarter of 2024, in sections</w:t>
      </w:r>
      <w:r w:rsidR="0073620E" w:rsidRPr="00C24132">
        <w:rPr>
          <w:lang w:val="en-GB"/>
        </w:rPr>
        <w:t xml:space="preserve"> B-S</w:t>
      </w:r>
      <w:r w:rsidRPr="00C24132">
        <w:rPr>
          <w:lang w:val="en-GB"/>
        </w:rPr>
        <w:t>, the labour cost index was higher than the average value for the 27 EU countries. In the section Human health and social work activities, the labour cost index is 57.8% higher than the EU average – this is the largest difference in the value of the index among PKD 2007/NACE Rev. 2 sections between Poland an</w:t>
      </w:r>
      <w:r w:rsidR="00BD3890" w:rsidRPr="00C24132">
        <w:rPr>
          <w:lang w:val="en-GB"/>
        </w:rPr>
        <w:t>d the European Union. The smallest</w:t>
      </w:r>
      <w:r w:rsidRPr="00C24132">
        <w:rPr>
          <w:lang w:val="en-GB"/>
        </w:rPr>
        <w:t xml:space="preserve"> difference was recorded in the section Inform</w:t>
      </w:r>
      <w:r w:rsidR="00BD3890" w:rsidRPr="00C24132">
        <w:rPr>
          <w:lang w:val="en-GB"/>
        </w:rPr>
        <w:t>ation and c</w:t>
      </w:r>
      <w:r w:rsidRPr="00C24132">
        <w:rPr>
          <w:lang w:val="en-GB"/>
        </w:rPr>
        <w:t>ommunication (24.</w:t>
      </w:r>
      <w:r w:rsidR="0044121C" w:rsidRPr="00C24132">
        <w:rPr>
          <w:lang w:val="en-GB"/>
        </w:rPr>
        <w:t>2</w:t>
      </w:r>
      <w:r w:rsidRPr="00C24132">
        <w:rPr>
          <w:lang w:val="en-GB"/>
        </w:rPr>
        <w:t>%).</w:t>
      </w:r>
      <w:r w:rsidR="00E62D74">
        <w:rPr>
          <w:lang w:val="en-GB"/>
        </w:rPr>
        <w:br w:type="page"/>
      </w:r>
    </w:p>
    <w:p w14:paraId="0F961A7D" w14:textId="5E04BB23" w:rsidR="00357B65" w:rsidRPr="00FD390E" w:rsidRDefault="00E62D74" w:rsidP="00D06EA0">
      <w:pPr>
        <w:pStyle w:val="Tytuwykresu0"/>
        <w:ind w:left="709" w:hanging="709"/>
        <w:rPr>
          <w:lang w:val="en-GB"/>
        </w:rPr>
      </w:pPr>
      <w:r w:rsidRPr="00E62D74">
        <w:rPr>
          <w:sz w:val="16"/>
          <w:szCs w:val="16"/>
        </w:rPr>
        <w:lastRenderedPageBreak/>
        <w:drawing>
          <wp:anchor distT="0" distB="0" distL="114300" distR="114300" simplePos="0" relativeHeight="251873280" behindDoc="0" locked="0" layoutInCell="1" allowOverlap="1" wp14:anchorId="75D0A2CD" wp14:editId="6E483D05">
            <wp:simplePos x="0" y="0"/>
            <wp:positionH relativeFrom="margin">
              <wp:align>left</wp:align>
            </wp:positionH>
            <wp:positionV relativeFrom="paragraph">
              <wp:posOffset>297456</wp:posOffset>
            </wp:positionV>
            <wp:extent cx="5041265" cy="4265930"/>
            <wp:effectExtent l="0" t="0" r="6985" b="1270"/>
            <wp:wrapTopAndBottom/>
            <wp:docPr id="18" name="Obraz 18" descr="The choropleth map presents the values of the total labour cost index in the fourth quarter of 2024 in selected European countries. The total labour cost index for Poland was 160.2. The values (in descending order) for other countries are as follows: Bulgaria: 167.0, Hungary: 165.8, Lithuania: 162.6, Romania: 161.8, Croatia: 153.0, Latvia 146.8, Estonia 143.4, Iceland 138.1, Slovakia: 136.9, Slovenia: 133.5, Ireland: 133.4, Austria: 126.3, Norway: 123.6, Portugal: 123.5, Cyprus: 123.2, Malta: 123.2, Netherlands: 123.2, Czechia: 121.4, Belgium: 120.1, Luxembourg: 118.2, Germany: 117.2, Sweden: 117.1, Greece: 116.6, Spain: 114.2, France: 114.1, Finland: 113.7, Denmark: 113.0, Italy: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mfbdg01\WOU_SHARE\PUBLIKACJE\PUBLIKACJE_2025\SYGNALNE\IKZ\wykres3_a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1265" cy="426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1B1" w:rsidRPr="00876E7C">
        <w:rPr>
          <w:lang w:val="en-GB"/>
        </w:rPr>
        <w:t>Chart</w:t>
      </w:r>
      <w:r w:rsidR="00357B65" w:rsidRPr="00876E7C">
        <w:rPr>
          <w:lang w:val="en-GB"/>
        </w:rPr>
        <w:t xml:space="preserve"> </w:t>
      </w:r>
      <w:r>
        <w:t>3</w:t>
      </w:r>
      <w:r w:rsidR="00357B65" w:rsidRPr="00876E7C">
        <w:rPr>
          <w:lang w:val="en-GB"/>
        </w:rPr>
        <w:t xml:space="preserve">. </w:t>
      </w:r>
      <w:r w:rsidR="00C90AE6" w:rsidRPr="001402B4">
        <w:rPr>
          <w:lang w:val="en-GB"/>
        </w:rPr>
        <w:t>Labour c</w:t>
      </w:r>
      <w:r w:rsidR="00AD11B1" w:rsidRPr="001402B4">
        <w:rPr>
          <w:lang w:val="en-GB"/>
        </w:rPr>
        <w:t>o</w:t>
      </w:r>
      <w:r w:rsidR="00C90AE6" w:rsidRPr="001402B4">
        <w:rPr>
          <w:lang w:val="en-GB"/>
        </w:rPr>
        <w:t>st i</w:t>
      </w:r>
      <w:r w:rsidR="00AD11B1" w:rsidRPr="001402B4">
        <w:rPr>
          <w:lang w:val="en-GB"/>
        </w:rPr>
        <w:t>ndex by PKD 2007/NACE Rev. 2 section</w:t>
      </w:r>
      <w:r w:rsidR="0073620E" w:rsidRPr="001402B4">
        <w:rPr>
          <w:lang w:val="en-GB"/>
        </w:rPr>
        <w:t xml:space="preserve"> (B-</w:t>
      </w:r>
      <w:r w:rsidR="0073620E" w:rsidRPr="00E62D74">
        <w:rPr>
          <w:lang w:val="en-GB"/>
        </w:rPr>
        <w:t>S)</w:t>
      </w:r>
      <w:r w:rsidR="0074165A" w:rsidRPr="00E62D74">
        <w:rPr>
          <w:lang w:val="en-GB"/>
        </w:rPr>
        <w:t xml:space="preserve"> in Q4 </w:t>
      </w:r>
      <w:r w:rsidR="00AD11B1" w:rsidRPr="00E62D74">
        <w:rPr>
          <w:lang w:val="en-GB"/>
        </w:rPr>
        <w:t xml:space="preserve">2024 </w:t>
      </w:r>
      <w:r w:rsidR="00FD390E" w:rsidRPr="00E62D74">
        <w:rPr>
          <w:lang w:val="en-GB"/>
        </w:rPr>
        <w:t>for Poland</w:t>
      </w:r>
      <w:r w:rsidR="00FD390E" w:rsidRPr="001402B4">
        <w:rPr>
          <w:lang w:val="en-GB"/>
        </w:rPr>
        <w:t xml:space="preserve"> and the European Union</w:t>
      </w:r>
    </w:p>
    <w:p w14:paraId="13BAF8FC" w14:textId="4FA383A8" w:rsidR="0032245A" w:rsidRPr="00FD390E" w:rsidRDefault="00FD390E" w:rsidP="009F6E5B">
      <w:pPr>
        <w:pStyle w:val="Przypis"/>
        <w:spacing w:before="120" w:after="120" w:line="240" w:lineRule="exact"/>
        <w:rPr>
          <w:sz w:val="16"/>
          <w:szCs w:val="16"/>
        </w:rPr>
      </w:pPr>
      <w:r w:rsidRPr="00FD390E">
        <w:rPr>
          <w:sz w:val="16"/>
          <w:szCs w:val="16"/>
        </w:rPr>
        <w:t>Source of data</w:t>
      </w:r>
      <w:r w:rsidR="007B0E2F" w:rsidRPr="00FD390E">
        <w:rPr>
          <w:sz w:val="16"/>
          <w:szCs w:val="16"/>
        </w:rPr>
        <w:t xml:space="preserve">: </w:t>
      </w:r>
      <w:hyperlink r:id="rId13" w:history="1">
        <w:r w:rsidR="007B0E2F" w:rsidRPr="00E62D74">
          <w:rPr>
            <w:rStyle w:val="Hipercze"/>
            <w:rFonts w:cstheme="minorBidi"/>
            <w:sz w:val="16"/>
            <w:szCs w:val="16"/>
          </w:rPr>
          <w:t>Eurostat</w:t>
        </w:r>
      </w:hyperlink>
      <w:r w:rsidR="00E62D74">
        <w:rPr>
          <w:sz w:val="16"/>
          <w:szCs w:val="16"/>
        </w:rPr>
        <w:t>.</w:t>
      </w:r>
    </w:p>
    <w:p w14:paraId="48D5DF73" w14:textId="5D243DB6" w:rsidR="0028321B" w:rsidRPr="002C024F" w:rsidRDefault="0028321B" w:rsidP="0028321B">
      <w:pPr>
        <w:pStyle w:val="Nagwek1"/>
        <w:rPr>
          <w:lang w:val="en-GB"/>
        </w:rPr>
      </w:pPr>
      <w:r w:rsidRPr="00337FA2">
        <w:rPr>
          <w:noProof/>
          <w:spacing w:val="-2"/>
          <w:szCs w:val="19"/>
        </w:rPr>
        <mc:AlternateContent>
          <mc:Choice Requires="wps">
            <w:drawing>
              <wp:anchor distT="45720" distB="45720" distL="114300" distR="114300" simplePos="0" relativeHeight="251870208" behindDoc="1" locked="0" layoutInCell="1" allowOverlap="1" wp14:anchorId="1FF1982A" wp14:editId="12673FBA">
                <wp:simplePos x="0" y="0"/>
                <wp:positionH relativeFrom="column">
                  <wp:posOffset>5254696</wp:posOffset>
                </wp:positionH>
                <wp:positionV relativeFrom="paragraph">
                  <wp:posOffset>302542</wp:posOffset>
                </wp:positionV>
                <wp:extent cx="1725295" cy="1628775"/>
                <wp:effectExtent l="0" t="0" r="0" b="0"/>
                <wp:wrapTight wrapText="bothSides">
                  <wp:wrapPolygon edited="0">
                    <wp:start x="715" y="0"/>
                    <wp:lineTo x="715" y="21221"/>
                    <wp:lineTo x="20749" y="21221"/>
                    <wp:lineTo x="20749" y="0"/>
                    <wp:lineTo x="715" y="0"/>
                  </wp:wrapPolygon>
                </wp:wrapTight>
                <wp:docPr id="9" name="Pole tekstowe 9" descr="Labour cost index is a Euro indicator, one of the Principal European Economic Indicators (PEEIs), which describe the current macroeconomic situation of the European Un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28775"/>
                        </a:xfrm>
                        <a:prstGeom prst="rect">
                          <a:avLst/>
                        </a:prstGeom>
                        <a:noFill/>
                        <a:ln w="9525">
                          <a:noFill/>
                          <a:miter lim="800000"/>
                          <a:headEnd/>
                          <a:tailEnd/>
                        </a:ln>
                      </wps:spPr>
                      <wps:txbx>
                        <w:txbxContent>
                          <w:p w14:paraId="3ED706C3" w14:textId="4B40A340" w:rsidR="0028321B" w:rsidRPr="005D0C61" w:rsidRDefault="0028321B" w:rsidP="0028321B">
                            <w:pPr>
                              <w:pStyle w:val="tekstzboku"/>
                              <w:rPr>
                                <w:lang w:val="en-GB"/>
                              </w:rPr>
                            </w:pPr>
                            <w:r>
                              <w:rPr>
                                <w:rFonts w:cs="Arial"/>
                                <w:szCs w:val="19"/>
                                <w:lang w:val="en-GB"/>
                              </w:rPr>
                              <w:t>Labour cost i</w:t>
                            </w:r>
                            <w:r w:rsidRPr="007326D4">
                              <w:rPr>
                                <w:rFonts w:cs="Arial"/>
                                <w:szCs w:val="19"/>
                                <w:lang w:val="en-GB"/>
                              </w:rPr>
                              <w:t>ndex is a Euro</w:t>
                            </w:r>
                            <w:r>
                              <w:rPr>
                                <w:rFonts w:cs="Arial"/>
                                <w:szCs w:val="19"/>
                                <w:lang w:val="en-GB"/>
                              </w:rPr>
                              <w:t xml:space="preserve"> </w:t>
                            </w:r>
                            <w:r w:rsidRPr="007326D4">
                              <w:rPr>
                                <w:rFonts w:cs="Arial"/>
                                <w:szCs w:val="19"/>
                                <w:lang w:val="en-GB"/>
                              </w:rPr>
                              <w:t>indicator</w:t>
                            </w:r>
                            <w:r>
                              <w:rPr>
                                <w:rFonts w:cs="Arial"/>
                                <w:szCs w:val="19"/>
                                <w:lang w:val="en-GB"/>
                              </w:rPr>
                              <w:t>, one</w:t>
                            </w:r>
                            <w:r w:rsidRPr="007326D4">
                              <w:rPr>
                                <w:rFonts w:cs="Arial"/>
                                <w:szCs w:val="19"/>
                                <w:lang w:val="en-GB"/>
                              </w:rPr>
                              <w:t xml:space="preserve"> of the</w:t>
                            </w:r>
                            <w:r>
                              <w:rPr>
                                <w:rFonts w:cs="Arial"/>
                                <w:szCs w:val="19"/>
                                <w:lang w:val="en-GB"/>
                              </w:rPr>
                              <w:t xml:space="preserve"> Principal</w:t>
                            </w:r>
                            <w:r w:rsidRPr="007326D4">
                              <w:rPr>
                                <w:rFonts w:cs="Arial"/>
                                <w:szCs w:val="19"/>
                                <w:lang w:val="en-GB"/>
                              </w:rPr>
                              <w:t xml:space="preserve"> European Economic In</w:t>
                            </w:r>
                            <w:r>
                              <w:rPr>
                                <w:rFonts w:cs="Arial"/>
                                <w:szCs w:val="19"/>
                                <w:lang w:val="en-GB"/>
                              </w:rPr>
                              <w:t>dicators (PEEIs), which describe</w:t>
                            </w:r>
                            <w:r w:rsidRPr="007326D4">
                              <w:rPr>
                                <w:rFonts w:cs="Arial"/>
                                <w:szCs w:val="19"/>
                                <w:lang w:val="en-GB"/>
                              </w:rPr>
                              <w:t xml:space="preserve"> the current macroeconomic situation of the European Union</w:t>
                            </w:r>
                          </w:p>
                          <w:p w14:paraId="5A2B43D3" w14:textId="77777777" w:rsidR="0028321B" w:rsidRPr="00D20286" w:rsidRDefault="0028321B" w:rsidP="0028321B">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1982A" id="Pole tekstowe 9" o:spid="_x0000_s1028" type="#_x0000_t202" alt="Labour cost index is a Euro indicator, one of the Principal European Economic Indicators (PEEIs), which describe the current macroeconomic situation of the European Union" style="position:absolute;margin-left:413.75pt;margin-top:23.8pt;width:135.85pt;height:128.25pt;z-index:-25144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" filled="f" stroked="f">
                <v:textbox>
                  <w:txbxContent>
                    <w:p w14:paraId="3ED706C3" w14:textId="4B40A340" w:rsidR="0028321B" w:rsidRPr="005D0C61" w:rsidRDefault="0028321B" w:rsidP="0028321B">
                      <w:pPr>
                        <w:pStyle w:val="tekstzboku"/>
                        <w:rPr>
                          <w:lang w:val="en-GB"/>
                        </w:rPr>
                      </w:pPr>
                      <w:r>
                        <w:rPr>
                          <w:rFonts w:cs="Arial"/>
                          <w:szCs w:val="19"/>
                          <w:lang w:val="en-GB"/>
                        </w:rPr>
                        <w:t>Labour cost i</w:t>
                      </w:r>
                      <w:r w:rsidRPr="007326D4">
                        <w:rPr>
                          <w:rFonts w:cs="Arial"/>
                          <w:szCs w:val="19"/>
                          <w:lang w:val="en-GB"/>
                        </w:rPr>
                        <w:t>ndex is a Euro</w:t>
                      </w:r>
                      <w:r>
                        <w:rPr>
                          <w:rFonts w:cs="Arial"/>
                          <w:szCs w:val="19"/>
                          <w:lang w:val="en-GB"/>
                        </w:rPr>
                        <w:t xml:space="preserve"> </w:t>
                      </w:r>
                      <w:r w:rsidRPr="007326D4">
                        <w:rPr>
                          <w:rFonts w:cs="Arial"/>
                          <w:szCs w:val="19"/>
                          <w:lang w:val="en-GB"/>
                        </w:rPr>
                        <w:t>indicator</w:t>
                      </w:r>
                      <w:r>
                        <w:rPr>
                          <w:rFonts w:cs="Arial"/>
                          <w:szCs w:val="19"/>
                          <w:lang w:val="en-GB"/>
                        </w:rPr>
                        <w:t>, one</w:t>
                      </w:r>
                      <w:r w:rsidRPr="007326D4">
                        <w:rPr>
                          <w:rFonts w:cs="Arial"/>
                          <w:szCs w:val="19"/>
                          <w:lang w:val="en-GB"/>
                        </w:rPr>
                        <w:t xml:space="preserve"> of the</w:t>
                      </w:r>
                      <w:r>
                        <w:rPr>
                          <w:rFonts w:cs="Arial"/>
                          <w:szCs w:val="19"/>
                          <w:lang w:val="en-GB"/>
                        </w:rPr>
                        <w:t xml:space="preserve"> Principal</w:t>
                      </w:r>
                      <w:r w:rsidRPr="007326D4">
                        <w:rPr>
                          <w:rFonts w:cs="Arial"/>
                          <w:szCs w:val="19"/>
                          <w:lang w:val="en-GB"/>
                        </w:rPr>
                        <w:t xml:space="preserve"> European Economic In</w:t>
                      </w:r>
                      <w:r>
                        <w:rPr>
                          <w:rFonts w:cs="Arial"/>
                          <w:szCs w:val="19"/>
                          <w:lang w:val="en-GB"/>
                        </w:rPr>
                        <w:t>dicators (PEEIs), which describe</w:t>
                      </w:r>
                      <w:r w:rsidRPr="007326D4">
                        <w:rPr>
                          <w:rFonts w:cs="Arial"/>
                          <w:szCs w:val="19"/>
                          <w:lang w:val="en-GB"/>
                        </w:rPr>
                        <w:t xml:space="preserve"> the current macroeconomic situation of the European Union</w:t>
                      </w:r>
                    </w:p>
                    <w:p w14:paraId="5A2B43D3" w14:textId="77777777" w:rsidR="0028321B" w:rsidRPr="00D20286" w:rsidRDefault="0028321B" w:rsidP="0028321B">
                      <w:pPr>
                        <w:pStyle w:val="tekstzboku"/>
                        <w:rPr>
                          <w:lang w:val="en-GB"/>
                        </w:rPr>
                      </w:pPr>
                    </w:p>
                  </w:txbxContent>
                </v:textbox>
                <w10:wrap type="tight"/>
              </v:shape>
            </w:pict>
          </mc:Fallback>
        </mc:AlternateContent>
      </w:r>
      <w:r>
        <w:rPr>
          <w:lang w:val="en-GB"/>
        </w:rPr>
        <w:t>Methodological notes</w:t>
      </w:r>
    </w:p>
    <w:p w14:paraId="4FEA2AE6" w14:textId="77777777" w:rsidR="0028321B" w:rsidRPr="00AE50A6" w:rsidRDefault="0028321B" w:rsidP="0028321B">
      <w:pPr>
        <w:spacing w:line="288" w:lineRule="auto"/>
        <w:rPr>
          <w:rFonts w:cs="Arial"/>
          <w:spacing w:val="-3"/>
          <w:lang w:val="en-GB"/>
        </w:rPr>
      </w:pPr>
      <w:r w:rsidRPr="002C024F">
        <w:rPr>
          <w:rFonts w:cs="Arial"/>
          <w:spacing w:val="-3"/>
          <w:lang w:val="en-GB"/>
        </w:rPr>
        <w:t xml:space="preserve">The labour cost index (LCI) is the </w:t>
      </w:r>
      <w:proofErr w:type="spellStart"/>
      <w:r w:rsidRPr="002C024F">
        <w:rPr>
          <w:rFonts w:cs="Arial"/>
          <w:spacing w:val="-3"/>
          <w:lang w:val="en-GB"/>
        </w:rPr>
        <w:t>Laspeyres</w:t>
      </w:r>
      <w:proofErr w:type="spellEnd"/>
      <w:r w:rsidRPr="002C024F">
        <w:rPr>
          <w:rFonts w:cs="Arial"/>
          <w:spacing w:val="-3"/>
          <w:lang w:val="en-GB"/>
        </w:rPr>
        <w:t xml:space="preserve"> index of hourly labour costs recorded in the reference quarter in relation to hourly costs in the base year.</w:t>
      </w:r>
      <w:r>
        <w:rPr>
          <w:rFonts w:cs="Arial"/>
          <w:spacing w:val="-3"/>
          <w:lang w:val="en-GB"/>
        </w:rPr>
        <w:t xml:space="preserve"> </w:t>
      </w:r>
      <w:r w:rsidRPr="00AE50A6">
        <w:rPr>
          <w:rFonts w:cs="Arial"/>
          <w:spacing w:val="-3"/>
          <w:lang w:val="en-GB"/>
        </w:rPr>
        <w:t>The base year is modified cyclically every four years. Currently, the base year for</w:t>
      </w:r>
      <w:r>
        <w:rPr>
          <w:rFonts w:cs="Arial"/>
          <w:spacing w:val="-3"/>
          <w:lang w:val="en-GB"/>
        </w:rPr>
        <w:t xml:space="preserve"> the calculation of</w:t>
      </w:r>
      <w:r w:rsidRPr="00AE50A6">
        <w:rPr>
          <w:rFonts w:cs="Arial"/>
          <w:spacing w:val="-3"/>
          <w:lang w:val="en-GB"/>
        </w:rPr>
        <w:t xml:space="preserve"> the index is 2020. Due to the impact of calendar effects and seasonal fluctuations on employment</w:t>
      </w:r>
      <w:r>
        <w:rPr>
          <w:rFonts w:cs="Arial"/>
          <w:spacing w:val="-3"/>
          <w:lang w:val="en-GB"/>
        </w:rPr>
        <w:t xml:space="preserve"> and time worked, </w:t>
      </w:r>
      <w:r w:rsidRPr="00AE50A6">
        <w:rPr>
          <w:rFonts w:cs="Arial"/>
          <w:spacing w:val="-3"/>
          <w:lang w:val="en-GB"/>
        </w:rPr>
        <w:t>the LCI indicators are subject to the proced</w:t>
      </w:r>
      <w:r>
        <w:rPr>
          <w:rFonts w:cs="Arial"/>
          <w:spacing w:val="-3"/>
          <w:lang w:val="en-GB"/>
        </w:rPr>
        <w:t>ure of working-day adjustment and seasonal adjustment.</w:t>
      </w:r>
    </w:p>
    <w:p w14:paraId="657C9783" w14:textId="4E3546EC" w:rsidR="0028321B" w:rsidRPr="0063054F" w:rsidRDefault="0028321B" w:rsidP="0028321B">
      <w:pPr>
        <w:spacing w:line="288" w:lineRule="auto"/>
        <w:rPr>
          <w:rFonts w:cs="Arial"/>
          <w:spacing w:val="-3"/>
          <w:lang w:val="en-GB"/>
        </w:rPr>
      </w:pPr>
      <w:r>
        <w:rPr>
          <w:rFonts w:cs="Arial"/>
          <w:spacing w:val="-3"/>
          <w:lang w:val="en-GB"/>
        </w:rPr>
        <w:t>The labour cost index</w:t>
      </w:r>
      <w:r w:rsidRPr="0063054F">
        <w:rPr>
          <w:rFonts w:cs="Arial"/>
          <w:spacing w:val="-3"/>
          <w:lang w:val="en-GB"/>
        </w:rPr>
        <w:t xml:space="preserve"> show</w:t>
      </w:r>
      <w:r>
        <w:rPr>
          <w:rFonts w:cs="Arial"/>
          <w:spacing w:val="-3"/>
          <w:lang w:val="en-GB"/>
        </w:rPr>
        <w:t xml:space="preserve">s the development of </w:t>
      </w:r>
      <w:r w:rsidRPr="0063054F">
        <w:rPr>
          <w:rFonts w:cs="Arial"/>
          <w:spacing w:val="-3"/>
          <w:lang w:val="en-GB"/>
        </w:rPr>
        <w:t>labour costs</w:t>
      </w:r>
      <w:r>
        <w:rPr>
          <w:rFonts w:cs="Arial"/>
          <w:spacing w:val="-3"/>
          <w:lang w:val="en-GB"/>
        </w:rPr>
        <w:t xml:space="preserve"> borne by employers</w:t>
      </w:r>
      <w:r w:rsidRPr="0063054F">
        <w:rPr>
          <w:rFonts w:cs="Arial"/>
          <w:spacing w:val="-3"/>
          <w:lang w:val="en-GB"/>
        </w:rPr>
        <w:t>. Labour costs consist of wages and salaries and non-wage costs, such as social security contributions and taxes paid by the employer, less subsidies received.</w:t>
      </w:r>
    </w:p>
    <w:p w14:paraId="77CD743F" w14:textId="77777777" w:rsidR="0028321B" w:rsidRPr="00C72833" w:rsidRDefault="0028321B" w:rsidP="0028321B">
      <w:pPr>
        <w:spacing w:line="240" w:lineRule="auto"/>
        <w:rPr>
          <w:sz w:val="16"/>
          <w:szCs w:val="20"/>
        </w:rPr>
      </w:pPr>
      <m:oMathPara>
        <m:oMath>
          <m:r>
            <w:rPr>
              <w:rFonts w:ascii="Cambria Math" w:hAnsi="Cambria Math"/>
              <w:sz w:val="16"/>
              <w:szCs w:val="20"/>
            </w:rPr>
            <m:t>Labour cost index =</m:t>
          </m:r>
          <m:f>
            <m:fPr>
              <m:ctrlPr>
                <w:rPr>
                  <w:rFonts w:ascii="Cambria Math" w:hAnsi="Cambria Math"/>
                  <w:i/>
                  <w:sz w:val="16"/>
                  <w:szCs w:val="20"/>
                </w:rPr>
              </m:ctrlPr>
            </m:fPr>
            <m:num>
              <m:r>
                <w:rPr>
                  <w:rFonts w:ascii="Cambria Math" w:hAnsi="Cambria Math"/>
                  <w:sz w:val="16"/>
                  <w:szCs w:val="20"/>
                </w:rPr>
                <m:t xml:space="preserve">    </m:t>
              </m:r>
              <m:f>
                <m:fPr>
                  <m:ctrlPr>
                    <w:rPr>
                      <w:rFonts w:ascii="Cambria Math" w:hAnsi="Cambria Math"/>
                      <w:i/>
                      <w:sz w:val="16"/>
                      <w:szCs w:val="20"/>
                    </w:rPr>
                  </m:ctrlPr>
                </m:fPr>
                <m:num>
                  <m:r>
                    <w:rPr>
                      <w:rFonts w:ascii="Cambria Math" w:hAnsi="Cambria Math"/>
                      <w:sz w:val="16"/>
                      <w:szCs w:val="20"/>
                    </w:rPr>
                    <m:t>labour cost in the current period</m:t>
                  </m:r>
                </m:num>
                <m:den>
                  <m:r>
                    <w:rPr>
                      <w:rFonts w:ascii="Cambria Math" w:hAnsi="Cambria Math"/>
                      <w:sz w:val="16"/>
                      <w:szCs w:val="20"/>
                    </w:rPr>
                    <m:t>number of hours worked in the current period</m:t>
                  </m:r>
                </m:den>
              </m:f>
              <m:r>
                <w:rPr>
                  <w:rFonts w:ascii="Cambria Math" w:hAnsi="Cambria Math"/>
                  <w:sz w:val="16"/>
                  <w:szCs w:val="20"/>
                </w:rPr>
                <m:t xml:space="preserve">     </m:t>
              </m:r>
            </m:num>
            <m:den>
              <m:f>
                <m:fPr>
                  <m:ctrlPr>
                    <w:rPr>
                      <w:rFonts w:ascii="Cambria Math" w:hAnsi="Cambria Math"/>
                      <w:i/>
                      <w:sz w:val="16"/>
                      <w:szCs w:val="20"/>
                    </w:rPr>
                  </m:ctrlPr>
                </m:fPr>
                <m:num>
                  <m:r>
                    <w:rPr>
                      <w:rFonts w:ascii="Cambria Math" w:hAnsi="Cambria Math"/>
                      <w:sz w:val="16"/>
                      <w:szCs w:val="20"/>
                    </w:rPr>
                    <m:t>labour cost in the base period</m:t>
                  </m:r>
                </m:num>
                <m:den>
                  <m:r>
                    <w:rPr>
                      <w:rFonts w:ascii="Cambria Math" w:hAnsi="Cambria Math"/>
                      <w:sz w:val="16"/>
                      <w:szCs w:val="20"/>
                    </w:rPr>
                    <m:t>number of hours worked in the base period</m:t>
                  </m:r>
                </m:den>
              </m:f>
            </m:den>
          </m:f>
          <m:r>
            <w:rPr>
              <w:rFonts w:ascii="Cambria Math" w:hAnsi="Cambria Math"/>
              <w:sz w:val="16"/>
              <w:szCs w:val="20"/>
            </w:rPr>
            <m:t xml:space="preserve"> ∙100</m:t>
          </m:r>
        </m:oMath>
      </m:oMathPara>
    </w:p>
    <w:p w14:paraId="12D30DD4" w14:textId="5DC808C1" w:rsidR="0028321B" w:rsidRDefault="0028321B" w:rsidP="0028321B">
      <w:pPr>
        <w:spacing w:line="240" w:lineRule="auto"/>
        <w:rPr>
          <w:lang w:val="en-GB"/>
        </w:rPr>
      </w:pPr>
    </w:p>
    <w:p w14:paraId="60EA3190" w14:textId="1B969B8C" w:rsidR="00FD390E" w:rsidRPr="0028321B" w:rsidRDefault="0028321B" w:rsidP="00A71ACC">
      <w:pPr>
        <w:spacing w:before="720" w:line="240" w:lineRule="auto"/>
        <w:rPr>
          <w:sz w:val="16"/>
          <w:szCs w:val="20"/>
          <w:lang w:val="en-GB"/>
        </w:rPr>
      </w:pPr>
      <w:r>
        <w:rPr>
          <w:lang w:val="en-GB"/>
        </w:rPr>
        <w:t xml:space="preserve">In </w:t>
      </w:r>
      <w:r w:rsidR="00FD390E" w:rsidRPr="00316D8D">
        <w:rPr>
          <w:lang w:val="en-GB"/>
        </w:rPr>
        <w:t>this news re</w:t>
      </w:r>
      <w:r w:rsidR="00FD67A0">
        <w:rPr>
          <w:lang w:val="en-GB"/>
        </w:rPr>
        <w:t xml:space="preserve">lease abbreviated names of </w:t>
      </w:r>
      <w:r>
        <w:rPr>
          <w:lang w:val="en-GB"/>
        </w:rPr>
        <w:t>PKD 2007/</w:t>
      </w:r>
      <w:r w:rsidR="00FD67A0">
        <w:rPr>
          <w:lang w:val="en-GB"/>
        </w:rPr>
        <w:t>NACE</w:t>
      </w:r>
      <w:r w:rsidR="00FD390E" w:rsidRPr="00316D8D">
        <w:rPr>
          <w:lang w:val="en-GB"/>
        </w:rPr>
        <w:t xml:space="preserve"> Rev. 2 sections were used. Abbreviations are marked with a ‘</w:t>
      </w:r>
      <w:r w:rsidR="00FD390E">
        <w:t>Δ</w:t>
      </w:r>
      <w:r w:rsidR="00FD390E" w:rsidRPr="00316D8D">
        <w:rPr>
          <w:lang w:val="en-GB"/>
        </w:rPr>
        <w:t xml:space="preserve">’ symbol. </w:t>
      </w:r>
      <w:r w:rsidR="00FD390E" w:rsidRPr="00FD390E">
        <w:rPr>
          <w:lang w:val="en-GB"/>
        </w:rPr>
        <w:t>Full names are available on the Eurostat website at</w:t>
      </w:r>
      <w:r w:rsidR="00096823" w:rsidRPr="00FD390E">
        <w:rPr>
          <w:color w:val="000000" w:themeColor="text1"/>
          <w:szCs w:val="19"/>
          <w:lang w:val="en-GB"/>
        </w:rPr>
        <w:t xml:space="preserve">: </w:t>
      </w:r>
      <w:hyperlink r:id="rId14" w:history="1">
        <w:r w:rsidR="00FD390E" w:rsidRPr="005A229E">
          <w:rPr>
            <w:rStyle w:val="Hipercze"/>
            <w:rFonts w:cstheme="minorBidi"/>
            <w:szCs w:val="19"/>
            <w:lang w:val="en-GB"/>
          </w:rPr>
          <w:t>https://ec.europa.eu/eurostat/web/metadata/classifications</w:t>
        </w:r>
      </w:hyperlink>
      <w:r w:rsidR="00FD390E">
        <w:rPr>
          <w:color w:val="000000" w:themeColor="text1"/>
          <w:szCs w:val="19"/>
          <w:lang w:val="en-GB"/>
        </w:rPr>
        <w:t xml:space="preserve"> </w:t>
      </w:r>
    </w:p>
    <w:p w14:paraId="43B6BAE7" w14:textId="7DC8E781" w:rsidR="00694AF0" w:rsidRPr="00FD390E" w:rsidRDefault="00FD390E" w:rsidP="00595A97">
      <w:pPr>
        <w:spacing w:before="360" w:line="288" w:lineRule="auto"/>
        <w:rPr>
          <w:sz w:val="18"/>
          <w:lang w:val="en-GB"/>
        </w:rPr>
        <w:sectPr w:rsidR="00694AF0" w:rsidRPr="00FD390E" w:rsidSect="009F1150">
          <w:headerReference w:type="default" r:id="rId15"/>
          <w:footerReference w:type="default" r:id="rId16"/>
          <w:headerReference w:type="first" r:id="rId17"/>
          <w:footerReference w:type="first" r:id="rId18"/>
          <w:pgSz w:w="11906" w:h="16838"/>
          <w:pgMar w:top="720" w:right="3119" w:bottom="720" w:left="720" w:header="284" w:footer="397" w:gutter="0"/>
          <w:cols w:space="708"/>
          <w:titlePg/>
          <w:docGrid w:linePitch="360"/>
        </w:sectPr>
      </w:pPr>
      <w:r w:rsidRPr="00FD390E">
        <w:rPr>
          <w:szCs w:val="19"/>
          <w:lang w:val="en-GB"/>
        </w:rPr>
        <w:t>In the case of quoting Statistics Poland data, please provide information: ‘Source of data: Statistics Poland’, and in the case of publishing calculations made on data published by Statistics Poland, please provide information: ‘Own work based on Statistics Poland data.’</w:t>
      </w:r>
    </w:p>
    <w:tbl>
      <w:tblPr>
        <w:tblStyle w:val="Tabela-Siatka"/>
        <w:tblW w:w="9832"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4917"/>
      </w:tblGrid>
      <w:tr w:rsidR="00882160" w:rsidRPr="0074165A" w14:paraId="3ABBB018" w14:textId="77777777" w:rsidTr="009924EC">
        <w:trPr>
          <w:trHeight w:val="1029"/>
        </w:trPr>
        <w:tc>
          <w:tcPr>
            <w:tcW w:w="4915" w:type="dxa"/>
          </w:tcPr>
          <w:p w14:paraId="0AE68121" w14:textId="77777777" w:rsidR="00882160" w:rsidRPr="00882160" w:rsidRDefault="00882160" w:rsidP="00882160">
            <w:pPr>
              <w:spacing w:before="0" w:after="0" w:line="276" w:lineRule="auto"/>
              <w:rPr>
                <w:rFonts w:cs="Arial"/>
                <w:sz w:val="20"/>
                <w:lang w:val="en-US"/>
              </w:rPr>
            </w:pPr>
            <w:r w:rsidRPr="00882160">
              <w:rPr>
                <w:rFonts w:cs="Arial"/>
                <w:sz w:val="20"/>
                <w:lang w:val="en-US"/>
              </w:rPr>
              <w:lastRenderedPageBreak/>
              <w:t>Prepared by:</w:t>
            </w:r>
          </w:p>
          <w:p w14:paraId="47F49293" w14:textId="77777777" w:rsidR="00882160" w:rsidRPr="00882160" w:rsidRDefault="00882160" w:rsidP="00882160">
            <w:pPr>
              <w:spacing w:before="0" w:line="276" w:lineRule="auto"/>
              <w:rPr>
                <w:rFonts w:cs="Arial"/>
                <w:b/>
                <w:color w:val="000000" w:themeColor="text1"/>
                <w:sz w:val="20"/>
                <w:lang w:val="en-US"/>
              </w:rPr>
            </w:pPr>
            <w:r w:rsidRPr="00882160">
              <w:rPr>
                <w:rFonts w:cs="Arial"/>
                <w:b/>
                <w:color w:val="000000" w:themeColor="text1"/>
                <w:sz w:val="20"/>
                <w:lang w:val="en-US"/>
              </w:rPr>
              <w:t>Statistical Office in Bydgoszcz</w:t>
            </w:r>
          </w:p>
          <w:p w14:paraId="0CA7E51A" w14:textId="77777777" w:rsidR="00882160" w:rsidRPr="00882160" w:rsidRDefault="00882160" w:rsidP="00882160">
            <w:pPr>
              <w:spacing w:before="0" w:after="0" w:line="276" w:lineRule="auto"/>
              <w:rPr>
                <w:b/>
                <w:sz w:val="20"/>
                <w:szCs w:val="20"/>
                <w:lang w:val="fi-FI"/>
              </w:rPr>
            </w:pPr>
            <w:r w:rsidRPr="00882160">
              <w:rPr>
                <w:b/>
                <w:sz w:val="20"/>
                <w:szCs w:val="20"/>
                <w:lang w:val="fi-FI"/>
              </w:rPr>
              <w:t>Director Wiesława Gierańczyk, Ph.D.</w:t>
            </w:r>
          </w:p>
          <w:p w14:paraId="200CC5CD" w14:textId="77777777" w:rsidR="00882160" w:rsidRPr="00882160" w:rsidRDefault="00882160" w:rsidP="00882160">
            <w:pPr>
              <w:keepNext/>
              <w:keepLines/>
              <w:spacing w:before="0" w:line="240" w:lineRule="auto"/>
              <w:outlineLvl w:val="2"/>
              <w:rPr>
                <w:rFonts w:eastAsiaTheme="majorEastAsia" w:cs="Arial"/>
                <w:color w:val="000000" w:themeColor="text1"/>
                <w:sz w:val="20"/>
                <w:szCs w:val="24"/>
                <w:lang w:val="fi-FI"/>
              </w:rPr>
            </w:pPr>
            <w:r w:rsidRPr="00882160">
              <w:rPr>
                <w:rFonts w:eastAsiaTheme="majorEastAsia" w:cs="Arial"/>
                <w:color w:val="000000" w:themeColor="text1"/>
                <w:sz w:val="20"/>
                <w:szCs w:val="24"/>
                <w:lang w:val="fi-FI"/>
              </w:rPr>
              <w:t>Phone: (+48 52) 366 93 90</w:t>
            </w:r>
          </w:p>
        </w:tc>
        <w:tc>
          <w:tcPr>
            <w:tcW w:w="4917" w:type="dxa"/>
          </w:tcPr>
          <w:p w14:paraId="250D1B85" w14:textId="77777777" w:rsidR="00882160" w:rsidRPr="00882160" w:rsidRDefault="00882160" w:rsidP="00882160">
            <w:pPr>
              <w:spacing w:before="0" w:line="276" w:lineRule="auto"/>
              <w:rPr>
                <w:rFonts w:cs="Arial"/>
                <w:b/>
                <w:sz w:val="20"/>
                <w:lang w:val="en-US"/>
              </w:rPr>
            </w:pPr>
            <w:r w:rsidRPr="00882160">
              <w:rPr>
                <w:rFonts w:cs="Arial"/>
                <w:sz w:val="20"/>
                <w:lang w:val="en-US"/>
              </w:rPr>
              <w:t>Issued by:</w:t>
            </w:r>
            <w:r w:rsidRPr="00882160">
              <w:rPr>
                <w:rFonts w:cs="Arial"/>
                <w:sz w:val="20"/>
                <w:lang w:val="en-US"/>
              </w:rPr>
              <w:br/>
            </w:r>
            <w:r w:rsidRPr="00882160">
              <w:rPr>
                <w:rFonts w:cs="Arial"/>
                <w:b/>
                <w:sz w:val="20"/>
                <w:lang w:val="en-US"/>
              </w:rPr>
              <w:t>Press Office</w:t>
            </w:r>
          </w:p>
          <w:p w14:paraId="02E59330" w14:textId="77777777" w:rsidR="00882160" w:rsidRPr="00882160" w:rsidRDefault="00882160" w:rsidP="00882160">
            <w:pPr>
              <w:spacing w:line="288" w:lineRule="auto"/>
              <w:rPr>
                <w:sz w:val="20"/>
                <w:lang w:val="en-GB"/>
              </w:rPr>
            </w:pPr>
            <w:r w:rsidRPr="00882160">
              <w:rPr>
                <w:sz w:val="20"/>
                <w:lang w:val="en-GB"/>
              </w:rPr>
              <w:t>Mobile phone: +48 695 255 032</w:t>
            </w:r>
          </w:p>
          <w:p w14:paraId="3C4C520F" w14:textId="77777777" w:rsidR="00882160" w:rsidRPr="00882160" w:rsidRDefault="00882160" w:rsidP="00882160">
            <w:pPr>
              <w:spacing w:line="288" w:lineRule="auto"/>
              <w:ind w:left="1616" w:hanging="1616"/>
              <w:rPr>
                <w:sz w:val="20"/>
                <w:lang w:val="en-US"/>
              </w:rPr>
            </w:pPr>
            <w:r w:rsidRPr="00882160">
              <w:rPr>
                <w:sz w:val="20"/>
                <w:lang w:val="en-US"/>
              </w:rPr>
              <w:t>Landline phones: +48 22 608 38 04, +48 22 449 41 45, +48 22 608 30 09</w:t>
            </w:r>
          </w:p>
          <w:p w14:paraId="56F4D714" w14:textId="77777777" w:rsidR="00882160" w:rsidRPr="00882160" w:rsidRDefault="00882160" w:rsidP="00882160">
            <w:pPr>
              <w:spacing w:line="288" w:lineRule="auto"/>
              <w:rPr>
                <w:lang w:val="en-US"/>
              </w:rPr>
            </w:pPr>
            <w:r w:rsidRPr="00882160">
              <w:rPr>
                <w:b/>
                <w:sz w:val="20"/>
                <w:lang w:val="en-US"/>
              </w:rPr>
              <w:t>e-mail:</w:t>
            </w:r>
            <w:r w:rsidRPr="00882160">
              <w:rPr>
                <w:sz w:val="20"/>
                <w:lang w:val="en-US"/>
              </w:rPr>
              <w:t xml:space="preserve"> </w:t>
            </w:r>
            <w:hyperlink r:id="rId19" w:history="1">
              <w:r w:rsidRPr="00882160">
                <w:rPr>
                  <w:rFonts w:eastAsiaTheme="majorEastAsia" w:cs="Arial"/>
                  <w:b/>
                  <w:sz w:val="20"/>
                  <w:szCs w:val="20"/>
                  <w:u w:val="single"/>
                  <w:lang w:val="en-US"/>
                </w:rPr>
                <w:t>obslugaprasowa@stat.gov.pl</w:t>
              </w:r>
            </w:hyperlink>
          </w:p>
          <w:p w14:paraId="09EBEBA4" w14:textId="77777777" w:rsidR="00882160" w:rsidRPr="00882160" w:rsidRDefault="00882160" w:rsidP="00882160">
            <w:pPr>
              <w:spacing w:line="288" w:lineRule="auto"/>
              <w:rPr>
                <w:sz w:val="18"/>
                <w:lang w:val="en-US"/>
              </w:rPr>
            </w:pPr>
          </w:p>
        </w:tc>
      </w:tr>
      <w:tr w:rsidR="00882160" w:rsidRPr="0074165A" w14:paraId="550E650B" w14:textId="77777777" w:rsidTr="009924EC">
        <w:trPr>
          <w:trHeight w:val="264"/>
        </w:trPr>
        <w:tc>
          <w:tcPr>
            <w:tcW w:w="4915" w:type="dxa"/>
            <w:vMerge w:val="restart"/>
          </w:tcPr>
          <w:p w14:paraId="4D5F676D" w14:textId="77777777" w:rsidR="00882160" w:rsidRPr="00882160" w:rsidRDefault="00882160" w:rsidP="00882160">
            <w:pPr>
              <w:spacing w:line="288" w:lineRule="auto"/>
              <w:rPr>
                <w:sz w:val="18"/>
                <w:lang w:val="en-US"/>
              </w:rPr>
            </w:pPr>
          </w:p>
        </w:tc>
        <w:tc>
          <w:tcPr>
            <w:tcW w:w="4917" w:type="dxa"/>
            <w:vAlign w:val="center"/>
          </w:tcPr>
          <w:p w14:paraId="600FB137" w14:textId="77777777" w:rsidR="00882160" w:rsidRPr="00882160" w:rsidRDefault="00882160" w:rsidP="00882160">
            <w:pPr>
              <w:spacing w:line="288" w:lineRule="auto"/>
              <w:ind w:firstLine="680"/>
              <w:rPr>
                <w:sz w:val="18"/>
                <w:lang w:val="en-US"/>
              </w:rPr>
            </w:pPr>
            <w:r w:rsidRPr="00882160">
              <w:rPr>
                <w:noProof/>
                <w:sz w:val="20"/>
                <w:lang w:eastAsia="pl-PL"/>
              </w:rPr>
              <w:drawing>
                <wp:anchor distT="0" distB="0" distL="114300" distR="114300" simplePos="0" relativeHeight="251857920" behindDoc="0" locked="0" layoutInCell="1" allowOverlap="1" wp14:anchorId="559D6640" wp14:editId="1268962C">
                  <wp:simplePos x="0" y="0"/>
                  <wp:positionH relativeFrom="column">
                    <wp:posOffset>78740</wp:posOffset>
                  </wp:positionH>
                  <wp:positionV relativeFrom="paragraph">
                    <wp:posOffset>21590</wp:posOffset>
                  </wp:positionV>
                  <wp:extent cx="251460" cy="251460"/>
                  <wp:effectExtent l="0" t="0" r="0" b="0"/>
                  <wp:wrapNone/>
                  <wp:docPr id="4" name="Obraz 4"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82160">
              <w:rPr>
                <w:sz w:val="20"/>
                <w:lang w:val="en-US"/>
              </w:rPr>
              <w:t>www.stat.gov.pl/en/</w:t>
            </w:r>
          </w:p>
        </w:tc>
      </w:tr>
      <w:tr w:rsidR="00882160" w:rsidRPr="00882160" w14:paraId="39343450" w14:textId="77777777" w:rsidTr="009924EC">
        <w:trPr>
          <w:trHeight w:val="264"/>
        </w:trPr>
        <w:tc>
          <w:tcPr>
            <w:tcW w:w="4915" w:type="dxa"/>
            <w:vMerge/>
          </w:tcPr>
          <w:p w14:paraId="24473D93" w14:textId="77777777" w:rsidR="00882160" w:rsidRPr="00882160" w:rsidRDefault="00882160" w:rsidP="00882160">
            <w:pPr>
              <w:spacing w:line="288" w:lineRule="auto"/>
              <w:rPr>
                <w:b/>
                <w:sz w:val="20"/>
                <w:lang w:val="en-US"/>
              </w:rPr>
            </w:pPr>
          </w:p>
        </w:tc>
        <w:tc>
          <w:tcPr>
            <w:tcW w:w="4917" w:type="dxa"/>
            <w:vAlign w:val="center"/>
          </w:tcPr>
          <w:p w14:paraId="5C11FD6D" w14:textId="77777777" w:rsidR="00882160" w:rsidRPr="00882160" w:rsidRDefault="00882160" w:rsidP="00882160">
            <w:pPr>
              <w:spacing w:line="288" w:lineRule="auto"/>
              <w:ind w:firstLine="680"/>
              <w:rPr>
                <w:sz w:val="18"/>
              </w:rPr>
            </w:pPr>
            <w:r w:rsidRPr="00882160">
              <w:rPr>
                <w:noProof/>
                <w:sz w:val="20"/>
                <w:lang w:eastAsia="pl-PL"/>
              </w:rPr>
              <w:drawing>
                <wp:anchor distT="0" distB="0" distL="114300" distR="114300" simplePos="0" relativeHeight="251863040" behindDoc="0" locked="0" layoutInCell="1" allowOverlap="1" wp14:anchorId="5155BF32" wp14:editId="6194B741">
                  <wp:simplePos x="0" y="0"/>
                  <wp:positionH relativeFrom="column">
                    <wp:posOffset>80010</wp:posOffset>
                  </wp:positionH>
                  <wp:positionV relativeFrom="paragraph">
                    <wp:posOffset>12065</wp:posOffset>
                  </wp:positionV>
                  <wp:extent cx="251460" cy="25146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82160">
              <w:rPr>
                <w:noProof/>
                <w:sz w:val="20"/>
                <w:lang w:eastAsia="pl-PL"/>
              </w:rPr>
              <w:t>@StatPoland</w:t>
            </w:r>
          </w:p>
        </w:tc>
      </w:tr>
      <w:tr w:rsidR="00882160" w:rsidRPr="00882160" w14:paraId="567DC137" w14:textId="77777777" w:rsidTr="009924EC">
        <w:trPr>
          <w:trHeight w:val="301"/>
        </w:trPr>
        <w:tc>
          <w:tcPr>
            <w:tcW w:w="4915" w:type="dxa"/>
            <w:vMerge/>
          </w:tcPr>
          <w:p w14:paraId="22C7A241" w14:textId="77777777" w:rsidR="00882160" w:rsidRPr="00882160" w:rsidRDefault="00882160" w:rsidP="00882160">
            <w:pPr>
              <w:spacing w:line="288" w:lineRule="auto"/>
              <w:rPr>
                <w:b/>
                <w:sz w:val="20"/>
              </w:rPr>
            </w:pPr>
          </w:p>
        </w:tc>
        <w:tc>
          <w:tcPr>
            <w:tcW w:w="4917" w:type="dxa"/>
          </w:tcPr>
          <w:p w14:paraId="5FA84C23" w14:textId="77777777" w:rsidR="00882160" w:rsidRPr="00882160" w:rsidRDefault="00882160" w:rsidP="00882160">
            <w:pPr>
              <w:spacing w:line="288" w:lineRule="auto"/>
              <w:ind w:firstLine="680"/>
              <w:rPr>
                <w:sz w:val="18"/>
              </w:rPr>
            </w:pPr>
            <w:r w:rsidRPr="00882160">
              <w:rPr>
                <w:noProof/>
                <w:sz w:val="20"/>
                <w:lang w:eastAsia="pl-PL"/>
              </w:rPr>
              <w:drawing>
                <wp:anchor distT="0" distB="0" distL="114300" distR="114300" simplePos="0" relativeHeight="251858944" behindDoc="0" locked="0" layoutInCell="1" allowOverlap="1" wp14:anchorId="21472D81" wp14:editId="42A96F20">
                  <wp:simplePos x="0" y="0"/>
                  <wp:positionH relativeFrom="column">
                    <wp:posOffset>80645</wp:posOffset>
                  </wp:positionH>
                  <wp:positionV relativeFrom="paragraph">
                    <wp:posOffset>13970</wp:posOffset>
                  </wp:positionV>
                  <wp:extent cx="251460" cy="251460"/>
                  <wp:effectExtent l="0" t="0" r="0" b="0"/>
                  <wp:wrapNone/>
                  <wp:docPr id="8" name="Obraz 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82160">
              <w:rPr>
                <w:sz w:val="20"/>
              </w:rPr>
              <w:t>@</w:t>
            </w:r>
            <w:proofErr w:type="spellStart"/>
            <w:r w:rsidRPr="00882160">
              <w:rPr>
                <w:sz w:val="20"/>
              </w:rPr>
              <w:t>GlownyUrzadStatystyczny</w:t>
            </w:r>
            <w:proofErr w:type="spellEnd"/>
            <w:r w:rsidRPr="00882160">
              <w:rPr>
                <w:noProof/>
                <w:sz w:val="20"/>
                <w:lang w:eastAsia="pl-PL"/>
              </w:rPr>
              <w:t xml:space="preserve"> </w:t>
            </w:r>
          </w:p>
        </w:tc>
      </w:tr>
      <w:tr w:rsidR="00882160" w:rsidRPr="00882160" w14:paraId="621BA4A4" w14:textId="77777777" w:rsidTr="009924EC">
        <w:trPr>
          <w:trHeight w:val="301"/>
        </w:trPr>
        <w:tc>
          <w:tcPr>
            <w:tcW w:w="4915" w:type="dxa"/>
          </w:tcPr>
          <w:p w14:paraId="316A4767" w14:textId="77777777" w:rsidR="00882160" w:rsidRPr="00882160" w:rsidRDefault="00882160" w:rsidP="00882160">
            <w:pPr>
              <w:spacing w:line="288" w:lineRule="auto"/>
              <w:rPr>
                <w:b/>
                <w:sz w:val="20"/>
              </w:rPr>
            </w:pPr>
          </w:p>
        </w:tc>
        <w:tc>
          <w:tcPr>
            <w:tcW w:w="4917" w:type="dxa"/>
          </w:tcPr>
          <w:p w14:paraId="55420DE3" w14:textId="77777777" w:rsidR="00882160" w:rsidRPr="00882160" w:rsidRDefault="00882160" w:rsidP="00882160">
            <w:pPr>
              <w:spacing w:line="288" w:lineRule="auto"/>
              <w:ind w:firstLine="680"/>
              <w:rPr>
                <w:sz w:val="20"/>
              </w:rPr>
            </w:pPr>
            <w:r w:rsidRPr="00882160">
              <w:rPr>
                <w:noProof/>
                <w:sz w:val="20"/>
                <w:lang w:eastAsia="pl-PL"/>
              </w:rPr>
              <w:drawing>
                <wp:anchor distT="0" distB="0" distL="114300" distR="114300" simplePos="0" relativeHeight="251859968" behindDoc="0" locked="0" layoutInCell="1" allowOverlap="1" wp14:anchorId="7919007A" wp14:editId="4F345110">
                  <wp:simplePos x="0" y="0"/>
                  <wp:positionH relativeFrom="column">
                    <wp:posOffset>82550</wp:posOffset>
                  </wp:positionH>
                  <wp:positionV relativeFrom="paragraph">
                    <wp:posOffset>12700</wp:posOffset>
                  </wp:positionV>
                  <wp:extent cx="251460" cy="251460"/>
                  <wp:effectExtent l="0" t="0" r="0" b="0"/>
                  <wp:wrapNone/>
                  <wp:docPr id="12" name="Obraz 12"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82160">
              <w:rPr>
                <w:sz w:val="20"/>
              </w:rPr>
              <w:t>gus_stat</w:t>
            </w:r>
            <w:proofErr w:type="spellEnd"/>
          </w:p>
        </w:tc>
      </w:tr>
      <w:tr w:rsidR="00882160" w:rsidRPr="00882160" w14:paraId="7745E437" w14:textId="77777777" w:rsidTr="009924EC">
        <w:trPr>
          <w:trHeight w:val="301"/>
        </w:trPr>
        <w:tc>
          <w:tcPr>
            <w:tcW w:w="4915" w:type="dxa"/>
          </w:tcPr>
          <w:p w14:paraId="598805FD" w14:textId="77777777" w:rsidR="00882160" w:rsidRPr="00882160" w:rsidRDefault="00882160" w:rsidP="00882160">
            <w:pPr>
              <w:spacing w:line="288" w:lineRule="auto"/>
              <w:rPr>
                <w:b/>
                <w:sz w:val="20"/>
              </w:rPr>
            </w:pPr>
          </w:p>
        </w:tc>
        <w:tc>
          <w:tcPr>
            <w:tcW w:w="4917" w:type="dxa"/>
          </w:tcPr>
          <w:p w14:paraId="525A8FA7" w14:textId="77777777" w:rsidR="00882160" w:rsidRPr="00882160" w:rsidRDefault="00882160" w:rsidP="00882160">
            <w:pPr>
              <w:spacing w:line="288" w:lineRule="auto"/>
              <w:ind w:firstLine="680"/>
              <w:rPr>
                <w:sz w:val="20"/>
              </w:rPr>
            </w:pPr>
            <w:r w:rsidRPr="00882160">
              <w:rPr>
                <w:noProof/>
                <w:sz w:val="20"/>
                <w:lang w:eastAsia="pl-PL"/>
              </w:rPr>
              <w:drawing>
                <wp:anchor distT="0" distB="0" distL="114300" distR="114300" simplePos="0" relativeHeight="251860992" behindDoc="0" locked="0" layoutInCell="1" allowOverlap="1" wp14:anchorId="2516BFAF" wp14:editId="74C4737D">
                  <wp:simplePos x="0" y="0"/>
                  <wp:positionH relativeFrom="column">
                    <wp:posOffset>82550</wp:posOffset>
                  </wp:positionH>
                  <wp:positionV relativeFrom="paragraph">
                    <wp:posOffset>13970</wp:posOffset>
                  </wp:positionV>
                  <wp:extent cx="251460" cy="251460"/>
                  <wp:effectExtent l="0" t="0" r="0" b="0"/>
                  <wp:wrapNone/>
                  <wp:docPr id="17" name="Obraz 17"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82160">
              <w:rPr>
                <w:sz w:val="20"/>
              </w:rPr>
              <w:t>glownyurzadstatystycznygus</w:t>
            </w:r>
            <w:proofErr w:type="spellEnd"/>
          </w:p>
        </w:tc>
      </w:tr>
      <w:tr w:rsidR="00882160" w:rsidRPr="00882160" w14:paraId="036AAA3B" w14:textId="77777777" w:rsidTr="009924EC">
        <w:trPr>
          <w:trHeight w:val="800"/>
        </w:trPr>
        <w:tc>
          <w:tcPr>
            <w:tcW w:w="4915" w:type="dxa"/>
          </w:tcPr>
          <w:p w14:paraId="4F50F70F" w14:textId="77777777" w:rsidR="00882160" w:rsidRPr="00882160" w:rsidRDefault="00882160" w:rsidP="00882160">
            <w:pPr>
              <w:spacing w:line="288" w:lineRule="auto"/>
              <w:rPr>
                <w:b/>
                <w:sz w:val="20"/>
              </w:rPr>
            </w:pPr>
          </w:p>
        </w:tc>
        <w:tc>
          <w:tcPr>
            <w:tcW w:w="4917" w:type="dxa"/>
          </w:tcPr>
          <w:p w14:paraId="7022D5A2" w14:textId="77777777" w:rsidR="00882160" w:rsidRPr="00882160" w:rsidRDefault="00882160" w:rsidP="00882160">
            <w:pPr>
              <w:spacing w:line="288" w:lineRule="auto"/>
              <w:ind w:firstLine="680"/>
              <w:rPr>
                <w:sz w:val="20"/>
              </w:rPr>
            </w:pPr>
            <w:r w:rsidRPr="00882160">
              <w:rPr>
                <w:noProof/>
                <w:sz w:val="20"/>
                <w:lang w:eastAsia="pl-PL"/>
              </w:rPr>
              <w:t>glownyurzadstatystyczny</w:t>
            </w:r>
            <w:r w:rsidRPr="00882160">
              <w:rPr>
                <w:noProof/>
                <w:sz w:val="20"/>
                <w:lang w:eastAsia="pl-PL"/>
              </w:rPr>
              <w:drawing>
                <wp:anchor distT="0" distB="0" distL="114300" distR="114300" simplePos="0" relativeHeight="251862016" behindDoc="0" locked="0" layoutInCell="1" allowOverlap="1" wp14:anchorId="2F8F773A" wp14:editId="2DDDA671">
                  <wp:simplePos x="0" y="0"/>
                  <wp:positionH relativeFrom="column">
                    <wp:posOffset>82550</wp:posOffset>
                  </wp:positionH>
                  <wp:positionV relativeFrom="paragraph">
                    <wp:posOffset>15240</wp:posOffset>
                  </wp:positionV>
                  <wp:extent cx="251460" cy="251460"/>
                  <wp:effectExtent l="0" t="0" r="0" b="0"/>
                  <wp:wrapNone/>
                  <wp:docPr id="19" name="Obraz 19"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bl>
    <w:p w14:paraId="6CFD89D3" w14:textId="77777777" w:rsidR="00882160" w:rsidRPr="00882160" w:rsidRDefault="00882160" w:rsidP="00882160">
      <w:pPr>
        <w:spacing w:line="288" w:lineRule="auto"/>
        <w:rPr>
          <w:sz w:val="18"/>
          <w:lang w:val="en-US"/>
        </w:rPr>
      </w:pPr>
    </w:p>
    <w:p w14:paraId="542D1B37" w14:textId="77777777" w:rsidR="00FD5ACE" w:rsidRPr="00882160" w:rsidRDefault="00FD5ACE" w:rsidP="00FD5ACE">
      <w:pPr>
        <w:rPr>
          <w:color w:val="FF0000"/>
          <w:sz w:val="18"/>
          <w:lang w:val="en-US"/>
        </w:r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931943" w:rsidRPr="0074165A" w14:paraId="7BBE6A5E" w14:textId="77777777" w:rsidTr="009C47DA">
        <w:trPr>
          <w:trHeight w:val="4114"/>
        </w:trPr>
        <w:tc>
          <w:tcPr>
            <w:tcW w:w="9853" w:type="dxa"/>
            <w:shd w:val="clear" w:color="auto" w:fill="D9D9D9" w:themeFill="background1" w:themeFillShade="D9"/>
          </w:tcPr>
          <w:p w14:paraId="5281503B" w14:textId="5A84B2F8" w:rsidR="00931943" w:rsidRPr="00882160" w:rsidRDefault="00882160" w:rsidP="00931943">
            <w:pPr>
              <w:shd w:val="clear" w:color="auto" w:fill="D9D9D9" w:themeFill="background1" w:themeFillShade="D9"/>
              <w:spacing w:before="360"/>
              <w:rPr>
                <w:b/>
                <w:color w:val="000000" w:themeColor="text1"/>
                <w:szCs w:val="24"/>
                <w:lang w:val="en-GB"/>
              </w:rPr>
            </w:pPr>
            <w:r w:rsidRPr="00882160">
              <w:rPr>
                <w:b/>
                <w:color w:val="000000" w:themeColor="text1"/>
                <w:szCs w:val="24"/>
                <w:lang w:val="en-GB"/>
              </w:rPr>
              <w:t>Data available in databases</w:t>
            </w:r>
          </w:p>
          <w:p w14:paraId="09BE2E81" w14:textId="77777777" w:rsidR="00882160" w:rsidRDefault="0074148F" w:rsidP="00882160">
            <w:pPr>
              <w:rPr>
                <w:rStyle w:val="Hipercze"/>
                <w:lang w:val="en-GB"/>
              </w:rPr>
            </w:pPr>
            <w:hyperlink r:id="rId26" w:tooltip="Link to Eurostat Database – Labour market" w:history="1">
              <w:r w:rsidR="00882160" w:rsidRPr="00882160">
                <w:rPr>
                  <w:rStyle w:val="Hipercze"/>
                  <w:lang w:val="en-GB"/>
                </w:rPr>
                <w:t>Eurostat Database – Labour market</w:t>
              </w:r>
            </w:hyperlink>
          </w:p>
          <w:p w14:paraId="5D1729EC" w14:textId="6DF91D43" w:rsidR="00FE2BF9" w:rsidRPr="00F419A8" w:rsidRDefault="0074148F" w:rsidP="00FE2BF9">
            <w:pPr>
              <w:rPr>
                <w:rFonts w:cs="Times New Roman"/>
                <w:lang w:val="en-GB"/>
              </w:rPr>
            </w:pPr>
            <w:hyperlink r:id="rId27" w:tooltip="Link to Knowledge Databases" w:history="1">
              <w:r w:rsidR="0028321B">
                <w:rPr>
                  <w:rStyle w:val="Hipercze"/>
                  <w:lang w:val="en-GB"/>
                </w:rPr>
                <w:t>Knowledge Databases</w:t>
              </w:r>
            </w:hyperlink>
          </w:p>
          <w:p w14:paraId="7EB767D4" w14:textId="77777777" w:rsidR="00FE2BF9" w:rsidRDefault="00FE2BF9" w:rsidP="00882160">
            <w:pPr>
              <w:rPr>
                <w:rFonts w:cs="Times New Roman"/>
                <w:lang w:val="en-GB"/>
              </w:rPr>
            </w:pPr>
          </w:p>
          <w:p w14:paraId="15211935" w14:textId="77777777" w:rsidR="00882160" w:rsidRDefault="00882160" w:rsidP="00882160">
            <w:pPr>
              <w:rPr>
                <w:rFonts w:cs="Times New Roman"/>
                <w:lang w:val="en-GB"/>
              </w:rPr>
            </w:pPr>
          </w:p>
          <w:p w14:paraId="1BB0B6C4" w14:textId="600AB07A" w:rsidR="00931943" w:rsidRPr="00882160" w:rsidRDefault="00882160" w:rsidP="00882160">
            <w:pPr>
              <w:rPr>
                <w:rFonts w:cs="Times New Roman"/>
                <w:lang w:val="en-GB"/>
              </w:rPr>
            </w:pPr>
            <w:r w:rsidRPr="00882160">
              <w:rPr>
                <w:b/>
                <w:color w:val="000000" w:themeColor="text1"/>
                <w:szCs w:val="24"/>
                <w:lang w:val="en-GB"/>
              </w:rPr>
              <w:t>Terms used in official statistics</w:t>
            </w:r>
          </w:p>
          <w:p w14:paraId="65603ACB" w14:textId="440308D5" w:rsidR="00931943" w:rsidRPr="006F4DD8" w:rsidRDefault="0074148F" w:rsidP="00931943">
            <w:pPr>
              <w:rPr>
                <w:rStyle w:val="Hipercze"/>
                <w:rFonts w:cstheme="minorBidi"/>
                <w:color w:val="auto"/>
                <w:u w:val="none"/>
                <w:lang w:val="en-GB"/>
              </w:rPr>
            </w:pPr>
            <w:hyperlink r:id="rId28" w:tooltip="Link to term Labour cost index" w:history="1">
              <w:r w:rsidR="006F4DD8" w:rsidRPr="006F4DD8">
                <w:rPr>
                  <w:rStyle w:val="Hipercze"/>
                  <w:lang w:val="en-GB"/>
                </w:rPr>
                <w:t>Labour cost index</w:t>
              </w:r>
            </w:hyperlink>
            <w:hyperlink r:id="rId29" w:tooltip="Link do danych w bazie..." w:history="1">
              <w:r w:rsidR="00931943" w:rsidRPr="006F4DD8">
                <w:rPr>
                  <w:rStyle w:val="Hipercze"/>
                  <w:lang w:val="en-GB"/>
                </w:rPr>
                <w:t xml:space="preserve"> </w:t>
              </w:r>
            </w:hyperlink>
          </w:p>
          <w:p w14:paraId="37BC636D" w14:textId="7AB60EBE" w:rsidR="00931943" w:rsidRPr="006F4DD8" w:rsidRDefault="0074148F" w:rsidP="00931943">
            <w:pPr>
              <w:rPr>
                <w:rStyle w:val="Hipercze"/>
                <w:lang w:val="en-GB"/>
              </w:rPr>
            </w:pPr>
            <w:hyperlink r:id="rId30" w:tooltip="Link to term Time worked" w:history="1">
              <w:r w:rsidR="006F4DD8" w:rsidRPr="006F4DD8">
                <w:rPr>
                  <w:rStyle w:val="Hipercze"/>
                  <w:lang w:val="en-GB"/>
                </w:rPr>
                <w:t>Time worked</w:t>
              </w:r>
            </w:hyperlink>
          </w:p>
          <w:p w14:paraId="513F12BB" w14:textId="76774326" w:rsidR="00931943" w:rsidRPr="006F4DD8" w:rsidRDefault="0074148F" w:rsidP="00931943">
            <w:pPr>
              <w:rPr>
                <w:rFonts w:cs="Times New Roman"/>
                <w:color w:val="0000FF"/>
                <w:u w:val="single"/>
                <w:lang w:val="en-GB"/>
              </w:rPr>
            </w:pPr>
            <w:hyperlink r:id="rId31" w:tooltip="Link to term Labour costs" w:history="1">
              <w:r w:rsidR="006F4DD8">
                <w:rPr>
                  <w:rStyle w:val="Hipercze"/>
                  <w:lang w:val="en-GB"/>
                </w:rPr>
                <w:t>Labour costs</w:t>
              </w:r>
            </w:hyperlink>
          </w:p>
        </w:tc>
      </w:tr>
    </w:tbl>
    <w:p w14:paraId="5303A191" w14:textId="6D462B1B" w:rsidR="00AA02A4" w:rsidRPr="006F4DD8" w:rsidRDefault="00AA02A4" w:rsidP="00AA02A4">
      <w:pPr>
        <w:rPr>
          <w:sz w:val="18"/>
          <w:lang w:val="en-GB"/>
        </w:rPr>
      </w:pPr>
    </w:p>
    <w:sectPr w:rsidR="00AA02A4" w:rsidRPr="006F4DD8" w:rsidSect="00AE4F99">
      <w:headerReference w:type="default" r:id="rId32"/>
      <w:pgSz w:w="11906" w:h="16838"/>
      <w:pgMar w:top="720" w:right="3119" w:bottom="720" w:left="720" w:header="170" w:footer="39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AA75DF" w16cid:durableId="2BA3BE65"/>
  <w16cid:commentId w16cid:paraId="03F1829B" w16cid:durableId="2BA3BE83"/>
  <w16cid:commentId w16cid:paraId="1EE6F31D" w16cid:durableId="2BA3BF55"/>
  <w16cid:commentId w16cid:paraId="056FB0C2" w16cid:durableId="2BA3B048"/>
  <w16cid:commentId w16cid:paraId="5C89CC66" w16cid:durableId="2BA3C4C5"/>
  <w16cid:commentId w16cid:paraId="040789B4" w16cid:durableId="2BA3C4B6"/>
  <w16cid:commentId w16cid:paraId="68369C09" w16cid:durableId="2BA3CA9C"/>
  <w16cid:commentId w16cid:paraId="0B6CDBD5" w16cid:durableId="2BA3C7F8"/>
  <w16cid:commentId w16cid:paraId="3C7832F7" w16cid:durableId="2BA3C5A8"/>
  <w16cid:commentId w16cid:paraId="77E14BD9" w16cid:durableId="2BA3C170"/>
  <w16cid:commentId w16cid:paraId="28D0E33C" w16cid:durableId="2BA3CAA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5567F" w14:textId="77777777" w:rsidR="00716571" w:rsidRDefault="00716571" w:rsidP="000662E2">
      <w:pPr>
        <w:spacing w:after="0" w:line="240" w:lineRule="auto"/>
      </w:pPr>
      <w:r>
        <w:separator/>
      </w:r>
    </w:p>
  </w:endnote>
  <w:endnote w:type="continuationSeparator" w:id="0">
    <w:p w14:paraId="6A6BFD77" w14:textId="77777777" w:rsidR="00716571" w:rsidRDefault="0071657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15028149-06AC-4775-915E-B6583F47B6A0}"/>
    <w:embedBold r:id="rId2" w:fontKey="{2017B05B-BB3B-40B7-ACF9-980469E268BF}"/>
    <w:embedItalic r:id="rId3" w:fontKey="{CCE7BACE-C6A4-4821-8CDA-DE8048158D99}"/>
  </w:font>
  <w:font w:name="Calibri">
    <w:panose1 w:val="020F0502020204030204"/>
    <w:charset w:val="EE"/>
    <w:family w:val="swiss"/>
    <w:pitch w:val="variable"/>
    <w:sig w:usb0="E4002EFF" w:usb1="C200247B" w:usb2="00000009" w:usb3="00000000" w:csb0="000001FF" w:csb1="00000000"/>
    <w:embedRegular r:id="rId4" w:fontKey="{648D0F2C-DFB6-4DDD-A5E2-895D857B6C44}"/>
  </w:font>
  <w:font w:name="Fira Sans Light">
    <w:panose1 w:val="020B0403050000020004"/>
    <w:charset w:val="EE"/>
    <w:family w:val="swiss"/>
    <w:pitch w:val="variable"/>
    <w:sig w:usb0="600002FF" w:usb1="02000001" w:usb2="00000000" w:usb3="00000000" w:csb0="0000019F" w:csb1="00000000"/>
    <w:embedRegular r:id="rId5" w:fontKey="{D3F1EBDD-4282-4993-894E-F0852EA3E15D}"/>
    <w:embedBold r:id="rId6" w:fontKey="{8DBAD19C-47F2-4AC0-BD7F-69FA94F09046}"/>
    <w:embedItalic r:id="rId7" w:fontKey="{B14B64F3-1A32-473D-9EA6-CDF754B43E4B}"/>
  </w:font>
  <w:font w:name="Fira Sans Medium">
    <w:panose1 w:val="020B0603050000020004"/>
    <w:charset w:val="EE"/>
    <w:family w:val="swiss"/>
    <w:pitch w:val="variable"/>
    <w:sig w:usb0="600002FF" w:usb1="02000001" w:usb2="00000000" w:usb3="00000000" w:csb0="0000019F" w:csb1="00000000"/>
    <w:embedRegular r:id="rId8" w:fontKey="{C88324B1-72BD-4FC4-B9F0-8B520A62ED75}"/>
    <w:embedItalic r:id="rId9" w:fontKey="{90E586B1-8DDF-4943-8DCE-775D736DDDFB}"/>
  </w:font>
  <w:font w:name="Segoe UI">
    <w:panose1 w:val="020B0502040204020203"/>
    <w:charset w:val="EE"/>
    <w:family w:val="swiss"/>
    <w:pitch w:val="variable"/>
    <w:sig w:usb0="E4002EFF" w:usb1="C000E47F" w:usb2="00000009" w:usb3="00000000" w:csb0="000001FF" w:csb1="00000000"/>
    <w:embedRegular r:id="rId10" w:fontKey="{C158182F-8CE3-4A53-991A-F6A827519017}"/>
  </w:font>
  <w:font w:name="Fira Sans Extra Condensed SemiB">
    <w:panose1 w:val="020B0603050000020004"/>
    <w:charset w:val="EE"/>
    <w:family w:val="swiss"/>
    <w:pitch w:val="variable"/>
    <w:sig w:usb0="600002FF" w:usb1="00000001" w:usb2="00000000" w:usb3="00000000" w:csb0="0000019F" w:csb1="00000000"/>
    <w:embedRegular r:id="rId11" w:fontKey="{55489F39-2CAB-452F-B51D-344C7AEABFF2}"/>
  </w:font>
  <w:font w:name="Fira Sans SemiBold">
    <w:altName w:val="Fira Sans SemiBold"/>
    <w:panose1 w:val="020B0603050000020004"/>
    <w:charset w:val="EE"/>
    <w:family w:val="swiss"/>
    <w:pitch w:val="variable"/>
    <w:sig w:usb0="600002FF" w:usb1="02000001" w:usb2="00000000" w:usb3="00000000" w:csb0="0000019F" w:csb1="00000000"/>
    <w:embedRegular r:id="rId12" w:fontKey="{C6EA1708-957D-4925-AFB0-9AB2F772343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embedItalic r:id="rId13" w:fontKey="{BB5C8ECA-CD7C-4109-A509-800F09AA392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573282"/>
      <w:docPartObj>
        <w:docPartGallery w:val="Page Numbers (Bottom of Page)"/>
        <w:docPartUnique/>
      </w:docPartObj>
    </w:sdtPr>
    <w:sdtEndPr/>
    <w:sdtContent>
      <w:p w14:paraId="48F777D2" w14:textId="6C6C7385" w:rsidR="009C47DA" w:rsidRDefault="009C47DA" w:rsidP="00604109">
        <w:pPr>
          <w:pStyle w:val="Stopka"/>
          <w:jc w:val="center"/>
        </w:pPr>
        <w:r>
          <w:fldChar w:fldCharType="begin"/>
        </w:r>
        <w:r>
          <w:instrText>PAGE   \* MERGEFORMAT</w:instrText>
        </w:r>
        <w:r>
          <w:fldChar w:fldCharType="separate"/>
        </w:r>
        <w:r w:rsidR="0074148F">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446251"/>
      <w:docPartObj>
        <w:docPartGallery w:val="Page Numbers (Bottom of Page)"/>
        <w:docPartUnique/>
      </w:docPartObj>
    </w:sdtPr>
    <w:sdtEndPr/>
    <w:sdtContent>
      <w:p w14:paraId="182ABE6D" w14:textId="6DD23EF8" w:rsidR="009C47DA" w:rsidRDefault="009C47DA" w:rsidP="00B16FD7">
        <w:pPr>
          <w:pStyle w:val="Stopka"/>
          <w:jc w:val="center"/>
        </w:pPr>
        <w:r>
          <w:fldChar w:fldCharType="begin"/>
        </w:r>
        <w:r>
          <w:instrText>PAGE   \* MERGEFORMAT</w:instrText>
        </w:r>
        <w:r>
          <w:fldChar w:fldCharType="separate"/>
        </w:r>
        <w:r w:rsidR="0074148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17479" w14:textId="77777777" w:rsidR="00716571" w:rsidRDefault="00716571" w:rsidP="000662E2">
      <w:pPr>
        <w:spacing w:after="0" w:line="240" w:lineRule="auto"/>
      </w:pPr>
      <w:r>
        <w:separator/>
      </w:r>
    </w:p>
  </w:footnote>
  <w:footnote w:type="continuationSeparator" w:id="0">
    <w:p w14:paraId="066CB78C" w14:textId="77777777" w:rsidR="00716571" w:rsidRDefault="00716571"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1BC00" w14:textId="77777777" w:rsidR="009C47DA" w:rsidRDefault="009C47DA">
    <w:pPr>
      <w:pStyle w:val="Nagwek"/>
    </w:pPr>
    <w:r>
      <w:rPr>
        <w:noProof/>
        <w:lang w:eastAsia="pl-PL"/>
      </w:rPr>
      <mc:AlternateContent>
        <mc:Choice Requires="wps">
          <w:drawing>
            <wp:anchor distT="0" distB="0" distL="114300" distR="114300" simplePos="0" relativeHeight="251662336" behindDoc="1" locked="0" layoutInCell="1" allowOverlap="1" wp14:anchorId="3073B385" wp14:editId="61BAD17A">
              <wp:simplePos x="0" y="0"/>
              <wp:positionH relativeFrom="column">
                <wp:posOffset>5214620</wp:posOffset>
              </wp:positionH>
              <wp:positionV relativeFrom="paragraph">
                <wp:posOffset>-178435</wp:posOffset>
              </wp:positionV>
              <wp:extent cx="1874520" cy="22680295"/>
              <wp:effectExtent l="0" t="0" r="0" b="0"/>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B534B8"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" fillcolor="#f2f2f2 [3052]" stroked="f" strokeweight="1pt"/>
          </w:pict>
        </mc:Fallback>
      </mc:AlternateContent>
    </w:r>
  </w:p>
  <w:p w14:paraId="76D6496D" w14:textId="77777777" w:rsidR="009C47DA" w:rsidRDefault="009C47DA">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8BA63" w14:textId="77777777" w:rsidR="009C47DA" w:rsidRDefault="009C47DA" w:rsidP="003716BF">
    <w:pPr>
      <w:pStyle w:val="Nagwek"/>
      <w:rPr>
        <w:noProof/>
        <w:lang w:eastAsia="pl-PL"/>
      </w:rPr>
    </w:pPr>
    <w:r>
      <w:rPr>
        <w:noProof/>
        <w:lang w:eastAsia="pl-PL"/>
      </w:rPr>
      <mc:AlternateContent>
        <mc:Choice Requires="wps">
          <w:drawing>
            <wp:anchor distT="0" distB="0" distL="114300" distR="114300" simplePos="0" relativeHeight="251669504" behindDoc="0" locked="0" layoutInCell="1" allowOverlap="1" wp14:anchorId="57031F31" wp14:editId="7018FC23">
              <wp:simplePos x="0" y="0"/>
              <wp:positionH relativeFrom="column">
                <wp:posOffset>5036820</wp:posOffset>
              </wp:positionH>
              <wp:positionV relativeFrom="paragraph">
                <wp:posOffset>198755</wp:posOffset>
              </wp:positionV>
              <wp:extent cx="2060575" cy="357505"/>
              <wp:effectExtent l="0" t="0" r="0" b="0"/>
              <wp:wrapNone/>
              <wp:docPr id="31" name="Schemat blokowy: opóźnienie 6" descr="The writing 'News releases'" title="Name of the publishing seri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20860" w14:textId="44F8595F" w:rsidR="009C47DA" w:rsidRPr="003C6C8D" w:rsidRDefault="006B33E4" w:rsidP="003716BF">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31F31" id="Schemat blokowy: opóźnienie 6" o:spid="_x0000_s1029" alt="Tytuł: Name of the publishing series — opis: The writing 'News releases'" style="position:absolute;margin-left:396.6pt;margin-top:15.65pt;width:162.25pt;height:28.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EC20860" w14:textId="44F8595F" w:rsidR="009C47DA" w:rsidRPr="003C6C8D" w:rsidRDefault="006B33E4" w:rsidP="003716BF">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8480" behindDoc="1" locked="0" layoutInCell="1" allowOverlap="1" wp14:anchorId="34E03DAB" wp14:editId="19AA9AC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92" name="Prostokąt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772943" id="Prostokąt 192" o:spid="_x0000_s1026" style="position:absolute;margin-left:410.95pt;margin-top:40.3pt;width:147.4pt;height:180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" fillcolor="#f2f2f2" stroked="f" strokeweight="1pt">
              <w10:wrap type="tight"/>
            </v:rect>
          </w:pict>
        </mc:Fallback>
      </mc:AlternateContent>
    </w:r>
    <w:r>
      <w:rPr>
        <w:noProof/>
        <w:lang w:eastAsia="pl-PL"/>
      </w:rPr>
      <w:t xml:space="preserve"> </w:t>
    </w:r>
    <w:r w:rsidRPr="00540C5C">
      <w:rPr>
        <w:noProof/>
      </w:rPr>
      <w:t xml:space="preserve"> </w:t>
    </w:r>
    <w:r w:rsidRPr="003D7A38">
      <w:rPr>
        <w:noProof/>
        <w:lang w:eastAsia="pl-PL"/>
      </w:rPr>
      <w:drawing>
        <wp:inline distT="0" distB="0" distL="0" distR="0" wp14:anchorId="41013723" wp14:editId="4E164A12">
          <wp:extent cx="1447137" cy="575841"/>
          <wp:effectExtent l="0" t="0" r="0" b="0"/>
          <wp:docPr id="13" name="Obraz 3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logog-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8661" cy="584406"/>
                  </a:xfrm>
                  <a:prstGeom prst="rect">
                    <a:avLst/>
                  </a:prstGeom>
                  <a:noFill/>
                  <a:ln>
                    <a:noFill/>
                  </a:ln>
                </pic:spPr>
              </pic:pic>
            </a:graphicData>
          </a:graphic>
        </wp:inline>
      </w:drawing>
    </w:r>
  </w:p>
  <w:p w14:paraId="4D9355CF" w14:textId="77777777" w:rsidR="009C47DA" w:rsidRDefault="009C47DA">
    <w:pPr>
      <w:pStyle w:val="Nagwek"/>
      <w:rPr>
        <w:noProof/>
        <w:lang w:eastAsia="pl-PL"/>
      </w:rPr>
    </w:pPr>
    <w:r>
      <w:rPr>
        <w:noProof/>
        <w:lang w:eastAsia="pl-PL"/>
      </w:rPr>
      <mc:AlternateContent>
        <mc:Choice Requires="wps">
          <w:drawing>
            <wp:anchor distT="45720" distB="45720" distL="114300" distR="114300" simplePos="0" relativeHeight="251670528" behindDoc="0" locked="0" layoutInCell="1" allowOverlap="1" wp14:anchorId="1716744E" wp14:editId="0B03497F">
              <wp:simplePos x="0" y="0"/>
              <wp:positionH relativeFrom="column">
                <wp:posOffset>5288280</wp:posOffset>
              </wp:positionH>
              <wp:positionV relativeFrom="paragraph">
                <wp:posOffset>266065</wp:posOffset>
              </wp:positionV>
              <wp:extent cx="1432560" cy="336550"/>
              <wp:effectExtent l="0" t="0" r="0" b="0"/>
              <wp:wrapNone/>
              <wp:docPr id="193" name="Pole tekstowe 2" descr="Date of publication of the news release 17 April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474D562D" w14:textId="72A70DBF" w:rsidR="009C47DA" w:rsidRPr="00A01B40" w:rsidRDefault="004E4839" w:rsidP="003716BF">
                          <w:pPr>
                            <w:pStyle w:val="Datainformacjisygnalnej"/>
                          </w:pPr>
                          <w:r>
                            <w:t>17</w:t>
                          </w:r>
                          <w:r w:rsidR="006B33E4">
                            <w:t>.04.2025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16744E" id="_x0000_t202" coordsize="21600,21600" o:spt="202" path="m,l,21600r21600,l21600,xe">
              <v:stroke joinstyle="miter"/>
              <v:path gradientshapeok="t" o:connecttype="rect"/>
            </v:shapetype>
            <v:shape id="_x0000_s1030" type="#_x0000_t202" alt="Date of publication of the news release 17 April 2025" style="position:absolute;margin-left:416.4pt;margin-top:20.95pt;width:112.8pt;height:2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" filled="f" stroked="f">
              <v:textbox>
                <w:txbxContent>
                  <w:p w14:paraId="474D562D" w14:textId="72A70DBF" w:rsidR="009C47DA" w:rsidRPr="00A01B40" w:rsidRDefault="004E4839" w:rsidP="003716BF">
                    <w:pPr>
                      <w:pStyle w:val="Datainformacjisygnalnej"/>
                    </w:pPr>
                    <w:r>
                      <w:t>17</w:t>
                    </w:r>
                    <w:r w:rsidR="006B33E4">
                      <w:t>.04.2025</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5AAFDF2" wp14:editId="1BDD0170">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2"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7D91B1"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jmpgIAAKI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" fillcolor="#f2f2f2" stroked="f" strokeweight="1pt">
              <w10:wrap type="tight"/>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78967" w14:textId="77777777" w:rsidR="009C47DA" w:rsidRDefault="009C47DA">
    <w:pPr>
      <w:pStyle w:val="Nagwek"/>
    </w:pPr>
  </w:p>
  <w:p w14:paraId="5DAEF0BC" w14:textId="77777777" w:rsidR="009C47DA" w:rsidRDefault="009C47DA">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95pt;height:125.55pt;visibility:visible" o:bullet="t">
        <v:imagedata r:id="rId1" o:title=""/>
      </v:shape>
    </w:pict>
  </w:numPicBullet>
  <w:numPicBullet w:numPicBulletId="1">
    <w:pict>
      <v:shape id="_x0000_i1031" type="#_x0000_t75" style="width:123.95pt;height:125.55pt;visibility:visible" o:bullet="t">
        <v:imagedata r:id="rId2" o:title=""/>
      </v:shape>
    </w:pict>
  </w:numPicBullet>
  <w:abstractNum w:abstractNumId="0" w15:restartNumberingAfterBreak="0">
    <w:nsid w:val="004F00E6"/>
    <w:multiLevelType w:val="hybridMultilevel"/>
    <w:tmpl w:val="29C0354E"/>
    <w:lvl w:ilvl="0" w:tplc="04150001">
      <w:start w:val="1"/>
      <w:numFmt w:val="bullet"/>
      <w:lvlText w:val=""/>
      <w:lvlJc w:val="left"/>
      <w:pPr>
        <w:ind w:left="2023" w:hanging="360"/>
      </w:pPr>
      <w:rPr>
        <w:rFonts w:ascii="Symbol" w:hAnsi="Symbol" w:hint="default"/>
      </w:rPr>
    </w:lvl>
    <w:lvl w:ilvl="1" w:tplc="04150003" w:tentative="1">
      <w:start w:val="1"/>
      <w:numFmt w:val="bullet"/>
      <w:lvlText w:val="o"/>
      <w:lvlJc w:val="left"/>
      <w:pPr>
        <w:ind w:left="2743" w:hanging="360"/>
      </w:pPr>
      <w:rPr>
        <w:rFonts w:ascii="Courier New" w:hAnsi="Courier New" w:cs="Courier New" w:hint="default"/>
      </w:rPr>
    </w:lvl>
    <w:lvl w:ilvl="2" w:tplc="04150005" w:tentative="1">
      <w:start w:val="1"/>
      <w:numFmt w:val="bullet"/>
      <w:lvlText w:val=""/>
      <w:lvlJc w:val="left"/>
      <w:pPr>
        <w:ind w:left="3463" w:hanging="360"/>
      </w:pPr>
      <w:rPr>
        <w:rFonts w:ascii="Wingdings" w:hAnsi="Wingdings" w:hint="default"/>
      </w:rPr>
    </w:lvl>
    <w:lvl w:ilvl="3" w:tplc="04150001" w:tentative="1">
      <w:start w:val="1"/>
      <w:numFmt w:val="bullet"/>
      <w:lvlText w:val=""/>
      <w:lvlJc w:val="left"/>
      <w:pPr>
        <w:ind w:left="4183" w:hanging="360"/>
      </w:pPr>
      <w:rPr>
        <w:rFonts w:ascii="Symbol" w:hAnsi="Symbol" w:hint="default"/>
      </w:rPr>
    </w:lvl>
    <w:lvl w:ilvl="4" w:tplc="04150003" w:tentative="1">
      <w:start w:val="1"/>
      <w:numFmt w:val="bullet"/>
      <w:lvlText w:val="o"/>
      <w:lvlJc w:val="left"/>
      <w:pPr>
        <w:ind w:left="4903" w:hanging="360"/>
      </w:pPr>
      <w:rPr>
        <w:rFonts w:ascii="Courier New" w:hAnsi="Courier New" w:cs="Courier New" w:hint="default"/>
      </w:rPr>
    </w:lvl>
    <w:lvl w:ilvl="5" w:tplc="04150005" w:tentative="1">
      <w:start w:val="1"/>
      <w:numFmt w:val="bullet"/>
      <w:lvlText w:val=""/>
      <w:lvlJc w:val="left"/>
      <w:pPr>
        <w:ind w:left="5623" w:hanging="360"/>
      </w:pPr>
      <w:rPr>
        <w:rFonts w:ascii="Wingdings" w:hAnsi="Wingdings" w:hint="default"/>
      </w:rPr>
    </w:lvl>
    <w:lvl w:ilvl="6" w:tplc="04150001" w:tentative="1">
      <w:start w:val="1"/>
      <w:numFmt w:val="bullet"/>
      <w:lvlText w:val=""/>
      <w:lvlJc w:val="left"/>
      <w:pPr>
        <w:ind w:left="6343" w:hanging="360"/>
      </w:pPr>
      <w:rPr>
        <w:rFonts w:ascii="Symbol" w:hAnsi="Symbol" w:hint="default"/>
      </w:rPr>
    </w:lvl>
    <w:lvl w:ilvl="7" w:tplc="04150003" w:tentative="1">
      <w:start w:val="1"/>
      <w:numFmt w:val="bullet"/>
      <w:lvlText w:val="o"/>
      <w:lvlJc w:val="left"/>
      <w:pPr>
        <w:ind w:left="7063" w:hanging="360"/>
      </w:pPr>
      <w:rPr>
        <w:rFonts w:ascii="Courier New" w:hAnsi="Courier New" w:cs="Courier New" w:hint="default"/>
      </w:rPr>
    </w:lvl>
    <w:lvl w:ilvl="8" w:tplc="04150005" w:tentative="1">
      <w:start w:val="1"/>
      <w:numFmt w:val="bullet"/>
      <w:lvlText w:val=""/>
      <w:lvlJc w:val="left"/>
      <w:pPr>
        <w:ind w:left="778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0A2614"/>
    <w:multiLevelType w:val="hybridMultilevel"/>
    <w:tmpl w:val="026ADFD4"/>
    <w:lvl w:ilvl="0" w:tplc="0415000B">
      <w:start w:val="1"/>
      <w:numFmt w:val="bullet"/>
      <w:lvlText w:val=""/>
      <w:lvlJc w:val="left"/>
      <w:pPr>
        <w:tabs>
          <w:tab w:val="num" w:pos="1429"/>
        </w:tabs>
        <w:ind w:left="1429" w:hanging="360"/>
      </w:pPr>
      <w:rPr>
        <w:rFonts w:ascii="Wingdings" w:hAnsi="Wingdings" w:cs="Wingdings" w:hint="default"/>
      </w:rPr>
    </w:lvl>
    <w:lvl w:ilvl="1" w:tplc="9446D4B4">
      <w:start w:val="1"/>
      <w:numFmt w:val="bullet"/>
      <w:lvlText w:val=""/>
      <w:lvlJc w:val="left"/>
      <w:pPr>
        <w:tabs>
          <w:tab w:val="num" w:pos="1792"/>
        </w:tabs>
        <w:ind w:left="2149" w:hanging="360"/>
      </w:pPr>
      <w:rPr>
        <w:rFonts w:ascii="Symbol" w:hAnsi="Symbol" w:cs="Symbol" w:hint="default"/>
        <w:color w:val="auto"/>
        <w:sz w:val="20"/>
        <w:szCs w:val="20"/>
      </w:rPr>
    </w:lvl>
    <w:lvl w:ilvl="2" w:tplc="04150005">
      <w:start w:val="1"/>
      <w:numFmt w:val="bullet"/>
      <w:lvlText w:val=""/>
      <w:lvlJc w:val="left"/>
      <w:pPr>
        <w:tabs>
          <w:tab w:val="num" w:pos="2869"/>
        </w:tabs>
        <w:ind w:left="2869" w:hanging="360"/>
      </w:pPr>
      <w:rPr>
        <w:rFonts w:ascii="Wingdings" w:hAnsi="Wingdings" w:cs="Wingdings" w:hint="default"/>
      </w:rPr>
    </w:lvl>
    <w:lvl w:ilvl="3" w:tplc="04150001">
      <w:start w:val="1"/>
      <w:numFmt w:val="bullet"/>
      <w:lvlText w:val=""/>
      <w:lvlJc w:val="left"/>
      <w:pPr>
        <w:tabs>
          <w:tab w:val="num" w:pos="3589"/>
        </w:tabs>
        <w:ind w:left="3589" w:hanging="360"/>
      </w:pPr>
      <w:rPr>
        <w:rFonts w:ascii="Symbol" w:hAnsi="Symbol" w:cs="Symbol" w:hint="default"/>
      </w:rPr>
    </w:lvl>
    <w:lvl w:ilvl="4" w:tplc="04150003">
      <w:start w:val="1"/>
      <w:numFmt w:val="bullet"/>
      <w:lvlText w:val="o"/>
      <w:lvlJc w:val="left"/>
      <w:pPr>
        <w:tabs>
          <w:tab w:val="num" w:pos="4309"/>
        </w:tabs>
        <w:ind w:left="4309" w:hanging="360"/>
      </w:pPr>
      <w:rPr>
        <w:rFonts w:ascii="Courier New" w:hAnsi="Courier New" w:cs="Courier New" w:hint="default"/>
      </w:rPr>
    </w:lvl>
    <w:lvl w:ilvl="5" w:tplc="04150005">
      <w:start w:val="1"/>
      <w:numFmt w:val="bullet"/>
      <w:lvlText w:val=""/>
      <w:lvlJc w:val="left"/>
      <w:pPr>
        <w:tabs>
          <w:tab w:val="num" w:pos="5029"/>
        </w:tabs>
        <w:ind w:left="5029" w:hanging="360"/>
      </w:pPr>
      <w:rPr>
        <w:rFonts w:ascii="Wingdings" w:hAnsi="Wingdings" w:cs="Wingdings" w:hint="default"/>
      </w:rPr>
    </w:lvl>
    <w:lvl w:ilvl="6" w:tplc="04150001">
      <w:start w:val="1"/>
      <w:numFmt w:val="bullet"/>
      <w:lvlText w:val=""/>
      <w:lvlJc w:val="left"/>
      <w:pPr>
        <w:tabs>
          <w:tab w:val="num" w:pos="5749"/>
        </w:tabs>
        <w:ind w:left="5749" w:hanging="360"/>
      </w:pPr>
      <w:rPr>
        <w:rFonts w:ascii="Symbol" w:hAnsi="Symbol" w:cs="Symbol" w:hint="default"/>
      </w:rPr>
    </w:lvl>
    <w:lvl w:ilvl="7" w:tplc="04150003">
      <w:start w:val="1"/>
      <w:numFmt w:val="bullet"/>
      <w:lvlText w:val="o"/>
      <w:lvlJc w:val="left"/>
      <w:pPr>
        <w:tabs>
          <w:tab w:val="num" w:pos="6469"/>
        </w:tabs>
        <w:ind w:left="6469" w:hanging="360"/>
      </w:pPr>
      <w:rPr>
        <w:rFonts w:ascii="Courier New" w:hAnsi="Courier New" w:cs="Courier New" w:hint="default"/>
      </w:rPr>
    </w:lvl>
    <w:lvl w:ilvl="8" w:tplc="04150005">
      <w:start w:val="1"/>
      <w:numFmt w:val="bullet"/>
      <w:lvlText w:val=""/>
      <w:lvlJc w:val="left"/>
      <w:pPr>
        <w:tabs>
          <w:tab w:val="num" w:pos="7189"/>
        </w:tabs>
        <w:ind w:left="7189" w:hanging="360"/>
      </w:pPr>
      <w:rPr>
        <w:rFonts w:ascii="Wingdings" w:hAnsi="Wingdings" w:cs="Wingdings" w:hint="default"/>
      </w:rPr>
    </w:lvl>
  </w:abstractNum>
  <w:abstractNum w:abstractNumId="3" w15:restartNumberingAfterBreak="0">
    <w:nsid w:val="1B041FDF"/>
    <w:multiLevelType w:val="hybridMultilevel"/>
    <w:tmpl w:val="EF8ECA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7F86D05"/>
    <w:multiLevelType w:val="hybridMultilevel"/>
    <w:tmpl w:val="5EA8D244"/>
    <w:lvl w:ilvl="0" w:tplc="04150001">
      <w:start w:val="1"/>
      <w:numFmt w:val="bullet"/>
      <w:lvlText w:val=""/>
      <w:lvlJc w:val="left"/>
      <w:pPr>
        <w:ind w:left="1663" w:hanging="360"/>
      </w:pPr>
      <w:rPr>
        <w:rFonts w:ascii="Symbol" w:hAnsi="Symbol" w:hint="default"/>
      </w:rPr>
    </w:lvl>
    <w:lvl w:ilvl="1" w:tplc="04150003" w:tentative="1">
      <w:start w:val="1"/>
      <w:numFmt w:val="bullet"/>
      <w:lvlText w:val="o"/>
      <w:lvlJc w:val="left"/>
      <w:pPr>
        <w:ind w:left="2383" w:hanging="360"/>
      </w:pPr>
      <w:rPr>
        <w:rFonts w:ascii="Courier New" w:hAnsi="Courier New" w:cs="Courier New" w:hint="default"/>
      </w:rPr>
    </w:lvl>
    <w:lvl w:ilvl="2" w:tplc="04150005" w:tentative="1">
      <w:start w:val="1"/>
      <w:numFmt w:val="bullet"/>
      <w:lvlText w:val=""/>
      <w:lvlJc w:val="left"/>
      <w:pPr>
        <w:ind w:left="3103" w:hanging="360"/>
      </w:pPr>
      <w:rPr>
        <w:rFonts w:ascii="Wingdings" w:hAnsi="Wingdings" w:hint="default"/>
      </w:rPr>
    </w:lvl>
    <w:lvl w:ilvl="3" w:tplc="04150001" w:tentative="1">
      <w:start w:val="1"/>
      <w:numFmt w:val="bullet"/>
      <w:lvlText w:val=""/>
      <w:lvlJc w:val="left"/>
      <w:pPr>
        <w:ind w:left="3823" w:hanging="360"/>
      </w:pPr>
      <w:rPr>
        <w:rFonts w:ascii="Symbol" w:hAnsi="Symbol" w:hint="default"/>
      </w:rPr>
    </w:lvl>
    <w:lvl w:ilvl="4" w:tplc="04150003" w:tentative="1">
      <w:start w:val="1"/>
      <w:numFmt w:val="bullet"/>
      <w:lvlText w:val="o"/>
      <w:lvlJc w:val="left"/>
      <w:pPr>
        <w:ind w:left="4543" w:hanging="360"/>
      </w:pPr>
      <w:rPr>
        <w:rFonts w:ascii="Courier New" w:hAnsi="Courier New" w:cs="Courier New" w:hint="default"/>
      </w:rPr>
    </w:lvl>
    <w:lvl w:ilvl="5" w:tplc="04150005" w:tentative="1">
      <w:start w:val="1"/>
      <w:numFmt w:val="bullet"/>
      <w:lvlText w:val=""/>
      <w:lvlJc w:val="left"/>
      <w:pPr>
        <w:ind w:left="5263" w:hanging="360"/>
      </w:pPr>
      <w:rPr>
        <w:rFonts w:ascii="Wingdings" w:hAnsi="Wingdings" w:hint="default"/>
      </w:rPr>
    </w:lvl>
    <w:lvl w:ilvl="6" w:tplc="04150001" w:tentative="1">
      <w:start w:val="1"/>
      <w:numFmt w:val="bullet"/>
      <w:lvlText w:val=""/>
      <w:lvlJc w:val="left"/>
      <w:pPr>
        <w:ind w:left="5983" w:hanging="360"/>
      </w:pPr>
      <w:rPr>
        <w:rFonts w:ascii="Symbol" w:hAnsi="Symbol" w:hint="default"/>
      </w:rPr>
    </w:lvl>
    <w:lvl w:ilvl="7" w:tplc="04150003" w:tentative="1">
      <w:start w:val="1"/>
      <w:numFmt w:val="bullet"/>
      <w:lvlText w:val="o"/>
      <w:lvlJc w:val="left"/>
      <w:pPr>
        <w:ind w:left="6703" w:hanging="360"/>
      </w:pPr>
      <w:rPr>
        <w:rFonts w:ascii="Courier New" w:hAnsi="Courier New" w:cs="Courier New" w:hint="default"/>
      </w:rPr>
    </w:lvl>
    <w:lvl w:ilvl="8" w:tplc="04150005" w:tentative="1">
      <w:start w:val="1"/>
      <w:numFmt w:val="bullet"/>
      <w:lvlText w:val=""/>
      <w:lvlJc w:val="left"/>
      <w:pPr>
        <w:ind w:left="7423" w:hanging="360"/>
      </w:pPr>
      <w:rPr>
        <w:rFonts w:ascii="Wingdings" w:hAnsi="Wingdings" w:hint="default"/>
      </w:rPr>
    </w:lvl>
  </w:abstractNum>
  <w:abstractNum w:abstractNumId="7" w15:restartNumberingAfterBreak="0">
    <w:nsid w:val="5BF75064"/>
    <w:multiLevelType w:val="hybridMultilevel"/>
    <w:tmpl w:val="844CFE16"/>
    <w:lvl w:ilvl="0" w:tplc="64D48F7A">
      <w:start w:val="1"/>
      <w:numFmt w:val="bullet"/>
      <w:lvlText w:val="—"/>
      <w:lvlJc w:val="left"/>
      <w:pPr>
        <w:tabs>
          <w:tab w:val="num" w:pos="502"/>
        </w:tabs>
        <w:ind w:left="502" w:hanging="360"/>
      </w:pPr>
      <w:rPr>
        <w:rFonts w:ascii="Calibri" w:hAnsi="Calibri" w:cs="Wingdings" w:hint="default"/>
      </w:rPr>
    </w:lvl>
    <w:lvl w:ilvl="1" w:tplc="44E8C354">
      <w:start w:val="1"/>
      <w:numFmt w:val="bullet"/>
      <w:lvlText w:val=""/>
      <w:lvlJc w:val="left"/>
      <w:pPr>
        <w:tabs>
          <w:tab w:val="num" w:pos="1222"/>
        </w:tabs>
        <w:ind w:left="1222" w:hanging="360"/>
      </w:pPr>
      <w:rPr>
        <w:rFonts w:ascii="Symbol" w:hAnsi="Symbol" w:cs="Symbol" w:hint="default"/>
        <w:color w:val="auto"/>
        <w:sz w:val="20"/>
        <w:szCs w:val="20"/>
      </w:rPr>
    </w:lvl>
    <w:lvl w:ilvl="2" w:tplc="04150005">
      <w:start w:val="1"/>
      <w:numFmt w:val="bullet"/>
      <w:lvlText w:val=""/>
      <w:lvlJc w:val="left"/>
      <w:pPr>
        <w:tabs>
          <w:tab w:val="num" w:pos="1942"/>
        </w:tabs>
        <w:ind w:left="1942" w:hanging="360"/>
      </w:pPr>
      <w:rPr>
        <w:rFonts w:ascii="Wingdings" w:hAnsi="Wingdings" w:cs="Wingdings" w:hint="default"/>
      </w:rPr>
    </w:lvl>
    <w:lvl w:ilvl="3" w:tplc="04150001">
      <w:start w:val="1"/>
      <w:numFmt w:val="bullet"/>
      <w:lvlText w:val=""/>
      <w:lvlJc w:val="left"/>
      <w:pPr>
        <w:tabs>
          <w:tab w:val="num" w:pos="2662"/>
        </w:tabs>
        <w:ind w:left="2662" w:hanging="360"/>
      </w:pPr>
      <w:rPr>
        <w:rFonts w:ascii="Symbol" w:hAnsi="Symbol" w:cs="Symbol" w:hint="default"/>
      </w:rPr>
    </w:lvl>
    <w:lvl w:ilvl="4" w:tplc="04150003">
      <w:start w:val="1"/>
      <w:numFmt w:val="bullet"/>
      <w:lvlText w:val="o"/>
      <w:lvlJc w:val="left"/>
      <w:pPr>
        <w:tabs>
          <w:tab w:val="num" w:pos="3382"/>
        </w:tabs>
        <w:ind w:left="3382" w:hanging="360"/>
      </w:pPr>
      <w:rPr>
        <w:rFonts w:ascii="Courier New" w:hAnsi="Courier New" w:cs="Courier New" w:hint="default"/>
      </w:rPr>
    </w:lvl>
    <w:lvl w:ilvl="5" w:tplc="04150005">
      <w:start w:val="1"/>
      <w:numFmt w:val="bullet"/>
      <w:lvlText w:val=""/>
      <w:lvlJc w:val="left"/>
      <w:pPr>
        <w:tabs>
          <w:tab w:val="num" w:pos="4102"/>
        </w:tabs>
        <w:ind w:left="4102" w:hanging="360"/>
      </w:pPr>
      <w:rPr>
        <w:rFonts w:ascii="Wingdings" w:hAnsi="Wingdings" w:cs="Wingdings" w:hint="default"/>
      </w:rPr>
    </w:lvl>
    <w:lvl w:ilvl="6" w:tplc="04150001">
      <w:start w:val="1"/>
      <w:numFmt w:val="bullet"/>
      <w:lvlText w:val=""/>
      <w:lvlJc w:val="left"/>
      <w:pPr>
        <w:tabs>
          <w:tab w:val="num" w:pos="4822"/>
        </w:tabs>
        <w:ind w:left="4822" w:hanging="360"/>
      </w:pPr>
      <w:rPr>
        <w:rFonts w:ascii="Symbol" w:hAnsi="Symbol" w:cs="Symbol" w:hint="default"/>
      </w:rPr>
    </w:lvl>
    <w:lvl w:ilvl="7" w:tplc="04150003">
      <w:start w:val="1"/>
      <w:numFmt w:val="bullet"/>
      <w:lvlText w:val="o"/>
      <w:lvlJc w:val="left"/>
      <w:pPr>
        <w:tabs>
          <w:tab w:val="num" w:pos="5542"/>
        </w:tabs>
        <w:ind w:left="5542" w:hanging="360"/>
      </w:pPr>
      <w:rPr>
        <w:rFonts w:ascii="Courier New" w:hAnsi="Courier New" w:cs="Courier New" w:hint="default"/>
      </w:rPr>
    </w:lvl>
    <w:lvl w:ilvl="8" w:tplc="04150005">
      <w:start w:val="1"/>
      <w:numFmt w:val="bullet"/>
      <w:lvlText w:val=""/>
      <w:lvlJc w:val="left"/>
      <w:pPr>
        <w:tabs>
          <w:tab w:val="num" w:pos="6262"/>
        </w:tabs>
        <w:ind w:left="6262" w:hanging="360"/>
      </w:pPr>
      <w:rPr>
        <w:rFonts w:ascii="Wingdings" w:hAnsi="Wingdings" w:cs="Wingdings" w:hint="default"/>
      </w:rPr>
    </w:lvl>
  </w:abstractNum>
  <w:abstractNum w:abstractNumId="8" w15:restartNumberingAfterBreak="0">
    <w:nsid w:val="6A9D53F4"/>
    <w:multiLevelType w:val="hybridMultilevel"/>
    <w:tmpl w:val="E69C9202"/>
    <w:lvl w:ilvl="0" w:tplc="0415000B">
      <w:start w:val="1"/>
      <w:numFmt w:val="bullet"/>
      <w:lvlText w:val=""/>
      <w:lvlJc w:val="left"/>
      <w:pPr>
        <w:tabs>
          <w:tab w:val="num" w:pos="1663"/>
        </w:tabs>
        <w:ind w:left="1663" w:hanging="360"/>
      </w:pPr>
      <w:rPr>
        <w:rFonts w:ascii="Wingdings" w:hAnsi="Wingdings" w:cs="Wingdings" w:hint="default"/>
      </w:rPr>
    </w:lvl>
    <w:lvl w:ilvl="1" w:tplc="1A405A7E">
      <w:start w:val="1"/>
      <w:numFmt w:val="bullet"/>
      <w:lvlText w:val=""/>
      <w:lvlJc w:val="left"/>
      <w:pPr>
        <w:tabs>
          <w:tab w:val="num" w:pos="2383"/>
        </w:tabs>
        <w:ind w:left="2383" w:hanging="360"/>
      </w:pPr>
      <w:rPr>
        <w:rFonts w:ascii="Symbol" w:hAnsi="Symbol" w:cs="Symbol" w:hint="default"/>
        <w:color w:val="auto"/>
        <w:sz w:val="20"/>
        <w:szCs w:val="20"/>
      </w:rPr>
    </w:lvl>
    <w:lvl w:ilvl="2" w:tplc="04150005">
      <w:start w:val="1"/>
      <w:numFmt w:val="bullet"/>
      <w:lvlText w:val=""/>
      <w:lvlJc w:val="left"/>
      <w:pPr>
        <w:tabs>
          <w:tab w:val="num" w:pos="3103"/>
        </w:tabs>
        <w:ind w:left="3103" w:hanging="360"/>
      </w:pPr>
      <w:rPr>
        <w:rFonts w:ascii="Wingdings" w:hAnsi="Wingdings" w:cs="Wingdings" w:hint="default"/>
      </w:rPr>
    </w:lvl>
    <w:lvl w:ilvl="3" w:tplc="04150001">
      <w:start w:val="1"/>
      <w:numFmt w:val="bullet"/>
      <w:lvlText w:val=""/>
      <w:lvlJc w:val="left"/>
      <w:pPr>
        <w:tabs>
          <w:tab w:val="num" w:pos="3823"/>
        </w:tabs>
        <w:ind w:left="3823" w:hanging="360"/>
      </w:pPr>
      <w:rPr>
        <w:rFonts w:ascii="Symbol" w:hAnsi="Symbol" w:cs="Symbol" w:hint="default"/>
      </w:rPr>
    </w:lvl>
    <w:lvl w:ilvl="4" w:tplc="04150003">
      <w:start w:val="1"/>
      <w:numFmt w:val="bullet"/>
      <w:lvlText w:val="o"/>
      <w:lvlJc w:val="left"/>
      <w:pPr>
        <w:tabs>
          <w:tab w:val="num" w:pos="4543"/>
        </w:tabs>
        <w:ind w:left="4543" w:hanging="360"/>
      </w:pPr>
      <w:rPr>
        <w:rFonts w:ascii="Courier New" w:hAnsi="Courier New" w:cs="Courier New" w:hint="default"/>
      </w:rPr>
    </w:lvl>
    <w:lvl w:ilvl="5" w:tplc="04150005">
      <w:start w:val="1"/>
      <w:numFmt w:val="bullet"/>
      <w:lvlText w:val=""/>
      <w:lvlJc w:val="left"/>
      <w:pPr>
        <w:tabs>
          <w:tab w:val="num" w:pos="5263"/>
        </w:tabs>
        <w:ind w:left="5263" w:hanging="360"/>
      </w:pPr>
      <w:rPr>
        <w:rFonts w:ascii="Wingdings" w:hAnsi="Wingdings" w:cs="Wingdings" w:hint="default"/>
      </w:rPr>
    </w:lvl>
    <w:lvl w:ilvl="6" w:tplc="04150001">
      <w:start w:val="1"/>
      <w:numFmt w:val="bullet"/>
      <w:lvlText w:val=""/>
      <w:lvlJc w:val="left"/>
      <w:pPr>
        <w:tabs>
          <w:tab w:val="num" w:pos="5983"/>
        </w:tabs>
        <w:ind w:left="5983" w:hanging="360"/>
      </w:pPr>
      <w:rPr>
        <w:rFonts w:ascii="Symbol" w:hAnsi="Symbol" w:cs="Symbol" w:hint="default"/>
      </w:rPr>
    </w:lvl>
    <w:lvl w:ilvl="7" w:tplc="04150003">
      <w:start w:val="1"/>
      <w:numFmt w:val="bullet"/>
      <w:lvlText w:val="o"/>
      <w:lvlJc w:val="left"/>
      <w:pPr>
        <w:tabs>
          <w:tab w:val="num" w:pos="6703"/>
        </w:tabs>
        <w:ind w:left="6703" w:hanging="360"/>
      </w:pPr>
      <w:rPr>
        <w:rFonts w:ascii="Courier New" w:hAnsi="Courier New" w:cs="Courier New" w:hint="default"/>
      </w:rPr>
    </w:lvl>
    <w:lvl w:ilvl="8" w:tplc="04150005">
      <w:start w:val="1"/>
      <w:numFmt w:val="bullet"/>
      <w:lvlText w:val=""/>
      <w:lvlJc w:val="left"/>
      <w:pPr>
        <w:tabs>
          <w:tab w:val="num" w:pos="7423"/>
        </w:tabs>
        <w:ind w:left="7423" w:hanging="360"/>
      </w:pPr>
      <w:rPr>
        <w:rFonts w:ascii="Wingdings" w:hAnsi="Wingdings" w:cs="Wingdings" w:hint="default"/>
      </w:rPr>
    </w:lvl>
  </w:abstractNum>
  <w:abstractNum w:abstractNumId="9" w15:restartNumberingAfterBreak="0">
    <w:nsid w:val="6EEC2327"/>
    <w:multiLevelType w:val="hybridMultilevel"/>
    <w:tmpl w:val="138087A0"/>
    <w:lvl w:ilvl="0" w:tplc="64D48F7A">
      <w:start w:val="1"/>
      <w:numFmt w:val="bullet"/>
      <w:lvlText w:val="—"/>
      <w:lvlJc w:val="left"/>
      <w:pPr>
        <w:ind w:left="1303" w:hanging="360"/>
      </w:pPr>
      <w:rPr>
        <w:rFonts w:ascii="Calibri" w:hAnsi="Calibri" w:cs="Wingdings" w:hint="default"/>
      </w:rPr>
    </w:lvl>
    <w:lvl w:ilvl="1" w:tplc="04150003" w:tentative="1">
      <w:start w:val="1"/>
      <w:numFmt w:val="bullet"/>
      <w:lvlText w:val="o"/>
      <w:lvlJc w:val="left"/>
      <w:pPr>
        <w:ind w:left="2023" w:hanging="360"/>
      </w:pPr>
      <w:rPr>
        <w:rFonts w:ascii="Courier New" w:hAnsi="Courier New" w:cs="Courier New" w:hint="default"/>
      </w:rPr>
    </w:lvl>
    <w:lvl w:ilvl="2" w:tplc="04150005" w:tentative="1">
      <w:start w:val="1"/>
      <w:numFmt w:val="bullet"/>
      <w:lvlText w:val=""/>
      <w:lvlJc w:val="left"/>
      <w:pPr>
        <w:ind w:left="2743" w:hanging="360"/>
      </w:pPr>
      <w:rPr>
        <w:rFonts w:ascii="Wingdings" w:hAnsi="Wingdings" w:hint="default"/>
      </w:rPr>
    </w:lvl>
    <w:lvl w:ilvl="3" w:tplc="04150001" w:tentative="1">
      <w:start w:val="1"/>
      <w:numFmt w:val="bullet"/>
      <w:lvlText w:val=""/>
      <w:lvlJc w:val="left"/>
      <w:pPr>
        <w:ind w:left="3463" w:hanging="360"/>
      </w:pPr>
      <w:rPr>
        <w:rFonts w:ascii="Symbol" w:hAnsi="Symbol" w:hint="default"/>
      </w:rPr>
    </w:lvl>
    <w:lvl w:ilvl="4" w:tplc="04150003" w:tentative="1">
      <w:start w:val="1"/>
      <w:numFmt w:val="bullet"/>
      <w:lvlText w:val="o"/>
      <w:lvlJc w:val="left"/>
      <w:pPr>
        <w:ind w:left="4183" w:hanging="360"/>
      </w:pPr>
      <w:rPr>
        <w:rFonts w:ascii="Courier New" w:hAnsi="Courier New" w:cs="Courier New" w:hint="default"/>
      </w:rPr>
    </w:lvl>
    <w:lvl w:ilvl="5" w:tplc="04150005" w:tentative="1">
      <w:start w:val="1"/>
      <w:numFmt w:val="bullet"/>
      <w:lvlText w:val=""/>
      <w:lvlJc w:val="left"/>
      <w:pPr>
        <w:ind w:left="4903" w:hanging="360"/>
      </w:pPr>
      <w:rPr>
        <w:rFonts w:ascii="Wingdings" w:hAnsi="Wingdings" w:hint="default"/>
      </w:rPr>
    </w:lvl>
    <w:lvl w:ilvl="6" w:tplc="04150001" w:tentative="1">
      <w:start w:val="1"/>
      <w:numFmt w:val="bullet"/>
      <w:lvlText w:val=""/>
      <w:lvlJc w:val="left"/>
      <w:pPr>
        <w:ind w:left="5623" w:hanging="360"/>
      </w:pPr>
      <w:rPr>
        <w:rFonts w:ascii="Symbol" w:hAnsi="Symbol" w:hint="default"/>
      </w:rPr>
    </w:lvl>
    <w:lvl w:ilvl="7" w:tplc="04150003" w:tentative="1">
      <w:start w:val="1"/>
      <w:numFmt w:val="bullet"/>
      <w:lvlText w:val="o"/>
      <w:lvlJc w:val="left"/>
      <w:pPr>
        <w:ind w:left="6343" w:hanging="360"/>
      </w:pPr>
      <w:rPr>
        <w:rFonts w:ascii="Courier New" w:hAnsi="Courier New" w:cs="Courier New" w:hint="default"/>
      </w:rPr>
    </w:lvl>
    <w:lvl w:ilvl="8" w:tplc="04150005" w:tentative="1">
      <w:start w:val="1"/>
      <w:numFmt w:val="bullet"/>
      <w:lvlText w:val=""/>
      <w:lvlJc w:val="left"/>
      <w:pPr>
        <w:ind w:left="7063" w:hanging="360"/>
      </w:pPr>
      <w:rPr>
        <w:rFonts w:ascii="Wingdings" w:hAnsi="Wingdings" w:hint="default"/>
      </w:rPr>
    </w:lvl>
  </w:abstractNum>
  <w:abstractNum w:abstractNumId="10" w15:restartNumberingAfterBreak="0">
    <w:nsid w:val="7BAB18C8"/>
    <w:multiLevelType w:val="hybridMultilevel"/>
    <w:tmpl w:val="ACD61CBE"/>
    <w:lvl w:ilvl="0" w:tplc="04150001">
      <w:start w:val="1"/>
      <w:numFmt w:val="bullet"/>
      <w:lvlText w:val=""/>
      <w:lvlJc w:val="left"/>
      <w:pPr>
        <w:tabs>
          <w:tab w:val="num" w:pos="1097"/>
        </w:tabs>
        <w:ind w:left="1097" w:hanging="360"/>
      </w:pPr>
      <w:rPr>
        <w:rFonts w:ascii="Symbol" w:hAnsi="Symbol" w:cs="Symbol" w:hint="default"/>
      </w:rPr>
    </w:lvl>
    <w:lvl w:ilvl="1" w:tplc="04150003">
      <w:start w:val="1"/>
      <w:numFmt w:val="bullet"/>
      <w:lvlText w:val="o"/>
      <w:lvlJc w:val="left"/>
      <w:pPr>
        <w:tabs>
          <w:tab w:val="num" w:pos="1817"/>
        </w:tabs>
        <w:ind w:left="1817" w:hanging="360"/>
      </w:pPr>
      <w:rPr>
        <w:rFonts w:ascii="Courier New" w:hAnsi="Courier New" w:cs="Courier New" w:hint="default"/>
      </w:rPr>
    </w:lvl>
    <w:lvl w:ilvl="2" w:tplc="04150005">
      <w:start w:val="1"/>
      <w:numFmt w:val="bullet"/>
      <w:lvlText w:val=""/>
      <w:lvlJc w:val="left"/>
      <w:pPr>
        <w:tabs>
          <w:tab w:val="num" w:pos="2537"/>
        </w:tabs>
        <w:ind w:left="2537" w:hanging="360"/>
      </w:pPr>
      <w:rPr>
        <w:rFonts w:ascii="Wingdings" w:hAnsi="Wingdings" w:cs="Wingdings" w:hint="default"/>
      </w:rPr>
    </w:lvl>
    <w:lvl w:ilvl="3" w:tplc="04150001">
      <w:start w:val="1"/>
      <w:numFmt w:val="bullet"/>
      <w:lvlText w:val=""/>
      <w:lvlJc w:val="left"/>
      <w:pPr>
        <w:tabs>
          <w:tab w:val="num" w:pos="3257"/>
        </w:tabs>
        <w:ind w:left="3257" w:hanging="360"/>
      </w:pPr>
      <w:rPr>
        <w:rFonts w:ascii="Symbol" w:hAnsi="Symbol" w:cs="Symbol" w:hint="default"/>
      </w:rPr>
    </w:lvl>
    <w:lvl w:ilvl="4" w:tplc="04150003">
      <w:start w:val="1"/>
      <w:numFmt w:val="bullet"/>
      <w:lvlText w:val="o"/>
      <w:lvlJc w:val="left"/>
      <w:pPr>
        <w:tabs>
          <w:tab w:val="num" w:pos="3977"/>
        </w:tabs>
        <w:ind w:left="3977" w:hanging="360"/>
      </w:pPr>
      <w:rPr>
        <w:rFonts w:ascii="Courier New" w:hAnsi="Courier New" w:cs="Courier New" w:hint="default"/>
      </w:rPr>
    </w:lvl>
    <w:lvl w:ilvl="5" w:tplc="04150005">
      <w:start w:val="1"/>
      <w:numFmt w:val="bullet"/>
      <w:lvlText w:val=""/>
      <w:lvlJc w:val="left"/>
      <w:pPr>
        <w:tabs>
          <w:tab w:val="num" w:pos="4697"/>
        </w:tabs>
        <w:ind w:left="4697" w:hanging="360"/>
      </w:pPr>
      <w:rPr>
        <w:rFonts w:ascii="Wingdings" w:hAnsi="Wingdings" w:cs="Wingdings" w:hint="default"/>
      </w:rPr>
    </w:lvl>
    <w:lvl w:ilvl="6" w:tplc="04150001">
      <w:start w:val="1"/>
      <w:numFmt w:val="bullet"/>
      <w:lvlText w:val=""/>
      <w:lvlJc w:val="left"/>
      <w:pPr>
        <w:tabs>
          <w:tab w:val="num" w:pos="5417"/>
        </w:tabs>
        <w:ind w:left="5417" w:hanging="360"/>
      </w:pPr>
      <w:rPr>
        <w:rFonts w:ascii="Symbol" w:hAnsi="Symbol" w:cs="Symbol" w:hint="default"/>
      </w:rPr>
    </w:lvl>
    <w:lvl w:ilvl="7" w:tplc="04150003">
      <w:start w:val="1"/>
      <w:numFmt w:val="bullet"/>
      <w:lvlText w:val="o"/>
      <w:lvlJc w:val="left"/>
      <w:pPr>
        <w:tabs>
          <w:tab w:val="num" w:pos="6137"/>
        </w:tabs>
        <w:ind w:left="6137" w:hanging="360"/>
      </w:pPr>
      <w:rPr>
        <w:rFonts w:ascii="Courier New" w:hAnsi="Courier New" w:cs="Courier New" w:hint="default"/>
      </w:rPr>
    </w:lvl>
    <w:lvl w:ilvl="8" w:tplc="04150005">
      <w:start w:val="1"/>
      <w:numFmt w:val="bullet"/>
      <w:lvlText w:val=""/>
      <w:lvlJc w:val="left"/>
      <w:pPr>
        <w:tabs>
          <w:tab w:val="num" w:pos="6857"/>
        </w:tabs>
        <w:ind w:left="6857" w:hanging="360"/>
      </w:pPr>
      <w:rPr>
        <w:rFonts w:ascii="Wingdings" w:hAnsi="Wingdings" w:cs="Wingdings" w:hint="default"/>
      </w:rPr>
    </w:lvl>
  </w:abstractNum>
  <w:num w:numId="1">
    <w:abstractNumId w:val="5"/>
  </w:num>
  <w:num w:numId="2">
    <w:abstractNumId w:val="1"/>
  </w:num>
  <w:num w:numId="3">
    <w:abstractNumId w:val="10"/>
  </w:num>
  <w:num w:numId="4">
    <w:abstractNumId w:val="8"/>
  </w:num>
  <w:num w:numId="5">
    <w:abstractNumId w:val="2"/>
  </w:num>
  <w:num w:numId="6">
    <w:abstractNumId w:val="7"/>
  </w:num>
  <w:num w:numId="7">
    <w:abstractNumId w:val="9"/>
  </w:num>
  <w:num w:numId="8">
    <w:abstractNumId w:val="0"/>
  </w:num>
  <w:num w:numId="9">
    <w:abstractNumId w:val="3"/>
  </w:num>
  <w:num w:numId="10">
    <w:abstractNumId w:val="6"/>
  </w:num>
  <w:num w:numId="1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embedTrueTypeFonts/>
  <w:proofState w:spelling="clean"/>
  <w:defaultTabStop w:val="454"/>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39D"/>
    <w:rsid w:val="0000079E"/>
    <w:rsid w:val="000012A1"/>
    <w:rsid w:val="00001C5B"/>
    <w:rsid w:val="00002712"/>
    <w:rsid w:val="00003437"/>
    <w:rsid w:val="00004073"/>
    <w:rsid w:val="0000579F"/>
    <w:rsid w:val="000059AE"/>
    <w:rsid w:val="00005CC5"/>
    <w:rsid w:val="00005DD0"/>
    <w:rsid w:val="0000709F"/>
    <w:rsid w:val="00010187"/>
    <w:rsid w:val="000108B8"/>
    <w:rsid w:val="00010A6D"/>
    <w:rsid w:val="000152F5"/>
    <w:rsid w:val="00015A29"/>
    <w:rsid w:val="00015AAA"/>
    <w:rsid w:val="00015D53"/>
    <w:rsid w:val="00016877"/>
    <w:rsid w:val="00020629"/>
    <w:rsid w:val="00020A19"/>
    <w:rsid w:val="00020BB4"/>
    <w:rsid w:val="000222A1"/>
    <w:rsid w:val="00023427"/>
    <w:rsid w:val="0002342A"/>
    <w:rsid w:val="000250A7"/>
    <w:rsid w:val="0002571D"/>
    <w:rsid w:val="0002669F"/>
    <w:rsid w:val="00026BE4"/>
    <w:rsid w:val="00027559"/>
    <w:rsid w:val="000278D9"/>
    <w:rsid w:val="000304CD"/>
    <w:rsid w:val="00030BE5"/>
    <w:rsid w:val="00031A21"/>
    <w:rsid w:val="00031F16"/>
    <w:rsid w:val="00035A89"/>
    <w:rsid w:val="000367FE"/>
    <w:rsid w:val="000375DE"/>
    <w:rsid w:val="00040B2E"/>
    <w:rsid w:val="00040EC9"/>
    <w:rsid w:val="00041156"/>
    <w:rsid w:val="000416D9"/>
    <w:rsid w:val="000418A7"/>
    <w:rsid w:val="000438A8"/>
    <w:rsid w:val="0004582E"/>
    <w:rsid w:val="000459A1"/>
    <w:rsid w:val="000470AA"/>
    <w:rsid w:val="00047E86"/>
    <w:rsid w:val="00052E4B"/>
    <w:rsid w:val="00053FDD"/>
    <w:rsid w:val="00055DAC"/>
    <w:rsid w:val="00056D61"/>
    <w:rsid w:val="00057590"/>
    <w:rsid w:val="000577FF"/>
    <w:rsid w:val="00057A29"/>
    <w:rsid w:val="00057CA1"/>
    <w:rsid w:val="00060088"/>
    <w:rsid w:val="00061EED"/>
    <w:rsid w:val="00065BA7"/>
    <w:rsid w:val="000662E2"/>
    <w:rsid w:val="00066883"/>
    <w:rsid w:val="00066AA3"/>
    <w:rsid w:val="00070356"/>
    <w:rsid w:val="0007085B"/>
    <w:rsid w:val="00071688"/>
    <w:rsid w:val="00073090"/>
    <w:rsid w:val="000733C5"/>
    <w:rsid w:val="00074DD8"/>
    <w:rsid w:val="00075158"/>
    <w:rsid w:val="00076929"/>
    <w:rsid w:val="000774A3"/>
    <w:rsid w:val="00077B5F"/>
    <w:rsid w:val="00077B60"/>
    <w:rsid w:val="000806F7"/>
    <w:rsid w:val="0008157E"/>
    <w:rsid w:val="000819BA"/>
    <w:rsid w:val="0008201A"/>
    <w:rsid w:val="00082264"/>
    <w:rsid w:val="00083FD2"/>
    <w:rsid w:val="00084529"/>
    <w:rsid w:val="00084C95"/>
    <w:rsid w:val="0008513B"/>
    <w:rsid w:val="00085EF9"/>
    <w:rsid w:val="0009117A"/>
    <w:rsid w:val="00091BFC"/>
    <w:rsid w:val="00092FF8"/>
    <w:rsid w:val="0009338B"/>
    <w:rsid w:val="00093A8A"/>
    <w:rsid w:val="000946FC"/>
    <w:rsid w:val="00094B3B"/>
    <w:rsid w:val="0009532B"/>
    <w:rsid w:val="00095598"/>
    <w:rsid w:val="00096455"/>
    <w:rsid w:val="0009653F"/>
    <w:rsid w:val="000967FF"/>
    <w:rsid w:val="00096823"/>
    <w:rsid w:val="00097756"/>
    <w:rsid w:val="000A042B"/>
    <w:rsid w:val="000A1792"/>
    <w:rsid w:val="000A2E68"/>
    <w:rsid w:val="000A3409"/>
    <w:rsid w:val="000A3DB8"/>
    <w:rsid w:val="000A41F9"/>
    <w:rsid w:val="000A47A4"/>
    <w:rsid w:val="000A6A77"/>
    <w:rsid w:val="000B0727"/>
    <w:rsid w:val="000B2839"/>
    <w:rsid w:val="000B339C"/>
    <w:rsid w:val="000B3BC0"/>
    <w:rsid w:val="000B4B1E"/>
    <w:rsid w:val="000B7AFC"/>
    <w:rsid w:val="000C0073"/>
    <w:rsid w:val="000C0FA3"/>
    <w:rsid w:val="000C114B"/>
    <w:rsid w:val="000C135D"/>
    <w:rsid w:val="000C1974"/>
    <w:rsid w:val="000C282E"/>
    <w:rsid w:val="000C3BCD"/>
    <w:rsid w:val="000D03A8"/>
    <w:rsid w:val="000D040B"/>
    <w:rsid w:val="000D13A0"/>
    <w:rsid w:val="000D1D43"/>
    <w:rsid w:val="000D225C"/>
    <w:rsid w:val="000D2A5C"/>
    <w:rsid w:val="000D3B8B"/>
    <w:rsid w:val="000D414A"/>
    <w:rsid w:val="000D46CC"/>
    <w:rsid w:val="000D6C5C"/>
    <w:rsid w:val="000D740E"/>
    <w:rsid w:val="000E0918"/>
    <w:rsid w:val="000E1C72"/>
    <w:rsid w:val="000E2FD9"/>
    <w:rsid w:val="000E3133"/>
    <w:rsid w:val="000E3795"/>
    <w:rsid w:val="000E3BAF"/>
    <w:rsid w:val="000E4276"/>
    <w:rsid w:val="000E50F9"/>
    <w:rsid w:val="000E6738"/>
    <w:rsid w:val="000E6A64"/>
    <w:rsid w:val="000F1837"/>
    <w:rsid w:val="000F5CF6"/>
    <w:rsid w:val="000F7D85"/>
    <w:rsid w:val="001011C3"/>
    <w:rsid w:val="00101937"/>
    <w:rsid w:val="00101C16"/>
    <w:rsid w:val="00102E72"/>
    <w:rsid w:val="00102F5D"/>
    <w:rsid w:val="00103BEF"/>
    <w:rsid w:val="00103D90"/>
    <w:rsid w:val="00105055"/>
    <w:rsid w:val="0010561F"/>
    <w:rsid w:val="00110D87"/>
    <w:rsid w:val="00111AEE"/>
    <w:rsid w:val="00112681"/>
    <w:rsid w:val="0011357F"/>
    <w:rsid w:val="00114DB9"/>
    <w:rsid w:val="00115339"/>
    <w:rsid w:val="00116087"/>
    <w:rsid w:val="0011770D"/>
    <w:rsid w:val="0011774C"/>
    <w:rsid w:val="001179AB"/>
    <w:rsid w:val="00120068"/>
    <w:rsid w:val="00120B2C"/>
    <w:rsid w:val="00123621"/>
    <w:rsid w:val="001236AF"/>
    <w:rsid w:val="00123868"/>
    <w:rsid w:val="0012456B"/>
    <w:rsid w:val="0012486A"/>
    <w:rsid w:val="00126745"/>
    <w:rsid w:val="00126CB3"/>
    <w:rsid w:val="00127A8F"/>
    <w:rsid w:val="00127C05"/>
    <w:rsid w:val="00130296"/>
    <w:rsid w:val="00135599"/>
    <w:rsid w:val="00135BB6"/>
    <w:rsid w:val="00136009"/>
    <w:rsid w:val="001362E2"/>
    <w:rsid w:val="001402B4"/>
    <w:rsid w:val="001419FA"/>
    <w:rsid w:val="001423B6"/>
    <w:rsid w:val="00142F59"/>
    <w:rsid w:val="001448A7"/>
    <w:rsid w:val="00146621"/>
    <w:rsid w:val="00146EBA"/>
    <w:rsid w:val="00147173"/>
    <w:rsid w:val="0014765C"/>
    <w:rsid w:val="00147F98"/>
    <w:rsid w:val="001511CF"/>
    <w:rsid w:val="00152273"/>
    <w:rsid w:val="00152B4B"/>
    <w:rsid w:val="00152CAF"/>
    <w:rsid w:val="00154865"/>
    <w:rsid w:val="001548DC"/>
    <w:rsid w:val="00154CBD"/>
    <w:rsid w:val="00155C8A"/>
    <w:rsid w:val="00155DE7"/>
    <w:rsid w:val="00156768"/>
    <w:rsid w:val="001603EA"/>
    <w:rsid w:val="00160924"/>
    <w:rsid w:val="00160EB0"/>
    <w:rsid w:val="00162204"/>
    <w:rsid w:val="00162325"/>
    <w:rsid w:val="0016270E"/>
    <w:rsid w:val="00166A85"/>
    <w:rsid w:val="00167093"/>
    <w:rsid w:val="00167B44"/>
    <w:rsid w:val="00170878"/>
    <w:rsid w:val="00170904"/>
    <w:rsid w:val="00170D04"/>
    <w:rsid w:val="00172049"/>
    <w:rsid w:val="00173B46"/>
    <w:rsid w:val="001764D1"/>
    <w:rsid w:val="00181EBF"/>
    <w:rsid w:val="00183BBC"/>
    <w:rsid w:val="00184F74"/>
    <w:rsid w:val="00185928"/>
    <w:rsid w:val="001871E9"/>
    <w:rsid w:val="00190795"/>
    <w:rsid w:val="0019239F"/>
    <w:rsid w:val="00192F6F"/>
    <w:rsid w:val="001951DA"/>
    <w:rsid w:val="00195A96"/>
    <w:rsid w:val="00196277"/>
    <w:rsid w:val="001972B1"/>
    <w:rsid w:val="001A0093"/>
    <w:rsid w:val="001A0772"/>
    <w:rsid w:val="001A1019"/>
    <w:rsid w:val="001A1534"/>
    <w:rsid w:val="001A25DF"/>
    <w:rsid w:val="001A5302"/>
    <w:rsid w:val="001A5363"/>
    <w:rsid w:val="001A56AE"/>
    <w:rsid w:val="001A716D"/>
    <w:rsid w:val="001A72C1"/>
    <w:rsid w:val="001A7D30"/>
    <w:rsid w:val="001B1A3E"/>
    <w:rsid w:val="001B2224"/>
    <w:rsid w:val="001B2D4A"/>
    <w:rsid w:val="001B4497"/>
    <w:rsid w:val="001B56A2"/>
    <w:rsid w:val="001B5A69"/>
    <w:rsid w:val="001B6A63"/>
    <w:rsid w:val="001C11B5"/>
    <w:rsid w:val="001C1819"/>
    <w:rsid w:val="001C29CE"/>
    <w:rsid w:val="001C3238"/>
    <w:rsid w:val="001C3269"/>
    <w:rsid w:val="001C34F3"/>
    <w:rsid w:val="001C4320"/>
    <w:rsid w:val="001C5DAF"/>
    <w:rsid w:val="001C6DD2"/>
    <w:rsid w:val="001C6EA2"/>
    <w:rsid w:val="001D1528"/>
    <w:rsid w:val="001D1DB4"/>
    <w:rsid w:val="001D3FDC"/>
    <w:rsid w:val="001D489A"/>
    <w:rsid w:val="001D4C80"/>
    <w:rsid w:val="001D5F41"/>
    <w:rsid w:val="001D61CD"/>
    <w:rsid w:val="001D7142"/>
    <w:rsid w:val="001E000A"/>
    <w:rsid w:val="001E09FA"/>
    <w:rsid w:val="001E0FA7"/>
    <w:rsid w:val="001E26A0"/>
    <w:rsid w:val="001E3261"/>
    <w:rsid w:val="001E39DB"/>
    <w:rsid w:val="001E3BCD"/>
    <w:rsid w:val="001E5C70"/>
    <w:rsid w:val="001E612A"/>
    <w:rsid w:val="001F2146"/>
    <w:rsid w:val="001F2496"/>
    <w:rsid w:val="001F3034"/>
    <w:rsid w:val="001F3173"/>
    <w:rsid w:val="001F4C95"/>
    <w:rsid w:val="001F534C"/>
    <w:rsid w:val="001F5EF9"/>
    <w:rsid w:val="001F7EEC"/>
    <w:rsid w:val="0020012C"/>
    <w:rsid w:val="00200B49"/>
    <w:rsid w:val="00200ED3"/>
    <w:rsid w:val="002010D3"/>
    <w:rsid w:val="00202C60"/>
    <w:rsid w:val="002044D0"/>
    <w:rsid w:val="00206A2D"/>
    <w:rsid w:val="002075A6"/>
    <w:rsid w:val="0021037C"/>
    <w:rsid w:val="0021091E"/>
    <w:rsid w:val="00210BDB"/>
    <w:rsid w:val="0021115F"/>
    <w:rsid w:val="0021145C"/>
    <w:rsid w:val="00212FA4"/>
    <w:rsid w:val="00214AF0"/>
    <w:rsid w:val="00215DFD"/>
    <w:rsid w:val="00215FE1"/>
    <w:rsid w:val="00220288"/>
    <w:rsid w:val="002203BE"/>
    <w:rsid w:val="0022075F"/>
    <w:rsid w:val="00220E4B"/>
    <w:rsid w:val="00222F75"/>
    <w:rsid w:val="00223B3A"/>
    <w:rsid w:val="0022421B"/>
    <w:rsid w:val="00224528"/>
    <w:rsid w:val="0022553E"/>
    <w:rsid w:val="00225758"/>
    <w:rsid w:val="00227BB5"/>
    <w:rsid w:val="00227BC3"/>
    <w:rsid w:val="00233734"/>
    <w:rsid w:val="00234C9E"/>
    <w:rsid w:val="00236DDE"/>
    <w:rsid w:val="002401DE"/>
    <w:rsid w:val="0024042C"/>
    <w:rsid w:val="00240E2D"/>
    <w:rsid w:val="002414C9"/>
    <w:rsid w:val="00242D27"/>
    <w:rsid w:val="00242F57"/>
    <w:rsid w:val="002430F6"/>
    <w:rsid w:val="002437DD"/>
    <w:rsid w:val="00244738"/>
    <w:rsid w:val="002520EA"/>
    <w:rsid w:val="002527E1"/>
    <w:rsid w:val="00252A52"/>
    <w:rsid w:val="0025341F"/>
    <w:rsid w:val="002574F9"/>
    <w:rsid w:val="00257F6F"/>
    <w:rsid w:val="00262550"/>
    <w:rsid w:val="00263B6C"/>
    <w:rsid w:val="00266228"/>
    <w:rsid w:val="0026773F"/>
    <w:rsid w:val="00267828"/>
    <w:rsid w:val="00272609"/>
    <w:rsid w:val="002729CC"/>
    <w:rsid w:val="00276811"/>
    <w:rsid w:val="00276AF9"/>
    <w:rsid w:val="00277194"/>
    <w:rsid w:val="00280343"/>
    <w:rsid w:val="00280568"/>
    <w:rsid w:val="00280A85"/>
    <w:rsid w:val="00280C46"/>
    <w:rsid w:val="0028172E"/>
    <w:rsid w:val="0028193D"/>
    <w:rsid w:val="00282343"/>
    <w:rsid w:val="00282699"/>
    <w:rsid w:val="00282FA3"/>
    <w:rsid w:val="0028316F"/>
    <w:rsid w:val="0028321B"/>
    <w:rsid w:val="0028500E"/>
    <w:rsid w:val="0028534C"/>
    <w:rsid w:val="00285889"/>
    <w:rsid w:val="002870C1"/>
    <w:rsid w:val="00287274"/>
    <w:rsid w:val="002879B5"/>
    <w:rsid w:val="00290A93"/>
    <w:rsid w:val="002922AB"/>
    <w:rsid w:val="002926DF"/>
    <w:rsid w:val="0029295A"/>
    <w:rsid w:val="0029340B"/>
    <w:rsid w:val="0029344F"/>
    <w:rsid w:val="002943E9"/>
    <w:rsid w:val="0029446E"/>
    <w:rsid w:val="0029486E"/>
    <w:rsid w:val="0029505A"/>
    <w:rsid w:val="0029514C"/>
    <w:rsid w:val="00295230"/>
    <w:rsid w:val="00295591"/>
    <w:rsid w:val="00296155"/>
    <w:rsid w:val="00296697"/>
    <w:rsid w:val="002966E1"/>
    <w:rsid w:val="00297EC6"/>
    <w:rsid w:val="002A08DA"/>
    <w:rsid w:val="002A0957"/>
    <w:rsid w:val="002A143F"/>
    <w:rsid w:val="002A174C"/>
    <w:rsid w:val="002A1965"/>
    <w:rsid w:val="002A2154"/>
    <w:rsid w:val="002A2F0F"/>
    <w:rsid w:val="002A33D1"/>
    <w:rsid w:val="002A3465"/>
    <w:rsid w:val="002A3587"/>
    <w:rsid w:val="002A48FA"/>
    <w:rsid w:val="002A4BFF"/>
    <w:rsid w:val="002A4EFA"/>
    <w:rsid w:val="002A4FEB"/>
    <w:rsid w:val="002A5025"/>
    <w:rsid w:val="002A6924"/>
    <w:rsid w:val="002A754C"/>
    <w:rsid w:val="002B0472"/>
    <w:rsid w:val="002B0ADF"/>
    <w:rsid w:val="002B0FEE"/>
    <w:rsid w:val="002B6B12"/>
    <w:rsid w:val="002B6DBC"/>
    <w:rsid w:val="002B7F5A"/>
    <w:rsid w:val="002C024F"/>
    <w:rsid w:val="002C2ABD"/>
    <w:rsid w:val="002C336F"/>
    <w:rsid w:val="002C384A"/>
    <w:rsid w:val="002C5245"/>
    <w:rsid w:val="002C61F8"/>
    <w:rsid w:val="002C731A"/>
    <w:rsid w:val="002C7B0C"/>
    <w:rsid w:val="002D08BF"/>
    <w:rsid w:val="002D1984"/>
    <w:rsid w:val="002D1B28"/>
    <w:rsid w:val="002D2C9C"/>
    <w:rsid w:val="002D3067"/>
    <w:rsid w:val="002D4609"/>
    <w:rsid w:val="002D48C2"/>
    <w:rsid w:val="002D4C94"/>
    <w:rsid w:val="002D5B9B"/>
    <w:rsid w:val="002D5DF3"/>
    <w:rsid w:val="002D65A1"/>
    <w:rsid w:val="002D6B20"/>
    <w:rsid w:val="002D6BA5"/>
    <w:rsid w:val="002D6BAB"/>
    <w:rsid w:val="002D732D"/>
    <w:rsid w:val="002D787D"/>
    <w:rsid w:val="002E196C"/>
    <w:rsid w:val="002E2FDB"/>
    <w:rsid w:val="002E444D"/>
    <w:rsid w:val="002E482D"/>
    <w:rsid w:val="002E6140"/>
    <w:rsid w:val="002E64CA"/>
    <w:rsid w:val="002E670B"/>
    <w:rsid w:val="002E6985"/>
    <w:rsid w:val="002E71B6"/>
    <w:rsid w:val="002E7E36"/>
    <w:rsid w:val="002E7F61"/>
    <w:rsid w:val="002F093C"/>
    <w:rsid w:val="002F2CB1"/>
    <w:rsid w:val="002F31A8"/>
    <w:rsid w:val="002F3AD3"/>
    <w:rsid w:val="002F5A7E"/>
    <w:rsid w:val="002F5D2D"/>
    <w:rsid w:val="002F77C8"/>
    <w:rsid w:val="002F79A6"/>
    <w:rsid w:val="00300D4E"/>
    <w:rsid w:val="0030118B"/>
    <w:rsid w:val="003011E7"/>
    <w:rsid w:val="00302FBC"/>
    <w:rsid w:val="003047CF"/>
    <w:rsid w:val="00304F22"/>
    <w:rsid w:val="003057B6"/>
    <w:rsid w:val="003065E8"/>
    <w:rsid w:val="00306C7C"/>
    <w:rsid w:val="00306C84"/>
    <w:rsid w:val="00306F19"/>
    <w:rsid w:val="0030798C"/>
    <w:rsid w:val="00307EA8"/>
    <w:rsid w:val="00307EC6"/>
    <w:rsid w:val="00310084"/>
    <w:rsid w:val="00310BCC"/>
    <w:rsid w:val="0031215E"/>
    <w:rsid w:val="00312ADE"/>
    <w:rsid w:val="00314CD0"/>
    <w:rsid w:val="00316350"/>
    <w:rsid w:val="00316596"/>
    <w:rsid w:val="0031728E"/>
    <w:rsid w:val="00317D16"/>
    <w:rsid w:val="00321BB4"/>
    <w:rsid w:val="0032245A"/>
    <w:rsid w:val="00322B43"/>
    <w:rsid w:val="00322C01"/>
    <w:rsid w:val="00322EDD"/>
    <w:rsid w:val="003231FA"/>
    <w:rsid w:val="00323C6C"/>
    <w:rsid w:val="00324507"/>
    <w:rsid w:val="00324734"/>
    <w:rsid w:val="00324779"/>
    <w:rsid w:val="00324E65"/>
    <w:rsid w:val="00325D04"/>
    <w:rsid w:val="00330B0B"/>
    <w:rsid w:val="00332320"/>
    <w:rsid w:val="00332C4E"/>
    <w:rsid w:val="00333839"/>
    <w:rsid w:val="00337FA2"/>
    <w:rsid w:val="00340353"/>
    <w:rsid w:val="00340E5B"/>
    <w:rsid w:val="00340EFA"/>
    <w:rsid w:val="00341A68"/>
    <w:rsid w:val="00341A7E"/>
    <w:rsid w:val="00341F0B"/>
    <w:rsid w:val="0034360E"/>
    <w:rsid w:val="003438C4"/>
    <w:rsid w:val="0034626F"/>
    <w:rsid w:val="0034681E"/>
    <w:rsid w:val="00346B6B"/>
    <w:rsid w:val="00347391"/>
    <w:rsid w:val="00347D72"/>
    <w:rsid w:val="00347FA9"/>
    <w:rsid w:val="00351749"/>
    <w:rsid w:val="00352123"/>
    <w:rsid w:val="00352D37"/>
    <w:rsid w:val="00352D6A"/>
    <w:rsid w:val="00353C98"/>
    <w:rsid w:val="00355951"/>
    <w:rsid w:val="00356EA5"/>
    <w:rsid w:val="0035714F"/>
    <w:rsid w:val="0035723B"/>
    <w:rsid w:val="0035756C"/>
    <w:rsid w:val="00357611"/>
    <w:rsid w:val="00357626"/>
    <w:rsid w:val="00357B65"/>
    <w:rsid w:val="003613B7"/>
    <w:rsid w:val="00361889"/>
    <w:rsid w:val="00363119"/>
    <w:rsid w:val="0036333D"/>
    <w:rsid w:val="0036382E"/>
    <w:rsid w:val="00365333"/>
    <w:rsid w:val="00365DBB"/>
    <w:rsid w:val="003664B9"/>
    <w:rsid w:val="0036680C"/>
    <w:rsid w:val="00366D51"/>
    <w:rsid w:val="00367237"/>
    <w:rsid w:val="0037077F"/>
    <w:rsid w:val="003716BF"/>
    <w:rsid w:val="00371C98"/>
    <w:rsid w:val="00372349"/>
    <w:rsid w:val="00373882"/>
    <w:rsid w:val="00374287"/>
    <w:rsid w:val="003742DF"/>
    <w:rsid w:val="0037467A"/>
    <w:rsid w:val="0037471A"/>
    <w:rsid w:val="0037503E"/>
    <w:rsid w:val="0037530F"/>
    <w:rsid w:val="00375C71"/>
    <w:rsid w:val="00377292"/>
    <w:rsid w:val="00381302"/>
    <w:rsid w:val="00381AEE"/>
    <w:rsid w:val="00381C9F"/>
    <w:rsid w:val="003843DB"/>
    <w:rsid w:val="00385038"/>
    <w:rsid w:val="0038686F"/>
    <w:rsid w:val="00386AD4"/>
    <w:rsid w:val="0038708E"/>
    <w:rsid w:val="003870A6"/>
    <w:rsid w:val="003901B7"/>
    <w:rsid w:val="003907CC"/>
    <w:rsid w:val="00390C6D"/>
    <w:rsid w:val="00390F9F"/>
    <w:rsid w:val="00391006"/>
    <w:rsid w:val="00391E2B"/>
    <w:rsid w:val="00393761"/>
    <w:rsid w:val="00393940"/>
    <w:rsid w:val="00393E58"/>
    <w:rsid w:val="00395254"/>
    <w:rsid w:val="0039546F"/>
    <w:rsid w:val="00397439"/>
    <w:rsid w:val="00397D18"/>
    <w:rsid w:val="00397DC7"/>
    <w:rsid w:val="003A11D5"/>
    <w:rsid w:val="003A1B36"/>
    <w:rsid w:val="003A290A"/>
    <w:rsid w:val="003A319A"/>
    <w:rsid w:val="003A329B"/>
    <w:rsid w:val="003A385C"/>
    <w:rsid w:val="003A51DB"/>
    <w:rsid w:val="003A66E0"/>
    <w:rsid w:val="003A68B8"/>
    <w:rsid w:val="003A6980"/>
    <w:rsid w:val="003A6F37"/>
    <w:rsid w:val="003A731A"/>
    <w:rsid w:val="003A764F"/>
    <w:rsid w:val="003A7C1D"/>
    <w:rsid w:val="003A7D59"/>
    <w:rsid w:val="003B0681"/>
    <w:rsid w:val="003B1454"/>
    <w:rsid w:val="003B4C14"/>
    <w:rsid w:val="003B4E58"/>
    <w:rsid w:val="003B54D2"/>
    <w:rsid w:val="003B7340"/>
    <w:rsid w:val="003B76C4"/>
    <w:rsid w:val="003B7F1E"/>
    <w:rsid w:val="003C02E7"/>
    <w:rsid w:val="003C0BAA"/>
    <w:rsid w:val="003C262D"/>
    <w:rsid w:val="003C3B09"/>
    <w:rsid w:val="003C4F46"/>
    <w:rsid w:val="003C595B"/>
    <w:rsid w:val="003C59E0"/>
    <w:rsid w:val="003C683B"/>
    <w:rsid w:val="003C6C8D"/>
    <w:rsid w:val="003C70C2"/>
    <w:rsid w:val="003C7229"/>
    <w:rsid w:val="003C73EC"/>
    <w:rsid w:val="003C7953"/>
    <w:rsid w:val="003D024C"/>
    <w:rsid w:val="003D2FED"/>
    <w:rsid w:val="003D4767"/>
    <w:rsid w:val="003D4F95"/>
    <w:rsid w:val="003D58D4"/>
    <w:rsid w:val="003D5A87"/>
    <w:rsid w:val="003D5E5D"/>
    <w:rsid w:val="003D5EEF"/>
    <w:rsid w:val="003D5F42"/>
    <w:rsid w:val="003D60A9"/>
    <w:rsid w:val="003D6657"/>
    <w:rsid w:val="003D7617"/>
    <w:rsid w:val="003D7966"/>
    <w:rsid w:val="003D7FFC"/>
    <w:rsid w:val="003E00F3"/>
    <w:rsid w:val="003E0631"/>
    <w:rsid w:val="003E118D"/>
    <w:rsid w:val="003E1513"/>
    <w:rsid w:val="003E27D6"/>
    <w:rsid w:val="003E2834"/>
    <w:rsid w:val="003E3C66"/>
    <w:rsid w:val="003E3E9F"/>
    <w:rsid w:val="003E47BB"/>
    <w:rsid w:val="003E6EAA"/>
    <w:rsid w:val="003E7072"/>
    <w:rsid w:val="003E72AF"/>
    <w:rsid w:val="003E77D0"/>
    <w:rsid w:val="003F17C3"/>
    <w:rsid w:val="003F37A3"/>
    <w:rsid w:val="003F38EF"/>
    <w:rsid w:val="003F3C99"/>
    <w:rsid w:val="003F4C97"/>
    <w:rsid w:val="003F587F"/>
    <w:rsid w:val="003F59C1"/>
    <w:rsid w:val="003F7216"/>
    <w:rsid w:val="003F757B"/>
    <w:rsid w:val="003F764A"/>
    <w:rsid w:val="003F76B9"/>
    <w:rsid w:val="003F7FE6"/>
    <w:rsid w:val="00400193"/>
    <w:rsid w:val="00401026"/>
    <w:rsid w:val="004015CD"/>
    <w:rsid w:val="00401911"/>
    <w:rsid w:val="00401DF9"/>
    <w:rsid w:val="00402D94"/>
    <w:rsid w:val="00404671"/>
    <w:rsid w:val="004048F7"/>
    <w:rsid w:val="00404EE9"/>
    <w:rsid w:val="00405553"/>
    <w:rsid w:val="00405A7A"/>
    <w:rsid w:val="0041005F"/>
    <w:rsid w:val="00410732"/>
    <w:rsid w:val="0041365E"/>
    <w:rsid w:val="0041494E"/>
    <w:rsid w:val="00414B19"/>
    <w:rsid w:val="00415154"/>
    <w:rsid w:val="00415267"/>
    <w:rsid w:val="0041593B"/>
    <w:rsid w:val="00416E4F"/>
    <w:rsid w:val="00417359"/>
    <w:rsid w:val="0041768A"/>
    <w:rsid w:val="00420A14"/>
    <w:rsid w:val="00420F3F"/>
    <w:rsid w:val="00420F4B"/>
    <w:rsid w:val="004212E7"/>
    <w:rsid w:val="00421385"/>
    <w:rsid w:val="004216CA"/>
    <w:rsid w:val="004225CB"/>
    <w:rsid w:val="00423354"/>
    <w:rsid w:val="004235B8"/>
    <w:rsid w:val="004236AB"/>
    <w:rsid w:val="00423D00"/>
    <w:rsid w:val="0042446D"/>
    <w:rsid w:val="00425996"/>
    <w:rsid w:val="00427BF8"/>
    <w:rsid w:val="0043117F"/>
    <w:rsid w:val="00431C02"/>
    <w:rsid w:val="00431D8B"/>
    <w:rsid w:val="004321CD"/>
    <w:rsid w:val="00434126"/>
    <w:rsid w:val="004348C3"/>
    <w:rsid w:val="00434E25"/>
    <w:rsid w:val="00436603"/>
    <w:rsid w:val="00437395"/>
    <w:rsid w:val="00440132"/>
    <w:rsid w:val="00440F02"/>
    <w:rsid w:val="0044121C"/>
    <w:rsid w:val="00441FFD"/>
    <w:rsid w:val="00442136"/>
    <w:rsid w:val="00443500"/>
    <w:rsid w:val="00445047"/>
    <w:rsid w:val="00445337"/>
    <w:rsid w:val="0044538E"/>
    <w:rsid w:val="00446591"/>
    <w:rsid w:val="004466EE"/>
    <w:rsid w:val="00450597"/>
    <w:rsid w:val="0045096B"/>
    <w:rsid w:val="00450EDA"/>
    <w:rsid w:val="00453702"/>
    <w:rsid w:val="0045495C"/>
    <w:rsid w:val="00454D29"/>
    <w:rsid w:val="0045505A"/>
    <w:rsid w:val="00455B05"/>
    <w:rsid w:val="0045659F"/>
    <w:rsid w:val="004574DF"/>
    <w:rsid w:val="00461C1B"/>
    <w:rsid w:val="00462180"/>
    <w:rsid w:val="00463E39"/>
    <w:rsid w:val="004657FC"/>
    <w:rsid w:val="00466940"/>
    <w:rsid w:val="00470CB5"/>
    <w:rsid w:val="00471D74"/>
    <w:rsid w:val="00472D8B"/>
    <w:rsid w:val="004731E9"/>
    <w:rsid w:val="004733F6"/>
    <w:rsid w:val="00473BD0"/>
    <w:rsid w:val="004744ED"/>
    <w:rsid w:val="00474E69"/>
    <w:rsid w:val="004761B3"/>
    <w:rsid w:val="004765F0"/>
    <w:rsid w:val="00476888"/>
    <w:rsid w:val="004772D4"/>
    <w:rsid w:val="004772E5"/>
    <w:rsid w:val="00477CA1"/>
    <w:rsid w:val="00481031"/>
    <w:rsid w:val="00482546"/>
    <w:rsid w:val="0048289F"/>
    <w:rsid w:val="004842B4"/>
    <w:rsid w:val="00484CBA"/>
    <w:rsid w:val="004858E8"/>
    <w:rsid w:val="00487816"/>
    <w:rsid w:val="0048784B"/>
    <w:rsid w:val="00487F3E"/>
    <w:rsid w:val="004904A0"/>
    <w:rsid w:val="00490852"/>
    <w:rsid w:val="00490B34"/>
    <w:rsid w:val="00490B7C"/>
    <w:rsid w:val="004924CB"/>
    <w:rsid w:val="00492F53"/>
    <w:rsid w:val="00493937"/>
    <w:rsid w:val="004953A3"/>
    <w:rsid w:val="0049621B"/>
    <w:rsid w:val="00496AE7"/>
    <w:rsid w:val="0049759A"/>
    <w:rsid w:val="004975A2"/>
    <w:rsid w:val="00497A35"/>
    <w:rsid w:val="004A0A95"/>
    <w:rsid w:val="004A0D0C"/>
    <w:rsid w:val="004A264C"/>
    <w:rsid w:val="004A43CB"/>
    <w:rsid w:val="004A6CEF"/>
    <w:rsid w:val="004A7107"/>
    <w:rsid w:val="004B1416"/>
    <w:rsid w:val="004B2860"/>
    <w:rsid w:val="004B2ED6"/>
    <w:rsid w:val="004B38F9"/>
    <w:rsid w:val="004B3C04"/>
    <w:rsid w:val="004B44E5"/>
    <w:rsid w:val="004B519C"/>
    <w:rsid w:val="004B592F"/>
    <w:rsid w:val="004B61C7"/>
    <w:rsid w:val="004B72F1"/>
    <w:rsid w:val="004C1895"/>
    <w:rsid w:val="004C195E"/>
    <w:rsid w:val="004C2A72"/>
    <w:rsid w:val="004C3092"/>
    <w:rsid w:val="004C6D40"/>
    <w:rsid w:val="004D2670"/>
    <w:rsid w:val="004D3154"/>
    <w:rsid w:val="004D443A"/>
    <w:rsid w:val="004D79B1"/>
    <w:rsid w:val="004E1BE6"/>
    <w:rsid w:val="004E2986"/>
    <w:rsid w:val="004E4586"/>
    <w:rsid w:val="004E47AC"/>
    <w:rsid w:val="004E4839"/>
    <w:rsid w:val="004F04E5"/>
    <w:rsid w:val="004F0C3C"/>
    <w:rsid w:val="004F1EF5"/>
    <w:rsid w:val="004F28CF"/>
    <w:rsid w:val="004F2C39"/>
    <w:rsid w:val="004F2CD1"/>
    <w:rsid w:val="004F3ADD"/>
    <w:rsid w:val="004F4B9D"/>
    <w:rsid w:val="004F5448"/>
    <w:rsid w:val="004F55C0"/>
    <w:rsid w:val="004F56A9"/>
    <w:rsid w:val="004F63FC"/>
    <w:rsid w:val="00500434"/>
    <w:rsid w:val="005020E2"/>
    <w:rsid w:val="00502111"/>
    <w:rsid w:val="00502462"/>
    <w:rsid w:val="0050291A"/>
    <w:rsid w:val="00503A1B"/>
    <w:rsid w:val="00504D39"/>
    <w:rsid w:val="00505A92"/>
    <w:rsid w:val="00506A71"/>
    <w:rsid w:val="00510A94"/>
    <w:rsid w:val="00510B46"/>
    <w:rsid w:val="00510B55"/>
    <w:rsid w:val="00511B6B"/>
    <w:rsid w:val="005123BD"/>
    <w:rsid w:val="0051519F"/>
    <w:rsid w:val="00516FCD"/>
    <w:rsid w:val="005203F1"/>
    <w:rsid w:val="00521BC3"/>
    <w:rsid w:val="0052244D"/>
    <w:rsid w:val="00523F39"/>
    <w:rsid w:val="0052459F"/>
    <w:rsid w:val="00524A84"/>
    <w:rsid w:val="0052751D"/>
    <w:rsid w:val="00527E48"/>
    <w:rsid w:val="005302D5"/>
    <w:rsid w:val="00530443"/>
    <w:rsid w:val="00530867"/>
    <w:rsid w:val="0053137C"/>
    <w:rsid w:val="00532E3C"/>
    <w:rsid w:val="00532E85"/>
    <w:rsid w:val="00533632"/>
    <w:rsid w:val="00533B07"/>
    <w:rsid w:val="00533C8E"/>
    <w:rsid w:val="00533DA9"/>
    <w:rsid w:val="005346CE"/>
    <w:rsid w:val="00535729"/>
    <w:rsid w:val="00536FDA"/>
    <w:rsid w:val="00540035"/>
    <w:rsid w:val="00540BAB"/>
    <w:rsid w:val="0054251F"/>
    <w:rsid w:val="00544545"/>
    <w:rsid w:val="0054563D"/>
    <w:rsid w:val="005463EF"/>
    <w:rsid w:val="00546F9B"/>
    <w:rsid w:val="00547837"/>
    <w:rsid w:val="00547C40"/>
    <w:rsid w:val="00550618"/>
    <w:rsid w:val="00550A60"/>
    <w:rsid w:val="00551623"/>
    <w:rsid w:val="005520D8"/>
    <w:rsid w:val="00553C26"/>
    <w:rsid w:val="00553D76"/>
    <w:rsid w:val="00556CF1"/>
    <w:rsid w:val="00557D85"/>
    <w:rsid w:val="005601E0"/>
    <w:rsid w:val="00560293"/>
    <w:rsid w:val="00561253"/>
    <w:rsid w:val="005620BF"/>
    <w:rsid w:val="005627EC"/>
    <w:rsid w:val="00564CAB"/>
    <w:rsid w:val="0056527B"/>
    <w:rsid w:val="00566EB5"/>
    <w:rsid w:val="00567DFE"/>
    <w:rsid w:val="00567F36"/>
    <w:rsid w:val="00570685"/>
    <w:rsid w:val="005707D0"/>
    <w:rsid w:val="00571717"/>
    <w:rsid w:val="005718ED"/>
    <w:rsid w:val="00571BDB"/>
    <w:rsid w:val="005721A6"/>
    <w:rsid w:val="005725C7"/>
    <w:rsid w:val="005730ED"/>
    <w:rsid w:val="00573442"/>
    <w:rsid w:val="005736AE"/>
    <w:rsid w:val="00573ACE"/>
    <w:rsid w:val="005741D3"/>
    <w:rsid w:val="00574AB4"/>
    <w:rsid w:val="00575F58"/>
    <w:rsid w:val="005762A7"/>
    <w:rsid w:val="005774EB"/>
    <w:rsid w:val="00581BDE"/>
    <w:rsid w:val="00581C3A"/>
    <w:rsid w:val="0058233D"/>
    <w:rsid w:val="00583824"/>
    <w:rsid w:val="00583E2C"/>
    <w:rsid w:val="00585988"/>
    <w:rsid w:val="00590E65"/>
    <w:rsid w:val="005916D7"/>
    <w:rsid w:val="005931F4"/>
    <w:rsid w:val="00593505"/>
    <w:rsid w:val="005948BB"/>
    <w:rsid w:val="005948F0"/>
    <w:rsid w:val="00594CC4"/>
    <w:rsid w:val="00595A97"/>
    <w:rsid w:val="005961A2"/>
    <w:rsid w:val="005964CC"/>
    <w:rsid w:val="00596605"/>
    <w:rsid w:val="00596715"/>
    <w:rsid w:val="00596901"/>
    <w:rsid w:val="005A0C7F"/>
    <w:rsid w:val="005A14A7"/>
    <w:rsid w:val="005A15D5"/>
    <w:rsid w:val="005A1AF6"/>
    <w:rsid w:val="005A2149"/>
    <w:rsid w:val="005A2610"/>
    <w:rsid w:val="005A42BA"/>
    <w:rsid w:val="005A4A84"/>
    <w:rsid w:val="005A59C5"/>
    <w:rsid w:val="005A698C"/>
    <w:rsid w:val="005A7534"/>
    <w:rsid w:val="005A75EE"/>
    <w:rsid w:val="005A7992"/>
    <w:rsid w:val="005A7B7C"/>
    <w:rsid w:val="005B22E8"/>
    <w:rsid w:val="005B25FA"/>
    <w:rsid w:val="005B3FC8"/>
    <w:rsid w:val="005B4C26"/>
    <w:rsid w:val="005B4E32"/>
    <w:rsid w:val="005B628C"/>
    <w:rsid w:val="005B7BAF"/>
    <w:rsid w:val="005B7CCB"/>
    <w:rsid w:val="005C06CA"/>
    <w:rsid w:val="005C0DDF"/>
    <w:rsid w:val="005C17D2"/>
    <w:rsid w:val="005C1D3C"/>
    <w:rsid w:val="005C1E41"/>
    <w:rsid w:val="005C3051"/>
    <w:rsid w:val="005C3F41"/>
    <w:rsid w:val="005C4508"/>
    <w:rsid w:val="005C489A"/>
    <w:rsid w:val="005C61B7"/>
    <w:rsid w:val="005D60E5"/>
    <w:rsid w:val="005D6714"/>
    <w:rsid w:val="005D7B7D"/>
    <w:rsid w:val="005E064D"/>
    <w:rsid w:val="005E0799"/>
    <w:rsid w:val="005E07BE"/>
    <w:rsid w:val="005E0AFA"/>
    <w:rsid w:val="005E1CD6"/>
    <w:rsid w:val="005E258C"/>
    <w:rsid w:val="005E2BC9"/>
    <w:rsid w:val="005E35A4"/>
    <w:rsid w:val="005E38F2"/>
    <w:rsid w:val="005E39B1"/>
    <w:rsid w:val="005E4068"/>
    <w:rsid w:val="005E523C"/>
    <w:rsid w:val="005E690C"/>
    <w:rsid w:val="005E7F19"/>
    <w:rsid w:val="005F07CB"/>
    <w:rsid w:val="005F1253"/>
    <w:rsid w:val="005F13B9"/>
    <w:rsid w:val="005F1F50"/>
    <w:rsid w:val="005F2588"/>
    <w:rsid w:val="005F2B01"/>
    <w:rsid w:val="005F3AC6"/>
    <w:rsid w:val="005F402A"/>
    <w:rsid w:val="005F4293"/>
    <w:rsid w:val="005F45DB"/>
    <w:rsid w:val="005F5A80"/>
    <w:rsid w:val="005F6500"/>
    <w:rsid w:val="00600478"/>
    <w:rsid w:val="006004B7"/>
    <w:rsid w:val="00600A2E"/>
    <w:rsid w:val="00600EEA"/>
    <w:rsid w:val="00600F91"/>
    <w:rsid w:val="00601188"/>
    <w:rsid w:val="00601A7D"/>
    <w:rsid w:val="00602244"/>
    <w:rsid w:val="006034CB"/>
    <w:rsid w:val="00603560"/>
    <w:rsid w:val="00604109"/>
    <w:rsid w:val="006044FF"/>
    <w:rsid w:val="00607032"/>
    <w:rsid w:val="00607037"/>
    <w:rsid w:val="00607572"/>
    <w:rsid w:val="00607CC5"/>
    <w:rsid w:val="00611464"/>
    <w:rsid w:val="00613209"/>
    <w:rsid w:val="00614678"/>
    <w:rsid w:val="00615160"/>
    <w:rsid w:val="0061612A"/>
    <w:rsid w:val="00616507"/>
    <w:rsid w:val="00616872"/>
    <w:rsid w:val="0062015C"/>
    <w:rsid w:val="006202DE"/>
    <w:rsid w:val="00621075"/>
    <w:rsid w:val="00621A64"/>
    <w:rsid w:val="00621CE1"/>
    <w:rsid w:val="00622AA4"/>
    <w:rsid w:val="006239EA"/>
    <w:rsid w:val="00624C31"/>
    <w:rsid w:val="00624EE4"/>
    <w:rsid w:val="00626BB5"/>
    <w:rsid w:val="0063054F"/>
    <w:rsid w:val="00631F3F"/>
    <w:rsid w:val="00633014"/>
    <w:rsid w:val="00633075"/>
    <w:rsid w:val="0063437B"/>
    <w:rsid w:val="006346DD"/>
    <w:rsid w:val="00634B27"/>
    <w:rsid w:val="00637EB0"/>
    <w:rsid w:val="006423C1"/>
    <w:rsid w:val="006425E3"/>
    <w:rsid w:val="00643AC3"/>
    <w:rsid w:val="00643E4C"/>
    <w:rsid w:val="0064586C"/>
    <w:rsid w:val="00645E24"/>
    <w:rsid w:val="006474B4"/>
    <w:rsid w:val="006478A0"/>
    <w:rsid w:val="00650837"/>
    <w:rsid w:val="006509E0"/>
    <w:rsid w:val="00650EC1"/>
    <w:rsid w:val="006519FE"/>
    <w:rsid w:val="00653F95"/>
    <w:rsid w:val="0065428F"/>
    <w:rsid w:val="00654BD4"/>
    <w:rsid w:val="00655B9B"/>
    <w:rsid w:val="00660D17"/>
    <w:rsid w:val="00661AB9"/>
    <w:rsid w:val="00663ED1"/>
    <w:rsid w:val="006643A8"/>
    <w:rsid w:val="00665678"/>
    <w:rsid w:val="00665CA0"/>
    <w:rsid w:val="00665DB2"/>
    <w:rsid w:val="006673CA"/>
    <w:rsid w:val="0067123E"/>
    <w:rsid w:val="00671E0B"/>
    <w:rsid w:val="00673C26"/>
    <w:rsid w:val="00673CE2"/>
    <w:rsid w:val="006750FF"/>
    <w:rsid w:val="006751EA"/>
    <w:rsid w:val="00676D5D"/>
    <w:rsid w:val="006809B8"/>
    <w:rsid w:val="006812AF"/>
    <w:rsid w:val="006825A9"/>
    <w:rsid w:val="006825DC"/>
    <w:rsid w:val="0068327D"/>
    <w:rsid w:val="00684FFD"/>
    <w:rsid w:val="006877C0"/>
    <w:rsid w:val="00690694"/>
    <w:rsid w:val="00691080"/>
    <w:rsid w:val="00691CA1"/>
    <w:rsid w:val="00691E6E"/>
    <w:rsid w:val="006940DA"/>
    <w:rsid w:val="00694AF0"/>
    <w:rsid w:val="00695489"/>
    <w:rsid w:val="00697055"/>
    <w:rsid w:val="00697394"/>
    <w:rsid w:val="006973AF"/>
    <w:rsid w:val="00697DD5"/>
    <w:rsid w:val="00697DE9"/>
    <w:rsid w:val="006A18F8"/>
    <w:rsid w:val="006A2113"/>
    <w:rsid w:val="006A2F2E"/>
    <w:rsid w:val="006A3560"/>
    <w:rsid w:val="006A4DE3"/>
    <w:rsid w:val="006A5324"/>
    <w:rsid w:val="006A5919"/>
    <w:rsid w:val="006A59BD"/>
    <w:rsid w:val="006A5A89"/>
    <w:rsid w:val="006A5DAF"/>
    <w:rsid w:val="006A5F25"/>
    <w:rsid w:val="006A6144"/>
    <w:rsid w:val="006B0874"/>
    <w:rsid w:val="006B0E9E"/>
    <w:rsid w:val="006B29EC"/>
    <w:rsid w:val="006B2C89"/>
    <w:rsid w:val="006B3044"/>
    <w:rsid w:val="006B33E4"/>
    <w:rsid w:val="006B3AFB"/>
    <w:rsid w:val="006B3B1B"/>
    <w:rsid w:val="006B3F43"/>
    <w:rsid w:val="006B404B"/>
    <w:rsid w:val="006B47A2"/>
    <w:rsid w:val="006B51C1"/>
    <w:rsid w:val="006B5AE4"/>
    <w:rsid w:val="006B7324"/>
    <w:rsid w:val="006C12EE"/>
    <w:rsid w:val="006C244E"/>
    <w:rsid w:val="006C2B8A"/>
    <w:rsid w:val="006C2FAB"/>
    <w:rsid w:val="006C4A80"/>
    <w:rsid w:val="006C4BDF"/>
    <w:rsid w:val="006C7748"/>
    <w:rsid w:val="006D0602"/>
    <w:rsid w:val="006D0B19"/>
    <w:rsid w:val="006D147E"/>
    <w:rsid w:val="006D2005"/>
    <w:rsid w:val="006D2BA5"/>
    <w:rsid w:val="006D4054"/>
    <w:rsid w:val="006D4152"/>
    <w:rsid w:val="006D447B"/>
    <w:rsid w:val="006D4E69"/>
    <w:rsid w:val="006D5A50"/>
    <w:rsid w:val="006D6481"/>
    <w:rsid w:val="006D6CF9"/>
    <w:rsid w:val="006E02EC"/>
    <w:rsid w:val="006E397E"/>
    <w:rsid w:val="006E568F"/>
    <w:rsid w:val="006E5A9B"/>
    <w:rsid w:val="006E6A6C"/>
    <w:rsid w:val="006F1409"/>
    <w:rsid w:val="006F2A69"/>
    <w:rsid w:val="006F4DD8"/>
    <w:rsid w:val="006F68A8"/>
    <w:rsid w:val="006F74BC"/>
    <w:rsid w:val="00701780"/>
    <w:rsid w:val="0070216A"/>
    <w:rsid w:val="00703082"/>
    <w:rsid w:val="007035B9"/>
    <w:rsid w:val="00704308"/>
    <w:rsid w:val="00704F54"/>
    <w:rsid w:val="007076E8"/>
    <w:rsid w:val="007153A2"/>
    <w:rsid w:val="007160E2"/>
    <w:rsid w:val="00716571"/>
    <w:rsid w:val="00720711"/>
    <w:rsid w:val="007211B1"/>
    <w:rsid w:val="0072163D"/>
    <w:rsid w:val="0072175A"/>
    <w:rsid w:val="007241EC"/>
    <w:rsid w:val="0072464C"/>
    <w:rsid w:val="00724E26"/>
    <w:rsid w:val="00724E88"/>
    <w:rsid w:val="00724FC1"/>
    <w:rsid w:val="0072526C"/>
    <w:rsid w:val="00725799"/>
    <w:rsid w:val="007269E2"/>
    <w:rsid w:val="00726AC9"/>
    <w:rsid w:val="00726BAD"/>
    <w:rsid w:val="00726C9B"/>
    <w:rsid w:val="00727C6F"/>
    <w:rsid w:val="007303FC"/>
    <w:rsid w:val="007304DC"/>
    <w:rsid w:val="007308F4"/>
    <w:rsid w:val="007309BC"/>
    <w:rsid w:val="00731EBC"/>
    <w:rsid w:val="00732972"/>
    <w:rsid w:val="00733DCF"/>
    <w:rsid w:val="00734660"/>
    <w:rsid w:val="00734ED9"/>
    <w:rsid w:val="00735A31"/>
    <w:rsid w:val="0073620E"/>
    <w:rsid w:val="00740752"/>
    <w:rsid w:val="007410C7"/>
    <w:rsid w:val="0074148F"/>
    <w:rsid w:val="0074165A"/>
    <w:rsid w:val="00742ABD"/>
    <w:rsid w:val="007430EF"/>
    <w:rsid w:val="00743560"/>
    <w:rsid w:val="007435B2"/>
    <w:rsid w:val="00743743"/>
    <w:rsid w:val="0074456F"/>
    <w:rsid w:val="00745802"/>
    <w:rsid w:val="00746187"/>
    <w:rsid w:val="0074689D"/>
    <w:rsid w:val="00747588"/>
    <w:rsid w:val="00747758"/>
    <w:rsid w:val="00751311"/>
    <w:rsid w:val="007561E8"/>
    <w:rsid w:val="00756232"/>
    <w:rsid w:val="00757C29"/>
    <w:rsid w:val="007604E9"/>
    <w:rsid w:val="00761E0D"/>
    <w:rsid w:val="00761FBB"/>
    <w:rsid w:val="0076207E"/>
    <w:rsid w:val="007620FD"/>
    <w:rsid w:val="0076214D"/>
    <w:rsid w:val="0076254F"/>
    <w:rsid w:val="00762EEE"/>
    <w:rsid w:val="00763F60"/>
    <w:rsid w:val="00765EB7"/>
    <w:rsid w:val="0076668C"/>
    <w:rsid w:val="00767599"/>
    <w:rsid w:val="00770049"/>
    <w:rsid w:val="007704A5"/>
    <w:rsid w:val="00772BF0"/>
    <w:rsid w:val="00773071"/>
    <w:rsid w:val="00773229"/>
    <w:rsid w:val="00774BFD"/>
    <w:rsid w:val="00775378"/>
    <w:rsid w:val="00777015"/>
    <w:rsid w:val="00777AD5"/>
    <w:rsid w:val="00777EB5"/>
    <w:rsid w:val="0078018E"/>
    <w:rsid w:val="007801F5"/>
    <w:rsid w:val="007806AB"/>
    <w:rsid w:val="00780A9B"/>
    <w:rsid w:val="00781699"/>
    <w:rsid w:val="00781970"/>
    <w:rsid w:val="00781D6E"/>
    <w:rsid w:val="00781E97"/>
    <w:rsid w:val="007824B2"/>
    <w:rsid w:val="00782B18"/>
    <w:rsid w:val="00782BCB"/>
    <w:rsid w:val="00783CA4"/>
    <w:rsid w:val="007842FB"/>
    <w:rsid w:val="0078607D"/>
    <w:rsid w:val="00786124"/>
    <w:rsid w:val="00786AA3"/>
    <w:rsid w:val="00786FBC"/>
    <w:rsid w:val="007874E7"/>
    <w:rsid w:val="007879FE"/>
    <w:rsid w:val="00787C29"/>
    <w:rsid w:val="007911E2"/>
    <w:rsid w:val="00791FB1"/>
    <w:rsid w:val="007921A8"/>
    <w:rsid w:val="007928A8"/>
    <w:rsid w:val="007930BD"/>
    <w:rsid w:val="0079354B"/>
    <w:rsid w:val="00793E7E"/>
    <w:rsid w:val="0079446D"/>
    <w:rsid w:val="00794ECD"/>
    <w:rsid w:val="0079514B"/>
    <w:rsid w:val="00795759"/>
    <w:rsid w:val="00796C66"/>
    <w:rsid w:val="00797C25"/>
    <w:rsid w:val="00797DCD"/>
    <w:rsid w:val="007A0D98"/>
    <w:rsid w:val="007A1A4E"/>
    <w:rsid w:val="007A2C9E"/>
    <w:rsid w:val="007A2DC1"/>
    <w:rsid w:val="007A2FC4"/>
    <w:rsid w:val="007A2FCD"/>
    <w:rsid w:val="007A5042"/>
    <w:rsid w:val="007A5E4D"/>
    <w:rsid w:val="007A5F22"/>
    <w:rsid w:val="007A6F92"/>
    <w:rsid w:val="007A75E7"/>
    <w:rsid w:val="007A780B"/>
    <w:rsid w:val="007A796B"/>
    <w:rsid w:val="007B0957"/>
    <w:rsid w:val="007B0E2F"/>
    <w:rsid w:val="007B20E7"/>
    <w:rsid w:val="007B26DC"/>
    <w:rsid w:val="007B2722"/>
    <w:rsid w:val="007B2D3F"/>
    <w:rsid w:val="007B59F8"/>
    <w:rsid w:val="007B6B64"/>
    <w:rsid w:val="007B73AB"/>
    <w:rsid w:val="007B7AD8"/>
    <w:rsid w:val="007B7BAB"/>
    <w:rsid w:val="007C0241"/>
    <w:rsid w:val="007C20B6"/>
    <w:rsid w:val="007C21E6"/>
    <w:rsid w:val="007C2650"/>
    <w:rsid w:val="007C273C"/>
    <w:rsid w:val="007C2A66"/>
    <w:rsid w:val="007C4552"/>
    <w:rsid w:val="007C57F2"/>
    <w:rsid w:val="007C64BA"/>
    <w:rsid w:val="007D04AE"/>
    <w:rsid w:val="007D3319"/>
    <w:rsid w:val="007D335D"/>
    <w:rsid w:val="007D457F"/>
    <w:rsid w:val="007D477C"/>
    <w:rsid w:val="007D4C39"/>
    <w:rsid w:val="007D62F3"/>
    <w:rsid w:val="007D77D5"/>
    <w:rsid w:val="007E05CC"/>
    <w:rsid w:val="007E0E8F"/>
    <w:rsid w:val="007E229E"/>
    <w:rsid w:val="007E3314"/>
    <w:rsid w:val="007E4B03"/>
    <w:rsid w:val="007E5852"/>
    <w:rsid w:val="007F05CC"/>
    <w:rsid w:val="007F0B80"/>
    <w:rsid w:val="007F0FAD"/>
    <w:rsid w:val="007F10F2"/>
    <w:rsid w:val="007F324B"/>
    <w:rsid w:val="007F4500"/>
    <w:rsid w:val="007F4CE4"/>
    <w:rsid w:val="007F52B5"/>
    <w:rsid w:val="007F5BFE"/>
    <w:rsid w:val="007F5C28"/>
    <w:rsid w:val="007F5C8B"/>
    <w:rsid w:val="007F6BB9"/>
    <w:rsid w:val="007F7671"/>
    <w:rsid w:val="007F7C9E"/>
    <w:rsid w:val="008003D6"/>
    <w:rsid w:val="008006DC"/>
    <w:rsid w:val="00800B0A"/>
    <w:rsid w:val="00803BAB"/>
    <w:rsid w:val="00803BB8"/>
    <w:rsid w:val="00805535"/>
    <w:rsid w:val="0080553C"/>
    <w:rsid w:val="00805B46"/>
    <w:rsid w:val="00805FC6"/>
    <w:rsid w:val="008060AC"/>
    <w:rsid w:val="00806566"/>
    <w:rsid w:val="00806FD2"/>
    <w:rsid w:val="008115A2"/>
    <w:rsid w:val="00811AE4"/>
    <w:rsid w:val="00812105"/>
    <w:rsid w:val="00813A14"/>
    <w:rsid w:val="0081501F"/>
    <w:rsid w:val="00815520"/>
    <w:rsid w:val="00815967"/>
    <w:rsid w:val="00817052"/>
    <w:rsid w:val="00817420"/>
    <w:rsid w:val="00820144"/>
    <w:rsid w:val="0082126A"/>
    <w:rsid w:val="00821E99"/>
    <w:rsid w:val="00821EA7"/>
    <w:rsid w:val="00823767"/>
    <w:rsid w:val="0082414F"/>
    <w:rsid w:val="0082512F"/>
    <w:rsid w:val="00825422"/>
    <w:rsid w:val="00825DC2"/>
    <w:rsid w:val="00826856"/>
    <w:rsid w:val="00826E51"/>
    <w:rsid w:val="00827301"/>
    <w:rsid w:val="008275AB"/>
    <w:rsid w:val="008277A5"/>
    <w:rsid w:val="0083076F"/>
    <w:rsid w:val="0083172F"/>
    <w:rsid w:val="00832E69"/>
    <w:rsid w:val="008333B1"/>
    <w:rsid w:val="00833AD6"/>
    <w:rsid w:val="0083402B"/>
    <w:rsid w:val="00834AD3"/>
    <w:rsid w:val="0083548B"/>
    <w:rsid w:val="00835E8A"/>
    <w:rsid w:val="00837B70"/>
    <w:rsid w:val="008402C6"/>
    <w:rsid w:val="00840946"/>
    <w:rsid w:val="008412AB"/>
    <w:rsid w:val="008419F9"/>
    <w:rsid w:val="00841E53"/>
    <w:rsid w:val="00841E5D"/>
    <w:rsid w:val="008420E8"/>
    <w:rsid w:val="00842527"/>
    <w:rsid w:val="00843795"/>
    <w:rsid w:val="008447FB"/>
    <w:rsid w:val="00845F09"/>
    <w:rsid w:val="00845F82"/>
    <w:rsid w:val="00846D46"/>
    <w:rsid w:val="008471D9"/>
    <w:rsid w:val="0084798B"/>
    <w:rsid w:val="00847F0F"/>
    <w:rsid w:val="008506F1"/>
    <w:rsid w:val="00850DA0"/>
    <w:rsid w:val="00850E88"/>
    <w:rsid w:val="00851924"/>
    <w:rsid w:val="00851F42"/>
    <w:rsid w:val="00852448"/>
    <w:rsid w:val="0085340F"/>
    <w:rsid w:val="0085372B"/>
    <w:rsid w:val="00853816"/>
    <w:rsid w:val="008540E7"/>
    <w:rsid w:val="00854784"/>
    <w:rsid w:val="008570A1"/>
    <w:rsid w:val="0086167E"/>
    <w:rsid w:val="00861773"/>
    <w:rsid w:val="00862B1A"/>
    <w:rsid w:val="00863468"/>
    <w:rsid w:val="008658F1"/>
    <w:rsid w:val="00865A4E"/>
    <w:rsid w:val="0086767F"/>
    <w:rsid w:val="00870565"/>
    <w:rsid w:val="00871E1F"/>
    <w:rsid w:val="00872857"/>
    <w:rsid w:val="00873465"/>
    <w:rsid w:val="00874263"/>
    <w:rsid w:val="008762AA"/>
    <w:rsid w:val="00876D33"/>
    <w:rsid w:val="00876DDE"/>
    <w:rsid w:val="00876E7C"/>
    <w:rsid w:val="00877D63"/>
    <w:rsid w:val="00880984"/>
    <w:rsid w:val="00880FB2"/>
    <w:rsid w:val="00882160"/>
    <w:rsid w:val="0088258A"/>
    <w:rsid w:val="00882736"/>
    <w:rsid w:val="00883245"/>
    <w:rsid w:val="00884028"/>
    <w:rsid w:val="00885BB4"/>
    <w:rsid w:val="008860D7"/>
    <w:rsid w:val="00886332"/>
    <w:rsid w:val="00886984"/>
    <w:rsid w:val="00887B03"/>
    <w:rsid w:val="00890A77"/>
    <w:rsid w:val="00894606"/>
    <w:rsid w:val="00894BAD"/>
    <w:rsid w:val="00895378"/>
    <w:rsid w:val="00896044"/>
    <w:rsid w:val="00896486"/>
    <w:rsid w:val="008967C6"/>
    <w:rsid w:val="008971E7"/>
    <w:rsid w:val="00897491"/>
    <w:rsid w:val="008A1168"/>
    <w:rsid w:val="008A1DDB"/>
    <w:rsid w:val="008A221A"/>
    <w:rsid w:val="008A26A0"/>
    <w:rsid w:val="008A26D9"/>
    <w:rsid w:val="008A4AEB"/>
    <w:rsid w:val="008A56F6"/>
    <w:rsid w:val="008A59DF"/>
    <w:rsid w:val="008A631D"/>
    <w:rsid w:val="008A7334"/>
    <w:rsid w:val="008A7A09"/>
    <w:rsid w:val="008A7F37"/>
    <w:rsid w:val="008B2A08"/>
    <w:rsid w:val="008B2CB8"/>
    <w:rsid w:val="008B47F4"/>
    <w:rsid w:val="008B569F"/>
    <w:rsid w:val="008B6134"/>
    <w:rsid w:val="008C05E8"/>
    <w:rsid w:val="008C0C29"/>
    <w:rsid w:val="008C24A7"/>
    <w:rsid w:val="008C3A52"/>
    <w:rsid w:val="008C50CC"/>
    <w:rsid w:val="008C5AD8"/>
    <w:rsid w:val="008C5DB3"/>
    <w:rsid w:val="008C6BF3"/>
    <w:rsid w:val="008C6D8D"/>
    <w:rsid w:val="008D04E1"/>
    <w:rsid w:val="008D1F04"/>
    <w:rsid w:val="008D203C"/>
    <w:rsid w:val="008D3718"/>
    <w:rsid w:val="008D411A"/>
    <w:rsid w:val="008D49B2"/>
    <w:rsid w:val="008D4ABA"/>
    <w:rsid w:val="008D5067"/>
    <w:rsid w:val="008D69C6"/>
    <w:rsid w:val="008D6D03"/>
    <w:rsid w:val="008D77EC"/>
    <w:rsid w:val="008E289B"/>
    <w:rsid w:val="008E4ED5"/>
    <w:rsid w:val="008E7AEA"/>
    <w:rsid w:val="008F1D25"/>
    <w:rsid w:val="008F1D5A"/>
    <w:rsid w:val="008F3638"/>
    <w:rsid w:val="008F3C0F"/>
    <w:rsid w:val="008F480E"/>
    <w:rsid w:val="008F5F37"/>
    <w:rsid w:val="008F6327"/>
    <w:rsid w:val="008F6F31"/>
    <w:rsid w:val="008F74DF"/>
    <w:rsid w:val="00900954"/>
    <w:rsid w:val="00900EAA"/>
    <w:rsid w:val="009013F1"/>
    <w:rsid w:val="00901405"/>
    <w:rsid w:val="00902145"/>
    <w:rsid w:val="009034FA"/>
    <w:rsid w:val="00903E43"/>
    <w:rsid w:val="00903E49"/>
    <w:rsid w:val="0090403E"/>
    <w:rsid w:val="00904173"/>
    <w:rsid w:val="009048F4"/>
    <w:rsid w:val="00904DB1"/>
    <w:rsid w:val="00904FE0"/>
    <w:rsid w:val="00907B40"/>
    <w:rsid w:val="0091076A"/>
    <w:rsid w:val="009107B5"/>
    <w:rsid w:val="00910F71"/>
    <w:rsid w:val="00911DF3"/>
    <w:rsid w:val="00912159"/>
    <w:rsid w:val="0091234E"/>
    <w:rsid w:val="009127BA"/>
    <w:rsid w:val="00912A9A"/>
    <w:rsid w:val="00912EFD"/>
    <w:rsid w:val="00913F1B"/>
    <w:rsid w:val="009141F6"/>
    <w:rsid w:val="009151F7"/>
    <w:rsid w:val="00915ECB"/>
    <w:rsid w:val="0091671E"/>
    <w:rsid w:val="00917D43"/>
    <w:rsid w:val="009206A4"/>
    <w:rsid w:val="009212D6"/>
    <w:rsid w:val="009227A6"/>
    <w:rsid w:val="009244F0"/>
    <w:rsid w:val="00924F00"/>
    <w:rsid w:val="0092760C"/>
    <w:rsid w:val="00931943"/>
    <w:rsid w:val="00931BD3"/>
    <w:rsid w:val="00931E6D"/>
    <w:rsid w:val="009326B5"/>
    <w:rsid w:val="00933725"/>
    <w:rsid w:val="00933EC1"/>
    <w:rsid w:val="0093521B"/>
    <w:rsid w:val="00935B0C"/>
    <w:rsid w:val="00935BEC"/>
    <w:rsid w:val="00936E36"/>
    <w:rsid w:val="00937B98"/>
    <w:rsid w:val="00940322"/>
    <w:rsid w:val="009435A9"/>
    <w:rsid w:val="00944DB2"/>
    <w:rsid w:val="009456B8"/>
    <w:rsid w:val="00946DFD"/>
    <w:rsid w:val="0094773C"/>
    <w:rsid w:val="00950E45"/>
    <w:rsid w:val="009526FF"/>
    <w:rsid w:val="00952CA6"/>
    <w:rsid w:val="009530DB"/>
    <w:rsid w:val="00953676"/>
    <w:rsid w:val="00955ECA"/>
    <w:rsid w:val="0095637B"/>
    <w:rsid w:val="00956735"/>
    <w:rsid w:val="00957483"/>
    <w:rsid w:val="00961CB9"/>
    <w:rsid w:val="00961DA3"/>
    <w:rsid w:val="00962A09"/>
    <w:rsid w:val="00963F60"/>
    <w:rsid w:val="00965ED1"/>
    <w:rsid w:val="009668E9"/>
    <w:rsid w:val="00966D78"/>
    <w:rsid w:val="00967351"/>
    <w:rsid w:val="00967863"/>
    <w:rsid w:val="00967864"/>
    <w:rsid w:val="00967DCC"/>
    <w:rsid w:val="00970228"/>
    <w:rsid w:val="009705EE"/>
    <w:rsid w:val="00971603"/>
    <w:rsid w:val="00971913"/>
    <w:rsid w:val="00972A6B"/>
    <w:rsid w:val="00973264"/>
    <w:rsid w:val="00973FD6"/>
    <w:rsid w:val="00974116"/>
    <w:rsid w:val="00974648"/>
    <w:rsid w:val="00974956"/>
    <w:rsid w:val="00974F8C"/>
    <w:rsid w:val="00975CD2"/>
    <w:rsid w:val="00977834"/>
    <w:rsid w:val="00977927"/>
    <w:rsid w:val="0098135C"/>
    <w:rsid w:val="009814DA"/>
    <w:rsid w:val="0098156A"/>
    <w:rsid w:val="00982870"/>
    <w:rsid w:val="00983231"/>
    <w:rsid w:val="009835AF"/>
    <w:rsid w:val="00984E54"/>
    <w:rsid w:val="009855A7"/>
    <w:rsid w:val="00986652"/>
    <w:rsid w:val="009875B0"/>
    <w:rsid w:val="00987F68"/>
    <w:rsid w:val="00990501"/>
    <w:rsid w:val="00990775"/>
    <w:rsid w:val="00990D89"/>
    <w:rsid w:val="00991BAC"/>
    <w:rsid w:val="00991BF4"/>
    <w:rsid w:val="009922AA"/>
    <w:rsid w:val="009928B0"/>
    <w:rsid w:val="00992CC2"/>
    <w:rsid w:val="00993C28"/>
    <w:rsid w:val="009950CF"/>
    <w:rsid w:val="0099570A"/>
    <w:rsid w:val="00996264"/>
    <w:rsid w:val="009964FA"/>
    <w:rsid w:val="00997452"/>
    <w:rsid w:val="00997C2A"/>
    <w:rsid w:val="009A000E"/>
    <w:rsid w:val="009A0122"/>
    <w:rsid w:val="009A0155"/>
    <w:rsid w:val="009A0363"/>
    <w:rsid w:val="009A042E"/>
    <w:rsid w:val="009A1AB2"/>
    <w:rsid w:val="009A3157"/>
    <w:rsid w:val="009A361B"/>
    <w:rsid w:val="009A3CE0"/>
    <w:rsid w:val="009A445F"/>
    <w:rsid w:val="009A44C2"/>
    <w:rsid w:val="009A5FCC"/>
    <w:rsid w:val="009A6EA0"/>
    <w:rsid w:val="009B10AA"/>
    <w:rsid w:val="009B3D63"/>
    <w:rsid w:val="009B40C4"/>
    <w:rsid w:val="009B4A6C"/>
    <w:rsid w:val="009B59F0"/>
    <w:rsid w:val="009C0901"/>
    <w:rsid w:val="009C0B07"/>
    <w:rsid w:val="009C1271"/>
    <w:rsid w:val="009C1335"/>
    <w:rsid w:val="009C1612"/>
    <w:rsid w:val="009C1AB2"/>
    <w:rsid w:val="009C202A"/>
    <w:rsid w:val="009C22E5"/>
    <w:rsid w:val="009C2C55"/>
    <w:rsid w:val="009C35DF"/>
    <w:rsid w:val="009C47DA"/>
    <w:rsid w:val="009C4F86"/>
    <w:rsid w:val="009C6E98"/>
    <w:rsid w:val="009C7251"/>
    <w:rsid w:val="009D080B"/>
    <w:rsid w:val="009D0903"/>
    <w:rsid w:val="009D0917"/>
    <w:rsid w:val="009D191D"/>
    <w:rsid w:val="009D1E8A"/>
    <w:rsid w:val="009D24FA"/>
    <w:rsid w:val="009D2601"/>
    <w:rsid w:val="009D350C"/>
    <w:rsid w:val="009D36E8"/>
    <w:rsid w:val="009D389F"/>
    <w:rsid w:val="009D54B2"/>
    <w:rsid w:val="009D5D5E"/>
    <w:rsid w:val="009D7322"/>
    <w:rsid w:val="009E163E"/>
    <w:rsid w:val="009E2E91"/>
    <w:rsid w:val="009E3509"/>
    <w:rsid w:val="009E440B"/>
    <w:rsid w:val="009E4BB0"/>
    <w:rsid w:val="009E7028"/>
    <w:rsid w:val="009F1150"/>
    <w:rsid w:val="009F6E5B"/>
    <w:rsid w:val="00A00B88"/>
    <w:rsid w:val="00A01263"/>
    <w:rsid w:val="00A01F00"/>
    <w:rsid w:val="00A02204"/>
    <w:rsid w:val="00A02A22"/>
    <w:rsid w:val="00A04266"/>
    <w:rsid w:val="00A05126"/>
    <w:rsid w:val="00A05C95"/>
    <w:rsid w:val="00A06C76"/>
    <w:rsid w:val="00A07110"/>
    <w:rsid w:val="00A1035E"/>
    <w:rsid w:val="00A10CE2"/>
    <w:rsid w:val="00A110B5"/>
    <w:rsid w:val="00A1170B"/>
    <w:rsid w:val="00A11DF3"/>
    <w:rsid w:val="00A12182"/>
    <w:rsid w:val="00A13248"/>
    <w:rsid w:val="00A139F5"/>
    <w:rsid w:val="00A141EF"/>
    <w:rsid w:val="00A14254"/>
    <w:rsid w:val="00A14BDC"/>
    <w:rsid w:val="00A176DA"/>
    <w:rsid w:val="00A179CF"/>
    <w:rsid w:val="00A17B8E"/>
    <w:rsid w:val="00A20D73"/>
    <w:rsid w:val="00A2168D"/>
    <w:rsid w:val="00A228A5"/>
    <w:rsid w:val="00A232A4"/>
    <w:rsid w:val="00A262AA"/>
    <w:rsid w:val="00A267B4"/>
    <w:rsid w:val="00A27739"/>
    <w:rsid w:val="00A27FE2"/>
    <w:rsid w:val="00A27FE7"/>
    <w:rsid w:val="00A30CC6"/>
    <w:rsid w:val="00A3123D"/>
    <w:rsid w:val="00A316F2"/>
    <w:rsid w:val="00A31827"/>
    <w:rsid w:val="00A31BC5"/>
    <w:rsid w:val="00A32754"/>
    <w:rsid w:val="00A337F4"/>
    <w:rsid w:val="00A33F49"/>
    <w:rsid w:val="00A365F4"/>
    <w:rsid w:val="00A378D7"/>
    <w:rsid w:val="00A408A1"/>
    <w:rsid w:val="00A40FC8"/>
    <w:rsid w:val="00A438E2"/>
    <w:rsid w:val="00A466C5"/>
    <w:rsid w:val="00A47D80"/>
    <w:rsid w:val="00A50960"/>
    <w:rsid w:val="00A514DB"/>
    <w:rsid w:val="00A53132"/>
    <w:rsid w:val="00A53451"/>
    <w:rsid w:val="00A53590"/>
    <w:rsid w:val="00A535A4"/>
    <w:rsid w:val="00A53820"/>
    <w:rsid w:val="00A53A63"/>
    <w:rsid w:val="00A54487"/>
    <w:rsid w:val="00A5450B"/>
    <w:rsid w:val="00A5513F"/>
    <w:rsid w:val="00A563F2"/>
    <w:rsid w:val="00A566E8"/>
    <w:rsid w:val="00A56AA8"/>
    <w:rsid w:val="00A571C1"/>
    <w:rsid w:val="00A6135D"/>
    <w:rsid w:val="00A6201D"/>
    <w:rsid w:val="00A64636"/>
    <w:rsid w:val="00A64837"/>
    <w:rsid w:val="00A65BC3"/>
    <w:rsid w:val="00A6749A"/>
    <w:rsid w:val="00A70238"/>
    <w:rsid w:val="00A70BAF"/>
    <w:rsid w:val="00A71ACC"/>
    <w:rsid w:val="00A71B57"/>
    <w:rsid w:val="00A7333B"/>
    <w:rsid w:val="00A740E5"/>
    <w:rsid w:val="00A74652"/>
    <w:rsid w:val="00A75373"/>
    <w:rsid w:val="00A754D5"/>
    <w:rsid w:val="00A75CB3"/>
    <w:rsid w:val="00A76FA0"/>
    <w:rsid w:val="00A7760B"/>
    <w:rsid w:val="00A80AF2"/>
    <w:rsid w:val="00A810F9"/>
    <w:rsid w:val="00A8340F"/>
    <w:rsid w:val="00A855CD"/>
    <w:rsid w:val="00A868D6"/>
    <w:rsid w:val="00A86E95"/>
    <w:rsid w:val="00A86ECC"/>
    <w:rsid w:val="00A86FCC"/>
    <w:rsid w:val="00A87395"/>
    <w:rsid w:val="00A87B84"/>
    <w:rsid w:val="00A87DBC"/>
    <w:rsid w:val="00A91596"/>
    <w:rsid w:val="00A915F0"/>
    <w:rsid w:val="00A9178C"/>
    <w:rsid w:val="00A91E48"/>
    <w:rsid w:val="00A92703"/>
    <w:rsid w:val="00A92A93"/>
    <w:rsid w:val="00A9301D"/>
    <w:rsid w:val="00A93631"/>
    <w:rsid w:val="00A93F98"/>
    <w:rsid w:val="00A9412D"/>
    <w:rsid w:val="00A94F6D"/>
    <w:rsid w:val="00A97054"/>
    <w:rsid w:val="00AA02A4"/>
    <w:rsid w:val="00AA0591"/>
    <w:rsid w:val="00AA09E7"/>
    <w:rsid w:val="00AA25CE"/>
    <w:rsid w:val="00AA26C3"/>
    <w:rsid w:val="00AA2AE3"/>
    <w:rsid w:val="00AA33B7"/>
    <w:rsid w:val="00AA35ED"/>
    <w:rsid w:val="00AA48DC"/>
    <w:rsid w:val="00AA58E3"/>
    <w:rsid w:val="00AA5A18"/>
    <w:rsid w:val="00AA6C9D"/>
    <w:rsid w:val="00AA6CCC"/>
    <w:rsid w:val="00AA6F6A"/>
    <w:rsid w:val="00AA710D"/>
    <w:rsid w:val="00AB0E3E"/>
    <w:rsid w:val="00AB0EAF"/>
    <w:rsid w:val="00AB0F77"/>
    <w:rsid w:val="00AB1E64"/>
    <w:rsid w:val="00AB2AE5"/>
    <w:rsid w:val="00AB4FDA"/>
    <w:rsid w:val="00AB6522"/>
    <w:rsid w:val="00AB68DC"/>
    <w:rsid w:val="00AB6C31"/>
    <w:rsid w:val="00AB6D25"/>
    <w:rsid w:val="00AB7780"/>
    <w:rsid w:val="00AC0C33"/>
    <w:rsid w:val="00AC0F43"/>
    <w:rsid w:val="00AC1D60"/>
    <w:rsid w:val="00AC3F3A"/>
    <w:rsid w:val="00AC41D9"/>
    <w:rsid w:val="00AC492A"/>
    <w:rsid w:val="00AC6ACE"/>
    <w:rsid w:val="00AD11B1"/>
    <w:rsid w:val="00AD2717"/>
    <w:rsid w:val="00AD2B8F"/>
    <w:rsid w:val="00AD3392"/>
    <w:rsid w:val="00AD3EA6"/>
    <w:rsid w:val="00AD453B"/>
    <w:rsid w:val="00AD4636"/>
    <w:rsid w:val="00AD5DC4"/>
    <w:rsid w:val="00AD7788"/>
    <w:rsid w:val="00AE0482"/>
    <w:rsid w:val="00AE1AEA"/>
    <w:rsid w:val="00AE2D4B"/>
    <w:rsid w:val="00AE30FD"/>
    <w:rsid w:val="00AE36D5"/>
    <w:rsid w:val="00AE4F99"/>
    <w:rsid w:val="00AE4FA0"/>
    <w:rsid w:val="00AE50A6"/>
    <w:rsid w:val="00AE5356"/>
    <w:rsid w:val="00AE607A"/>
    <w:rsid w:val="00AE6A3C"/>
    <w:rsid w:val="00AE765A"/>
    <w:rsid w:val="00AE7736"/>
    <w:rsid w:val="00AE79C9"/>
    <w:rsid w:val="00AE7FE9"/>
    <w:rsid w:val="00AF3755"/>
    <w:rsid w:val="00AF3F0F"/>
    <w:rsid w:val="00AF5D1F"/>
    <w:rsid w:val="00AF654B"/>
    <w:rsid w:val="00AF7327"/>
    <w:rsid w:val="00AF7AEE"/>
    <w:rsid w:val="00B009AA"/>
    <w:rsid w:val="00B009DC"/>
    <w:rsid w:val="00B011F2"/>
    <w:rsid w:val="00B014D5"/>
    <w:rsid w:val="00B024FA"/>
    <w:rsid w:val="00B035F7"/>
    <w:rsid w:val="00B0401A"/>
    <w:rsid w:val="00B06255"/>
    <w:rsid w:val="00B104E3"/>
    <w:rsid w:val="00B107E4"/>
    <w:rsid w:val="00B10CA5"/>
    <w:rsid w:val="00B115DA"/>
    <w:rsid w:val="00B11700"/>
    <w:rsid w:val="00B12A03"/>
    <w:rsid w:val="00B14952"/>
    <w:rsid w:val="00B15357"/>
    <w:rsid w:val="00B15866"/>
    <w:rsid w:val="00B16FD7"/>
    <w:rsid w:val="00B1732B"/>
    <w:rsid w:val="00B176F1"/>
    <w:rsid w:val="00B17E67"/>
    <w:rsid w:val="00B17FF2"/>
    <w:rsid w:val="00B20266"/>
    <w:rsid w:val="00B207D2"/>
    <w:rsid w:val="00B20BB1"/>
    <w:rsid w:val="00B21032"/>
    <w:rsid w:val="00B215B7"/>
    <w:rsid w:val="00B2224A"/>
    <w:rsid w:val="00B229AB"/>
    <w:rsid w:val="00B23EBF"/>
    <w:rsid w:val="00B24778"/>
    <w:rsid w:val="00B248FB"/>
    <w:rsid w:val="00B24949"/>
    <w:rsid w:val="00B24AB6"/>
    <w:rsid w:val="00B24EAB"/>
    <w:rsid w:val="00B25AC8"/>
    <w:rsid w:val="00B27B0C"/>
    <w:rsid w:val="00B30494"/>
    <w:rsid w:val="00B3070F"/>
    <w:rsid w:val="00B30940"/>
    <w:rsid w:val="00B30CD9"/>
    <w:rsid w:val="00B31E5A"/>
    <w:rsid w:val="00B34209"/>
    <w:rsid w:val="00B348E5"/>
    <w:rsid w:val="00B348EE"/>
    <w:rsid w:val="00B34C1B"/>
    <w:rsid w:val="00B35558"/>
    <w:rsid w:val="00B35F84"/>
    <w:rsid w:val="00B35FFB"/>
    <w:rsid w:val="00B368CD"/>
    <w:rsid w:val="00B37FB5"/>
    <w:rsid w:val="00B40DB1"/>
    <w:rsid w:val="00B415AB"/>
    <w:rsid w:val="00B43665"/>
    <w:rsid w:val="00B43B29"/>
    <w:rsid w:val="00B44A50"/>
    <w:rsid w:val="00B45303"/>
    <w:rsid w:val="00B458BD"/>
    <w:rsid w:val="00B45C74"/>
    <w:rsid w:val="00B45ECA"/>
    <w:rsid w:val="00B478C2"/>
    <w:rsid w:val="00B50D56"/>
    <w:rsid w:val="00B52311"/>
    <w:rsid w:val="00B52E6B"/>
    <w:rsid w:val="00B53B80"/>
    <w:rsid w:val="00B5412B"/>
    <w:rsid w:val="00B543E1"/>
    <w:rsid w:val="00B54CDF"/>
    <w:rsid w:val="00B557B2"/>
    <w:rsid w:val="00B57F37"/>
    <w:rsid w:val="00B606FD"/>
    <w:rsid w:val="00B608AA"/>
    <w:rsid w:val="00B6129D"/>
    <w:rsid w:val="00B61732"/>
    <w:rsid w:val="00B64B03"/>
    <w:rsid w:val="00B653AB"/>
    <w:rsid w:val="00B65A33"/>
    <w:rsid w:val="00B65F9E"/>
    <w:rsid w:val="00B66B19"/>
    <w:rsid w:val="00B673B3"/>
    <w:rsid w:val="00B679E3"/>
    <w:rsid w:val="00B717BA"/>
    <w:rsid w:val="00B72ED7"/>
    <w:rsid w:val="00B73445"/>
    <w:rsid w:val="00B74006"/>
    <w:rsid w:val="00B750F4"/>
    <w:rsid w:val="00B75F37"/>
    <w:rsid w:val="00B77312"/>
    <w:rsid w:val="00B80054"/>
    <w:rsid w:val="00B80525"/>
    <w:rsid w:val="00B8069B"/>
    <w:rsid w:val="00B806B3"/>
    <w:rsid w:val="00B80764"/>
    <w:rsid w:val="00B812B4"/>
    <w:rsid w:val="00B84B72"/>
    <w:rsid w:val="00B858AF"/>
    <w:rsid w:val="00B9025D"/>
    <w:rsid w:val="00B914E9"/>
    <w:rsid w:val="00B91B54"/>
    <w:rsid w:val="00B91B68"/>
    <w:rsid w:val="00B91CE5"/>
    <w:rsid w:val="00B921E9"/>
    <w:rsid w:val="00B928E6"/>
    <w:rsid w:val="00B92A68"/>
    <w:rsid w:val="00B93188"/>
    <w:rsid w:val="00B94640"/>
    <w:rsid w:val="00B94F0D"/>
    <w:rsid w:val="00B952E8"/>
    <w:rsid w:val="00B956EE"/>
    <w:rsid w:val="00B96DFA"/>
    <w:rsid w:val="00BA04D3"/>
    <w:rsid w:val="00BA064F"/>
    <w:rsid w:val="00BA09A7"/>
    <w:rsid w:val="00BA1BBB"/>
    <w:rsid w:val="00BA2332"/>
    <w:rsid w:val="00BA25C8"/>
    <w:rsid w:val="00BA2BA1"/>
    <w:rsid w:val="00BA2D67"/>
    <w:rsid w:val="00BA2D9E"/>
    <w:rsid w:val="00BA3438"/>
    <w:rsid w:val="00BA355D"/>
    <w:rsid w:val="00BA4645"/>
    <w:rsid w:val="00BA54AF"/>
    <w:rsid w:val="00BA55FC"/>
    <w:rsid w:val="00BA5CD3"/>
    <w:rsid w:val="00BA78E2"/>
    <w:rsid w:val="00BB1959"/>
    <w:rsid w:val="00BB1F7C"/>
    <w:rsid w:val="00BB215D"/>
    <w:rsid w:val="00BB3D7F"/>
    <w:rsid w:val="00BB4D3E"/>
    <w:rsid w:val="00BB4E2A"/>
    <w:rsid w:val="00BB4F09"/>
    <w:rsid w:val="00BC06CC"/>
    <w:rsid w:val="00BC0EAA"/>
    <w:rsid w:val="00BC2085"/>
    <w:rsid w:val="00BC3107"/>
    <w:rsid w:val="00BC3369"/>
    <w:rsid w:val="00BC3466"/>
    <w:rsid w:val="00BC39F5"/>
    <w:rsid w:val="00BC5E52"/>
    <w:rsid w:val="00BC763F"/>
    <w:rsid w:val="00BC7964"/>
    <w:rsid w:val="00BD0892"/>
    <w:rsid w:val="00BD1DCC"/>
    <w:rsid w:val="00BD3890"/>
    <w:rsid w:val="00BD4E33"/>
    <w:rsid w:val="00BD513A"/>
    <w:rsid w:val="00BD6A19"/>
    <w:rsid w:val="00BD6FBC"/>
    <w:rsid w:val="00BD7838"/>
    <w:rsid w:val="00BE040E"/>
    <w:rsid w:val="00BE32EA"/>
    <w:rsid w:val="00BE4514"/>
    <w:rsid w:val="00BE5287"/>
    <w:rsid w:val="00BE6802"/>
    <w:rsid w:val="00BE6B42"/>
    <w:rsid w:val="00BE7167"/>
    <w:rsid w:val="00BE7970"/>
    <w:rsid w:val="00BE7E57"/>
    <w:rsid w:val="00BF13B3"/>
    <w:rsid w:val="00BF236E"/>
    <w:rsid w:val="00BF2C8A"/>
    <w:rsid w:val="00BF378A"/>
    <w:rsid w:val="00BF3ED9"/>
    <w:rsid w:val="00BF46C3"/>
    <w:rsid w:val="00BF49CE"/>
    <w:rsid w:val="00BF4A92"/>
    <w:rsid w:val="00BF4EB9"/>
    <w:rsid w:val="00BF6572"/>
    <w:rsid w:val="00BF7674"/>
    <w:rsid w:val="00BF7DBB"/>
    <w:rsid w:val="00C00144"/>
    <w:rsid w:val="00C02847"/>
    <w:rsid w:val="00C030DE"/>
    <w:rsid w:val="00C03194"/>
    <w:rsid w:val="00C05F79"/>
    <w:rsid w:val="00C10F51"/>
    <w:rsid w:val="00C123A1"/>
    <w:rsid w:val="00C13661"/>
    <w:rsid w:val="00C14131"/>
    <w:rsid w:val="00C14542"/>
    <w:rsid w:val="00C14A0D"/>
    <w:rsid w:val="00C15597"/>
    <w:rsid w:val="00C16142"/>
    <w:rsid w:val="00C16682"/>
    <w:rsid w:val="00C20749"/>
    <w:rsid w:val="00C20B5B"/>
    <w:rsid w:val="00C21864"/>
    <w:rsid w:val="00C22105"/>
    <w:rsid w:val="00C2237E"/>
    <w:rsid w:val="00C24132"/>
    <w:rsid w:val="00C244B6"/>
    <w:rsid w:val="00C26603"/>
    <w:rsid w:val="00C2705A"/>
    <w:rsid w:val="00C2730C"/>
    <w:rsid w:val="00C27DAC"/>
    <w:rsid w:val="00C27E03"/>
    <w:rsid w:val="00C30239"/>
    <w:rsid w:val="00C30A63"/>
    <w:rsid w:val="00C30C6E"/>
    <w:rsid w:val="00C310A5"/>
    <w:rsid w:val="00C320D4"/>
    <w:rsid w:val="00C333FD"/>
    <w:rsid w:val="00C339B2"/>
    <w:rsid w:val="00C34FF2"/>
    <w:rsid w:val="00C36307"/>
    <w:rsid w:val="00C36582"/>
    <w:rsid w:val="00C36AD4"/>
    <w:rsid w:val="00C36ECE"/>
    <w:rsid w:val="00C3702F"/>
    <w:rsid w:val="00C3757E"/>
    <w:rsid w:val="00C37BDD"/>
    <w:rsid w:val="00C438A2"/>
    <w:rsid w:val="00C43FB6"/>
    <w:rsid w:val="00C44196"/>
    <w:rsid w:val="00C44CC4"/>
    <w:rsid w:val="00C45424"/>
    <w:rsid w:val="00C45D3A"/>
    <w:rsid w:val="00C46121"/>
    <w:rsid w:val="00C507AD"/>
    <w:rsid w:val="00C53199"/>
    <w:rsid w:val="00C53661"/>
    <w:rsid w:val="00C53746"/>
    <w:rsid w:val="00C53CDB"/>
    <w:rsid w:val="00C54576"/>
    <w:rsid w:val="00C56302"/>
    <w:rsid w:val="00C5687F"/>
    <w:rsid w:val="00C574CA"/>
    <w:rsid w:val="00C574D4"/>
    <w:rsid w:val="00C6060A"/>
    <w:rsid w:val="00C60D9F"/>
    <w:rsid w:val="00C60DB6"/>
    <w:rsid w:val="00C62393"/>
    <w:rsid w:val="00C636B8"/>
    <w:rsid w:val="00C63AE1"/>
    <w:rsid w:val="00C64A2C"/>
    <w:rsid w:val="00C64A37"/>
    <w:rsid w:val="00C64DA3"/>
    <w:rsid w:val="00C6514D"/>
    <w:rsid w:val="00C661C5"/>
    <w:rsid w:val="00C662DA"/>
    <w:rsid w:val="00C6698A"/>
    <w:rsid w:val="00C674EF"/>
    <w:rsid w:val="00C70BB1"/>
    <w:rsid w:val="00C7158E"/>
    <w:rsid w:val="00C72001"/>
    <w:rsid w:val="00C72189"/>
    <w:rsid w:val="00C7250B"/>
    <w:rsid w:val="00C72833"/>
    <w:rsid w:val="00C7346B"/>
    <w:rsid w:val="00C73D7A"/>
    <w:rsid w:val="00C74493"/>
    <w:rsid w:val="00C77C0E"/>
    <w:rsid w:val="00C801A1"/>
    <w:rsid w:val="00C81DEE"/>
    <w:rsid w:val="00C834D8"/>
    <w:rsid w:val="00C83A41"/>
    <w:rsid w:val="00C83B62"/>
    <w:rsid w:val="00C8474D"/>
    <w:rsid w:val="00C8530D"/>
    <w:rsid w:val="00C85617"/>
    <w:rsid w:val="00C85B43"/>
    <w:rsid w:val="00C85EAB"/>
    <w:rsid w:val="00C85EB4"/>
    <w:rsid w:val="00C86452"/>
    <w:rsid w:val="00C86AE4"/>
    <w:rsid w:val="00C87DFE"/>
    <w:rsid w:val="00C90426"/>
    <w:rsid w:val="00C90AE6"/>
    <w:rsid w:val="00C9158F"/>
    <w:rsid w:val="00C91687"/>
    <w:rsid w:val="00C924A8"/>
    <w:rsid w:val="00C92A69"/>
    <w:rsid w:val="00C93873"/>
    <w:rsid w:val="00C93DA2"/>
    <w:rsid w:val="00C945FE"/>
    <w:rsid w:val="00C96680"/>
    <w:rsid w:val="00C96F9E"/>
    <w:rsid w:val="00C96FAA"/>
    <w:rsid w:val="00C97A04"/>
    <w:rsid w:val="00CA06B9"/>
    <w:rsid w:val="00CA0F1E"/>
    <w:rsid w:val="00CA107B"/>
    <w:rsid w:val="00CA1734"/>
    <w:rsid w:val="00CA17A0"/>
    <w:rsid w:val="00CA484D"/>
    <w:rsid w:val="00CA4BBD"/>
    <w:rsid w:val="00CA7331"/>
    <w:rsid w:val="00CA7BFC"/>
    <w:rsid w:val="00CA7DAC"/>
    <w:rsid w:val="00CB17FE"/>
    <w:rsid w:val="00CB1B40"/>
    <w:rsid w:val="00CB3320"/>
    <w:rsid w:val="00CB3360"/>
    <w:rsid w:val="00CB3ECB"/>
    <w:rsid w:val="00CB4569"/>
    <w:rsid w:val="00CB48D5"/>
    <w:rsid w:val="00CB49CE"/>
    <w:rsid w:val="00CB4F71"/>
    <w:rsid w:val="00CB61A1"/>
    <w:rsid w:val="00CB7BE3"/>
    <w:rsid w:val="00CB7C8F"/>
    <w:rsid w:val="00CC18DC"/>
    <w:rsid w:val="00CC1974"/>
    <w:rsid w:val="00CC1F8B"/>
    <w:rsid w:val="00CC30D1"/>
    <w:rsid w:val="00CC5034"/>
    <w:rsid w:val="00CC5530"/>
    <w:rsid w:val="00CC739E"/>
    <w:rsid w:val="00CC7C1D"/>
    <w:rsid w:val="00CC7EBB"/>
    <w:rsid w:val="00CD02EE"/>
    <w:rsid w:val="00CD06C2"/>
    <w:rsid w:val="00CD1066"/>
    <w:rsid w:val="00CD1400"/>
    <w:rsid w:val="00CD252A"/>
    <w:rsid w:val="00CD29A9"/>
    <w:rsid w:val="00CD34B4"/>
    <w:rsid w:val="00CD34FC"/>
    <w:rsid w:val="00CD3614"/>
    <w:rsid w:val="00CD58B7"/>
    <w:rsid w:val="00CD5A0E"/>
    <w:rsid w:val="00CD676A"/>
    <w:rsid w:val="00CD6E70"/>
    <w:rsid w:val="00CD6EC2"/>
    <w:rsid w:val="00CD74B9"/>
    <w:rsid w:val="00CD7735"/>
    <w:rsid w:val="00CE588D"/>
    <w:rsid w:val="00CE76F3"/>
    <w:rsid w:val="00CE7848"/>
    <w:rsid w:val="00CF07CF"/>
    <w:rsid w:val="00CF0F56"/>
    <w:rsid w:val="00CF127B"/>
    <w:rsid w:val="00CF1C2E"/>
    <w:rsid w:val="00CF1CAB"/>
    <w:rsid w:val="00CF1E7B"/>
    <w:rsid w:val="00CF2325"/>
    <w:rsid w:val="00CF240C"/>
    <w:rsid w:val="00CF2E8B"/>
    <w:rsid w:val="00CF3A11"/>
    <w:rsid w:val="00CF3C8B"/>
    <w:rsid w:val="00CF4099"/>
    <w:rsid w:val="00D0027D"/>
    <w:rsid w:val="00D00796"/>
    <w:rsid w:val="00D00E24"/>
    <w:rsid w:val="00D01A9E"/>
    <w:rsid w:val="00D02088"/>
    <w:rsid w:val="00D04270"/>
    <w:rsid w:val="00D04CA7"/>
    <w:rsid w:val="00D057FE"/>
    <w:rsid w:val="00D064BA"/>
    <w:rsid w:val="00D06AB4"/>
    <w:rsid w:val="00D06C6A"/>
    <w:rsid w:val="00D06EA0"/>
    <w:rsid w:val="00D0762F"/>
    <w:rsid w:val="00D07EC3"/>
    <w:rsid w:val="00D106B6"/>
    <w:rsid w:val="00D10A5B"/>
    <w:rsid w:val="00D13D1B"/>
    <w:rsid w:val="00D149CD"/>
    <w:rsid w:val="00D15F1F"/>
    <w:rsid w:val="00D170A0"/>
    <w:rsid w:val="00D17A05"/>
    <w:rsid w:val="00D20286"/>
    <w:rsid w:val="00D23B03"/>
    <w:rsid w:val="00D249A0"/>
    <w:rsid w:val="00D25250"/>
    <w:rsid w:val="00D2543B"/>
    <w:rsid w:val="00D261A2"/>
    <w:rsid w:val="00D26963"/>
    <w:rsid w:val="00D26995"/>
    <w:rsid w:val="00D300F6"/>
    <w:rsid w:val="00D3015D"/>
    <w:rsid w:val="00D31696"/>
    <w:rsid w:val="00D31FF3"/>
    <w:rsid w:val="00D33B7F"/>
    <w:rsid w:val="00D34310"/>
    <w:rsid w:val="00D34451"/>
    <w:rsid w:val="00D34C3E"/>
    <w:rsid w:val="00D35CD0"/>
    <w:rsid w:val="00D35EB0"/>
    <w:rsid w:val="00D36313"/>
    <w:rsid w:val="00D36F80"/>
    <w:rsid w:val="00D370E5"/>
    <w:rsid w:val="00D4046F"/>
    <w:rsid w:val="00D40D0D"/>
    <w:rsid w:val="00D415BD"/>
    <w:rsid w:val="00D432A4"/>
    <w:rsid w:val="00D43BB7"/>
    <w:rsid w:val="00D43F81"/>
    <w:rsid w:val="00D4431B"/>
    <w:rsid w:val="00D451E4"/>
    <w:rsid w:val="00D45D0F"/>
    <w:rsid w:val="00D47581"/>
    <w:rsid w:val="00D5254F"/>
    <w:rsid w:val="00D530C9"/>
    <w:rsid w:val="00D53734"/>
    <w:rsid w:val="00D5399A"/>
    <w:rsid w:val="00D54C9F"/>
    <w:rsid w:val="00D55EAE"/>
    <w:rsid w:val="00D56646"/>
    <w:rsid w:val="00D6115D"/>
    <w:rsid w:val="00D6156E"/>
    <w:rsid w:val="00D616D2"/>
    <w:rsid w:val="00D61B7A"/>
    <w:rsid w:val="00D62779"/>
    <w:rsid w:val="00D633E6"/>
    <w:rsid w:val="00D6398E"/>
    <w:rsid w:val="00D63B5F"/>
    <w:rsid w:val="00D63F1A"/>
    <w:rsid w:val="00D6405C"/>
    <w:rsid w:val="00D645C4"/>
    <w:rsid w:val="00D66065"/>
    <w:rsid w:val="00D67321"/>
    <w:rsid w:val="00D6756A"/>
    <w:rsid w:val="00D70EF7"/>
    <w:rsid w:val="00D7281E"/>
    <w:rsid w:val="00D730B5"/>
    <w:rsid w:val="00D736EA"/>
    <w:rsid w:val="00D73C94"/>
    <w:rsid w:val="00D73D4E"/>
    <w:rsid w:val="00D73F05"/>
    <w:rsid w:val="00D74974"/>
    <w:rsid w:val="00D749A2"/>
    <w:rsid w:val="00D80874"/>
    <w:rsid w:val="00D81561"/>
    <w:rsid w:val="00D83372"/>
    <w:rsid w:val="00D83708"/>
    <w:rsid w:val="00D8397C"/>
    <w:rsid w:val="00D83C6C"/>
    <w:rsid w:val="00D83DAD"/>
    <w:rsid w:val="00D85443"/>
    <w:rsid w:val="00D87C30"/>
    <w:rsid w:val="00D87EA5"/>
    <w:rsid w:val="00D91B36"/>
    <w:rsid w:val="00D924FA"/>
    <w:rsid w:val="00D92567"/>
    <w:rsid w:val="00D94EED"/>
    <w:rsid w:val="00D96026"/>
    <w:rsid w:val="00D960AF"/>
    <w:rsid w:val="00D96353"/>
    <w:rsid w:val="00D9652A"/>
    <w:rsid w:val="00DA1CEE"/>
    <w:rsid w:val="00DA2CCE"/>
    <w:rsid w:val="00DA3D38"/>
    <w:rsid w:val="00DA6229"/>
    <w:rsid w:val="00DA6298"/>
    <w:rsid w:val="00DA70E8"/>
    <w:rsid w:val="00DA7985"/>
    <w:rsid w:val="00DA7C1C"/>
    <w:rsid w:val="00DB08DC"/>
    <w:rsid w:val="00DB0AA6"/>
    <w:rsid w:val="00DB0D0D"/>
    <w:rsid w:val="00DB0D85"/>
    <w:rsid w:val="00DB0E73"/>
    <w:rsid w:val="00DB147A"/>
    <w:rsid w:val="00DB1B7A"/>
    <w:rsid w:val="00DB1E6B"/>
    <w:rsid w:val="00DB209A"/>
    <w:rsid w:val="00DB2672"/>
    <w:rsid w:val="00DB3DDE"/>
    <w:rsid w:val="00DB6058"/>
    <w:rsid w:val="00DB73A1"/>
    <w:rsid w:val="00DC05C9"/>
    <w:rsid w:val="00DC0D7D"/>
    <w:rsid w:val="00DC2024"/>
    <w:rsid w:val="00DC219D"/>
    <w:rsid w:val="00DC2907"/>
    <w:rsid w:val="00DC362E"/>
    <w:rsid w:val="00DC3A55"/>
    <w:rsid w:val="00DC42E5"/>
    <w:rsid w:val="00DC448D"/>
    <w:rsid w:val="00DC519F"/>
    <w:rsid w:val="00DC51D9"/>
    <w:rsid w:val="00DC55D7"/>
    <w:rsid w:val="00DC6708"/>
    <w:rsid w:val="00DC7F64"/>
    <w:rsid w:val="00DD130A"/>
    <w:rsid w:val="00DD1635"/>
    <w:rsid w:val="00DD1885"/>
    <w:rsid w:val="00DD2F15"/>
    <w:rsid w:val="00DD3790"/>
    <w:rsid w:val="00DD4839"/>
    <w:rsid w:val="00DD4BAC"/>
    <w:rsid w:val="00DD5188"/>
    <w:rsid w:val="00DD5A80"/>
    <w:rsid w:val="00DD7271"/>
    <w:rsid w:val="00DE02E1"/>
    <w:rsid w:val="00DE0BFD"/>
    <w:rsid w:val="00DE0CDF"/>
    <w:rsid w:val="00DE12B7"/>
    <w:rsid w:val="00DE12C8"/>
    <w:rsid w:val="00DE206C"/>
    <w:rsid w:val="00DE381A"/>
    <w:rsid w:val="00DE616F"/>
    <w:rsid w:val="00DE7D1A"/>
    <w:rsid w:val="00DF0A85"/>
    <w:rsid w:val="00DF1E6D"/>
    <w:rsid w:val="00DF22BD"/>
    <w:rsid w:val="00DF2714"/>
    <w:rsid w:val="00DF2BCD"/>
    <w:rsid w:val="00DF4037"/>
    <w:rsid w:val="00DF58BE"/>
    <w:rsid w:val="00DF5DAB"/>
    <w:rsid w:val="00DF6D97"/>
    <w:rsid w:val="00DF7620"/>
    <w:rsid w:val="00E013E9"/>
    <w:rsid w:val="00E01436"/>
    <w:rsid w:val="00E01EC0"/>
    <w:rsid w:val="00E02874"/>
    <w:rsid w:val="00E029DB"/>
    <w:rsid w:val="00E03D9B"/>
    <w:rsid w:val="00E045BD"/>
    <w:rsid w:val="00E049B7"/>
    <w:rsid w:val="00E04FF2"/>
    <w:rsid w:val="00E05A36"/>
    <w:rsid w:val="00E07236"/>
    <w:rsid w:val="00E078E4"/>
    <w:rsid w:val="00E11459"/>
    <w:rsid w:val="00E11741"/>
    <w:rsid w:val="00E12D48"/>
    <w:rsid w:val="00E1317E"/>
    <w:rsid w:val="00E13389"/>
    <w:rsid w:val="00E134D7"/>
    <w:rsid w:val="00E13707"/>
    <w:rsid w:val="00E141F1"/>
    <w:rsid w:val="00E1724A"/>
    <w:rsid w:val="00E17B77"/>
    <w:rsid w:val="00E20851"/>
    <w:rsid w:val="00E20C26"/>
    <w:rsid w:val="00E210D1"/>
    <w:rsid w:val="00E216CD"/>
    <w:rsid w:val="00E21A58"/>
    <w:rsid w:val="00E22E15"/>
    <w:rsid w:val="00E23337"/>
    <w:rsid w:val="00E25818"/>
    <w:rsid w:val="00E259EA"/>
    <w:rsid w:val="00E25E71"/>
    <w:rsid w:val="00E27892"/>
    <w:rsid w:val="00E32061"/>
    <w:rsid w:val="00E33B8B"/>
    <w:rsid w:val="00E35C25"/>
    <w:rsid w:val="00E3757F"/>
    <w:rsid w:val="00E416B5"/>
    <w:rsid w:val="00E4237A"/>
    <w:rsid w:val="00E42FF9"/>
    <w:rsid w:val="00E44386"/>
    <w:rsid w:val="00E45747"/>
    <w:rsid w:val="00E45C7A"/>
    <w:rsid w:val="00E460D5"/>
    <w:rsid w:val="00E4714C"/>
    <w:rsid w:val="00E474B4"/>
    <w:rsid w:val="00E4788F"/>
    <w:rsid w:val="00E47E50"/>
    <w:rsid w:val="00E512EB"/>
    <w:rsid w:val="00E51AEB"/>
    <w:rsid w:val="00E522A7"/>
    <w:rsid w:val="00E526CF"/>
    <w:rsid w:val="00E537CC"/>
    <w:rsid w:val="00E537D4"/>
    <w:rsid w:val="00E53E26"/>
    <w:rsid w:val="00E54452"/>
    <w:rsid w:val="00E54F5F"/>
    <w:rsid w:val="00E62D74"/>
    <w:rsid w:val="00E6342B"/>
    <w:rsid w:val="00E6490E"/>
    <w:rsid w:val="00E6501A"/>
    <w:rsid w:val="00E65E03"/>
    <w:rsid w:val="00E65EC7"/>
    <w:rsid w:val="00E664C5"/>
    <w:rsid w:val="00E671A2"/>
    <w:rsid w:val="00E736D3"/>
    <w:rsid w:val="00E73727"/>
    <w:rsid w:val="00E758A4"/>
    <w:rsid w:val="00E76C0F"/>
    <w:rsid w:val="00E76D26"/>
    <w:rsid w:val="00E77821"/>
    <w:rsid w:val="00E77D52"/>
    <w:rsid w:val="00E804B3"/>
    <w:rsid w:val="00E81D79"/>
    <w:rsid w:val="00E82440"/>
    <w:rsid w:val="00E82474"/>
    <w:rsid w:val="00E84402"/>
    <w:rsid w:val="00E84584"/>
    <w:rsid w:val="00E845B0"/>
    <w:rsid w:val="00E84AB0"/>
    <w:rsid w:val="00E85989"/>
    <w:rsid w:val="00E863CC"/>
    <w:rsid w:val="00E87098"/>
    <w:rsid w:val="00E87640"/>
    <w:rsid w:val="00E91266"/>
    <w:rsid w:val="00E93DF5"/>
    <w:rsid w:val="00E945E2"/>
    <w:rsid w:val="00E94D01"/>
    <w:rsid w:val="00E950B7"/>
    <w:rsid w:val="00E9657B"/>
    <w:rsid w:val="00E96A9B"/>
    <w:rsid w:val="00E96AC8"/>
    <w:rsid w:val="00E96FA4"/>
    <w:rsid w:val="00EA0A58"/>
    <w:rsid w:val="00EA0D29"/>
    <w:rsid w:val="00EA2360"/>
    <w:rsid w:val="00EA253D"/>
    <w:rsid w:val="00EA3712"/>
    <w:rsid w:val="00EA7113"/>
    <w:rsid w:val="00EA7600"/>
    <w:rsid w:val="00EA769B"/>
    <w:rsid w:val="00EA7739"/>
    <w:rsid w:val="00EA7859"/>
    <w:rsid w:val="00EB07BB"/>
    <w:rsid w:val="00EB1390"/>
    <w:rsid w:val="00EB24BF"/>
    <w:rsid w:val="00EB260F"/>
    <w:rsid w:val="00EB2ADF"/>
    <w:rsid w:val="00EB2BCE"/>
    <w:rsid w:val="00EB2C71"/>
    <w:rsid w:val="00EB3243"/>
    <w:rsid w:val="00EB4340"/>
    <w:rsid w:val="00EB532C"/>
    <w:rsid w:val="00EB556D"/>
    <w:rsid w:val="00EB5A7D"/>
    <w:rsid w:val="00EB5DD1"/>
    <w:rsid w:val="00EB70ED"/>
    <w:rsid w:val="00EC0D71"/>
    <w:rsid w:val="00EC174A"/>
    <w:rsid w:val="00EC29B5"/>
    <w:rsid w:val="00EC3089"/>
    <w:rsid w:val="00EC30F6"/>
    <w:rsid w:val="00EC4099"/>
    <w:rsid w:val="00EC5EEF"/>
    <w:rsid w:val="00EC602C"/>
    <w:rsid w:val="00EC7A05"/>
    <w:rsid w:val="00ED0667"/>
    <w:rsid w:val="00ED0BB5"/>
    <w:rsid w:val="00ED21E5"/>
    <w:rsid w:val="00ED2630"/>
    <w:rsid w:val="00ED28C6"/>
    <w:rsid w:val="00ED2E7C"/>
    <w:rsid w:val="00ED410B"/>
    <w:rsid w:val="00ED55C0"/>
    <w:rsid w:val="00ED5FF9"/>
    <w:rsid w:val="00ED682B"/>
    <w:rsid w:val="00ED6FD8"/>
    <w:rsid w:val="00ED726A"/>
    <w:rsid w:val="00ED73A1"/>
    <w:rsid w:val="00EE130A"/>
    <w:rsid w:val="00EE26A4"/>
    <w:rsid w:val="00EE2731"/>
    <w:rsid w:val="00EE3527"/>
    <w:rsid w:val="00EE37D7"/>
    <w:rsid w:val="00EE41D5"/>
    <w:rsid w:val="00EE4B05"/>
    <w:rsid w:val="00EE6A63"/>
    <w:rsid w:val="00EE6B9A"/>
    <w:rsid w:val="00EE759F"/>
    <w:rsid w:val="00EE79E9"/>
    <w:rsid w:val="00EE7C46"/>
    <w:rsid w:val="00EF0347"/>
    <w:rsid w:val="00EF0572"/>
    <w:rsid w:val="00EF0CE8"/>
    <w:rsid w:val="00EF25B0"/>
    <w:rsid w:val="00EF3360"/>
    <w:rsid w:val="00EF452E"/>
    <w:rsid w:val="00EF6582"/>
    <w:rsid w:val="00EF78E0"/>
    <w:rsid w:val="00F003CC"/>
    <w:rsid w:val="00F00DCA"/>
    <w:rsid w:val="00F011B8"/>
    <w:rsid w:val="00F024AB"/>
    <w:rsid w:val="00F02FED"/>
    <w:rsid w:val="00F037A4"/>
    <w:rsid w:val="00F04373"/>
    <w:rsid w:val="00F0547F"/>
    <w:rsid w:val="00F06D7B"/>
    <w:rsid w:val="00F072D4"/>
    <w:rsid w:val="00F108E9"/>
    <w:rsid w:val="00F110DC"/>
    <w:rsid w:val="00F11248"/>
    <w:rsid w:val="00F11FB2"/>
    <w:rsid w:val="00F13C40"/>
    <w:rsid w:val="00F147B5"/>
    <w:rsid w:val="00F168CF"/>
    <w:rsid w:val="00F17038"/>
    <w:rsid w:val="00F207F4"/>
    <w:rsid w:val="00F23A43"/>
    <w:rsid w:val="00F23CE1"/>
    <w:rsid w:val="00F25D16"/>
    <w:rsid w:val="00F263DA"/>
    <w:rsid w:val="00F27C8F"/>
    <w:rsid w:val="00F30007"/>
    <w:rsid w:val="00F30C6D"/>
    <w:rsid w:val="00F324E5"/>
    <w:rsid w:val="00F32749"/>
    <w:rsid w:val="00F33BF5"/>
    <w:rsid w:val="00F33ED7"/>
    <w:rsid w:val="00F34409"/>
    <w:rsid w:val="00F34977"/>
    <w:rsid w:val="00F34B9C"/>
    <w:rsid w:val="00F35098"/>
    <w:rsid w:val="00F356EA"/>
    <w:rsid w:val="00F35787"/>
    <w:rsid w:val="00F37172"/>
    <w:rsid w:val="00F373AF"/>
    <w:rsid w:val="00F4053C"/>
    <w:rsid w:val="00F40A1C"/>
    <w:rsid w:val="00F419A8"/>
    <w:rsid w:val="00F41BB8"/>
    <w:rsid w:val="00F4206F"/>
    <w:rsid w:val="00F4477E"/>
    <w:rsid w:val="00F44888"/>
    <w:rsid w:val="00F4504A"/>
    <w:rsid w:val="00F450C0"/>
    <w:rsid w:val="00F4517D"/>
    <w:rsid w:val="00F45CB7"/>
    <w:rsid w:val="00F46BDE"/>
    <w:rsid w:val="00F47D68"/>
    <w:rsid w:val="00F47EDC"/>
    <w:rsid w:val="00F50ABD"/>
    <w:rsid w:val="00F51059"/>
    <w:rsid w:val="00F51590"/>
    <w:rsid w:val="00F51E27"/>
    <w:rsid w:val="00F54765"/>
    <w:rsid w:val="00F552F0"/>
    <w:rsid w:val="00F56733"/>
    <w:rsid w:val="00F56C40"/>
    <w:rsid w:val="00F57595"/>
    <w:rsid w:val="00F6127B"/>
    <w:rsid w:val="00F63D16"/>
    <w:rsid w:val="00F64400"/>
    <w:rsid w:val="00F64608"/>
    <w:rsid w:val="00F670CD"/>
    <w:rsid w:val="00F674D0"/>
    <w:rsid w:val="00F67570"/>
    <w:rsid w:val="00F67D8F"/>
    <w:rsid w:val="00F70926"/>
    <w:rsid w:val="00F70E23"/>
    <w:rsid w:val="00F73085"/>
    <w:rsid w:val="00F743A5"/>
    <w:rsid w:val="00F752EF"/>
    <w:rsid w:val="00F7798D"/>
    <w:rsid w:val="00F77C2C"/>
    <w:rsid w:val="00F802BE"/>
    <w:rsid w:val="00F819B9"/>
    <w:rsid w:val="00F827AB"/>
    <w:rsid w:val="00F83164"/>
    <w:rsid w:val="00F83DD3"/>
    <w:rsid w:val="00F84459"/>
    <w:rsid w:val="00F85895"/>
    <w:rsid w:val="00F86024"/>
    <w:rsid w:val="00F8611A"/>
    <w:rsid w:val="00F8622F"/>
    <w:rsid w:val="00F87246"/>
    <w:rsid w:val="00F92B4E"/>
    <w:rsid w:val="00F95E0F"/>
    <w:rsid w:val="00FA0908"/>
    <w:rsid w:val="00FA0AFD"/>
    <w:rsid w:val="00FA206D"/>
    <w:rsid w:val="00FA5128"/>
    <w:rsid w:val="00FA5AF8"/>
    <w:rsid w:val="00FB0C2D"/>
    <w:rsid w:val="00FB0DDD"/>
    <w:rsid w:val="00FB2BFC"/>
    <w:rsid w:val="00FB41C5"/>
    <w:rsid w:val="00FB42D4"/>
    <w:rsid w:val="00FB4979"/>
    <w:rsid w:val="00FB4FED"/>
    <w:rsid w:val="00FB5906"/>
    <w:rsid w:val="00FB5960"/>
    <w:rsid w:val="00FB7496"/>
    <w:rsid w:val="00FB762F"/>
    <w:rsid w:val="00FC02B7"/>
    <w:rsid w:val="00FC15F1"/>
    <w:rsid w:val="00FC1668"/>
    <w:rsid w:val="00FC1A10"/>
    <w:rsid w:val="00FC2037"/>
    <w:rsid w:val="00FC2AED"/>
    <w:rsid w:val="00FC4DD1"/>
    <w:rsid w:val="00FC5A04"/>
    <w:rsid w:val="00FC6A7E"/>
    <w:rsid w:val="00FD02F4"/>
    <w:rsid w:val="00FD357F"/>
    <w:rsid w:val="00FD390E"/>
    <w:rsid w:val="00FD58EA"/>
    <w:rsid w:val="00FD5ACE"/>
    <w:rsid w:val="00FD5EA7"/>
    <w:rsid w:val="00FD66BC"/>
    <w:rsid w:val="00FD67A0"/>
    <w:rsid w:val="00FD6D59"/>
    <w:rsid w:val="00FD7867"/>
    <w:rsid w:val="00FE0872"/>
    <w:rsid w:val="00FE0B1E"/>
    <w:rsid w:val="00FE2248"/>
    <w:rsid w:val="00FE2B37"/>
    <w:rsid w:val="00FE2BF9"/>
    <w:rsid w:val="00FE3016"/>
    <w:rsid w:val="00FE46A2"/>
    <w:rsid w:val="00FE5D75"/>
    <w:rsid w:val="00FE5EA3"/>
    <w:rsid w:val="00FE5F6D"/>
    <w:rsid w:val="00FE622E"/>
    <w:rsid w:val="00FE7215"/>
    <w:rsid w:val="00FE7837"/>
    <w:rsid w:val="00FE7C24"/>
    <w:rsid w:val="00FE7F3C"/>
    <w:rsid w:val="00FF06E6"/>
    <w:rsid w:val="00FF10E4"/>
    <w:rsid w:val="00FF1354"/>
    <w:rsid w:val="00FF27EA"/>
    <w:rsid w:val="00FF2A56"/>
    <w:rsid w:val="00FF5857"/>
    <w:rsid w:val="00FF5B32"/>
    <w:rsid w:val="00FF6C2D"/>
    <w:rsid w:val="00FF72BB"/>
    <w:rsid w:val="00FF73F6"/>
    <w:rsid w:val="00FF76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23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D6481"/>
    <w:pPr>
      <w:keepNext/>
      <w:spacing w:before="240" w:line="240" w:lineRule="auto"/>
      <w:outlineLvl w:val="0"/>
    </w:pPr>
    <w:rPr>
      <w:rFonts w:eastAsia="Times New Roman" w:cs="Times New Roman"/>
      <w:b/>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D6481"/>
    <w:rPr>
      <w:rFonts w:ascii="Fira Sans" w:eastAsia="Times New Roman" w:hAnsi="Fira Sans" w:cs="Times New Roman"/>
      <w:b/>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B20BB1"/>
    <w:pPr>
      <w:spacing w:before="36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styleId="Tekstprzypisukocowego">
    <w:name w:val="endnote text"/>
    <w:basedOn w:val="Normalny"/>
    <w:link w:val="TekstprzypisukocowegoZnak"/>
    <w:uiPriority w:val="99"/>
    <w:semiHidden/>
    <w:unhideWhenUsed/>
    <w:rsid w:val="00C85EA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85EAB"/>
    <w:rPr>
      <w:rFonts w:ascii="Fira Sans" w:hAnsi="Fira Sans"/>
      <w:sz w:val="20"/>
      <w:szCs w:val="20"/>
    </w:rPr>
  </w:style>
  <w:style w:type="character" w:styleId="Odwoanieprzypisukocowego">
    <w:name w:val="endnote reference"/>
    <w:basedOn w:val="Domylnaczcionkaakapitu"/>
    <w:uiPriority w:val="99"/>
    <w:semiHidden/>
    <w:unhideWhenUsed/>
    <w:rsid w:val="00C85EAB"/>
    <w:rPr>
      <w:vertAlign w:val="superscript"/>
    </w:rPr>
  </w:style>
  <w:style w:type="paragraph" w:customStyle="1" w:styleId="Default">
    <w:name w:val="Default"/>
    <w:rsid w:val="0035714F"/>
    <w:pPr>
      <w:autoSpaceDE w:val="0"/>
      <w:autoSpaceDN w:val="0"/>
      <w:adjustRightInd w:val="0"/>
      <w:spacing w:after="0" w:line="240" w:lineRule="auto"/>
    </w:pPr>
    <w:rPr>
      <w:rFonts w:ascii="Fira Sans" w:hAnsi="Fira Sans" w:cs="Fira Sans"/>
      <w:color w:val="000000"/>
      <w:sz w:val="24"/>
      <w:szCs w:val="24"/>
    </w:rPr>
  </w:style>
  <w:style w:type="character" w:styleId="UyteHipercze">
    <w:name w:val="FollowedHyperlink"/>
    <w:basedOn w:val="Domylnaczcionkaakapitu"/>
    <w:uiPriority w:val="99"/>
    <w:semiHidden/>
    <w:unhideWhenUsed/>
    <w:rsid w:val="00FB7496"/>
    <w:rPr>
      <w:color w:val="954F72" w:themeColor="followedHyperlink"/>
      <w:u w:val="single"/>
    </w:rPr>
  </w:style>
  <w:style w:type="character" w:styleId="Odwoaniedokomentarza">
    <w:name w:val="annotation reference"/>
    <w:basedOn w:val="Domylnaczcionkaakapitu"/>
    <w:uiPriority w:val="99"/>
    <w:semiHidden/>
    <w:unhideWhenUsed/>
    <w:rsid w:val="00EA7859"/>
    <w:rPr>
      <w:sz w:val="16"/>
      <w:szCs w:val="16"/>
    </w:rPr>
  </w:style>
  <w:style w:type="paragraph" w:styleId="Tekstkomentarza">
    <w:name w:val="annotation text"/>
    <w:basedOn w:val="Normalny"/>
    <w:link w:val="TekstkomentarzaZnak"/>
    <w:uiPriority w:val="99"/>
    <w:semiHidden/>
    <w:unhideWhenUsed/>
    <w:rsid w:val="00EA785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A7859"/>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A7859"/>
    <w:rPr>
      <w:b/>
      <w:bCs/>
    </w:rPr>
  </w:style>
  <w:style w:type="character" w:customStyle="1" w:styleId="TematkomentarzaZnak">
    <w:name w:val="Temat komentarza Znak"/>
    <w:basedOn w:val="TekstkomentarzaZnak"/>
    <w:link w:val="Tematkomentarza"/>
    <w:uiPriority w:val="99"/>
    <w:semiHidden/>
    <w:rsid w:val="00EA7859"/>
    <w:rPr>
      <w:rFonts w:ascii="Fira Sans" w:hAnsi="Fira Sans"/>
      <w:b/>
      <w:bCs/>
      <w:sz w:val="20"/>
      <w:szCs w:val="20"/>
    </w:rPr>
  </w:style>
  <w:style w:type="paragraph" w:styleId="NormalnyWeb">
    <w:name w:val="Normal (Web)"/>
    <w:basedOn w:val="Normalny"/>
    <w:uiPriority w:val="99"/>
    <w:unhideWhenUsed/>
    <w:rsid w:val="001603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konawskanika">
    <w:name w:val="Ikona wskaźnika"/>
    <w:basedOn w:val="Normalny"/>
    <w:link w:val="IkonawskanikaZnak"/>
    <w:qFormat/>
    <w:rsid w:val="002401DE"/>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2401DE"/>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2401DE"/>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2401DE"/>
    <w:rPr>
      <w:color w:val="FFFFFF" w:themeColor="background1"/>
    </w:rPr>
  </w:style>
  <w:style w:type="character" w:customStyle="1" w:styleId="WartowskanikaZnak">
    <w:name w:val="Wartość wskaźnika Znak"/>
    <w:basedOn w:val="Domylnaczcionkaakapitu"/>
    <w:link w:val="Wartowskanika"/>
    <w:rsid w:val="002401DE"/>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2401DE"/>
    <w:rPr>
      <w:rFonts w:ascii="Fira Sans" w:hAnsi="Fira Sans"/>
      <w:color w:val="FFFFFF" w:themeColor="background1"/>
      <w:sz w:val="20"/>
    </w:rPr>
  </w:style>
  <w:style w:type="paragraph" w:customStyle="1" w:styleId="Tytuinfomacjisygnalnej">
    <w:name w:val="Tytuł infomacji sygnalnej"/>
    <w:basedOn w:val="tytuinformacji"/>
    <w:link w:val="TytuinfomacjisygnalnejZnak"/>
    <w:qFormat/>
    <w:rsid w:val="002401DE"/>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2401DE"/>
    <w:rPr>
      <w:rFonts w:ascii="Fira Sans Extra Condensed SemiB" w:hAnsi="Fira Sans Extra Condensed SemiB"/>
      <w:color w:val="000000" w:themeColor="text1"/>
      <w:sz w:val="40"/>
      <w:szCs w:val="26"/>
    </w:rPr>
  </w:style>
  <w:style w:type="paragraph" w:customStyle="1" w:styleId="Lead">
    <w:name w:val="Lead"/>
    <w:basedOn w:val="LID"/>
    <w:link w:val="LeadZnak"/>
    <w:qFormat/>
    <w:rsid w:val="002401DE"/>
    <w:pPr>
      <w:spacing w:before="360"/>
    </w:pPr>
  </w:style>
  <w:style w:type="character" w:customStyle="1" w:styleId="LeadZnak">
    <w:name w:val="Lead Znak"/>
    <w:basedOn w:val="Domylnaczcionkaakapitu"/>
    <w:link w:val="Lead"/>
    <w:rsid w:val="002401DE"/>
    <w:rPr>
      <w:rFonts w:ascii="Fira Sans" w:hAnsi="Fira Sans"/>
      <w:b/>
      <w:noProof/>
      <w:sz w:val="19"/>
      <w:szCs w:val="19"/>
      <w:lang w:eastAsia="pl-PL"/>
    </w:rPr>
  </w:style>
  <w:style w:type="paragraph" w:customStyle="1" w:styleId="Datainformacjisygnalnej">
    <w:name w:val="Data informacji sygnalnej"/>
    <w:basedOn w:val="Normalny"/>
    <w:link w:val="DatainformacjisygnalnejZnak"/>
    <w:qFormat/>
    <w:rsid w:val="00915ECB"/>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915ECB"/>
    <w:rPr>
      <w:rFonts w:ascii="Fira Sans SemiBold" w:hAnsi="Fira Sans SemiBold"/>
      <w:color w:val="001D77"/>
      <w:sz w:val="20"/>
      <w:szCs w:val="20"/>
    </w:rPr>
  </w:style>
  <w:style w:type="paragraph" w:customStyle="1" w:styleId="Przypis">
    <w:name w:val="Przypis"/>
    <w:basedOn w:val="Tekstprzypisudolnego"/>
    <w:link w:val="PrzypisZnak"/>
    <w:qFormat/>
    <w:rsid w:val="00D54C9F"/>
    <w:pPr>
      <w:spacing w:before="240" w:after="240"/>
    </w:pPr>
    <w:rPr>
      <w:sz w:val="18"/>
      <w:szCs w:val="19"/>
      <w:shd w:val="clear" w:color="auto" w:fill="FFFFFF"/>
      <w:lang w:val="en-GB"/>
    </w:rPr>
  </w:style>
  <w:style w:type="character" w:customStyle="1" w:styleId="PrzypisZnak">
    <w:name w:val="Przypis Znak"/>
    <w:basedOn w:val="TekstprzypisudolnegoZnak"/>
    <w:link w:val="Przypis"/>
    <w:rsid w:val="00D54C9F"/>
    <w:rPr>
      <w:rFonts w:ascii="Fira Sans" w:hAnsi="Fira Sans"/>
      <w:sz w:val="18"/>
      <w:szCs w:val="19"/>
      <w:lang w:val="en-GB"/>
    </w:rPr>
  </w:style>
  <w:style w:type="paragraph" w:customStyle="1" w:styleId="Tytutablicy">
    <w:name w:val="Tytuł tablicy"/>
    <w:basedOn w:val="Nagwek1"/>
    <w:link w:val="TytutablicyZnak"/>
    <w:qFormat/>
    <w:rsid w:val="00404671"/>
    <w:pPr>
      <w:spacing w:before="360"/>
    </w:pPr>
    <w:rPr>
      <w:color w:val="000000" w:themeColor="text1"/>
      <w:szCs w:val="19"/>
    </w:rPr>
  </w:style>
  <w:style w:type="character" w:customStyle="1" w:styleId="TytutablicyZnak">
    <w:name w:val="Tytuł tablicy Znak"/>
    <w:basedOn w:val="Nagwek1Znak"/>
    <w:link w:val="Tytutablicy"/>
    <w:rsid w:val="00404671"/>
    <w:rPr>
      <w:rFonts w:ascii="Fira Sans" w:eastAsia="Times New Roman" w:hAnsi="Fira Sans" w:cs="Times New Roman"/>
      <w:b/>
      <w:bCs/>
      <w:color w:val="000000" w:themeColor="text1"/>
      <w:sz w:val="19"/>
      <w:szCs w:val="19"/>
      <w:lang w:eastAsia="pl-PL"/>
    </w:rPr>
  </w:style>
  <w:style w:type="paragraph" w:customStyle="1" w:styleId="Tablicagwka">
    <w:name w:val="Tablica główka"/>
    <w:basedOn w:val="Akapitzlist"/>
    <w:link w:val="TablicagwkaZnak"/>
    <w:qFormat/>
    <w:rsid w:val="00546F9B"/>
    <w:rPr>
      <w:rFonts w:eastAsia="Times New Roman" w:cs="Calibri"/>
      <w:szCs w:val="19"/>
      <w:lang w:eastAsia="pl-PL"/>
    </w:rPr>
  </w:style>
  <w:style w:type="paragraph" w:customStyle="1" w:styleId="Tablicagwkarodek">
    <w:name w:val="Tablica główka środek"/>
    <w:basedOn w:val="Normalny"/>
    <w:link w:val="TablicagwkarodekZnak"/>
    <w:qFormat/>
    <w:rsid w:val="00546F9B"/>
    <w:pPr>
      <w:jc w:val="center"/>
    </w:pPr>
    <w:rPr>
      <w:rFonts w:eastAsia="Times New Roman" w:cs="Calibri"/>
      <w:szCs w:val="19"/>
      <w:lang w:eastAsia="pl-PL"/>
    </w:rPr>
  </w:style>
  <w:style w:type="character" w:customStyle="1" w:styleId="TablicagwkaZnak">
    <w:name w:val="Tablica główka Znak"/>
    <w:basedOn w:val="Domylnaczcionkaakapitu"/>
    <w:link w:val="Tablicagwka"/>
    <w:rsid w:val="00546F9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546F9B"/>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546F9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546F9B"/>
    <w:rPr>
      <w:rFonts w:eastAsia="Times New Roman" w:cs="Calibri"/>
      <w:szCs w:val="19"/>
      <w:lang w:eastAsia="pl-PL"/>
    </w:rPr>
  </w:style>
  <w:style w:type="character" w:customStyle="1" w:styleId="TablicadanerodekZnak">
    <w:name w:val="Tablica dane środek Znak"/>
    <w:basedOn w:val="Domylnaczcionkaakapitu"/>
    <w:link w:val="Tablicadanerodek"/>
    <w:rsid w:val="00546F9B"/>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546F9B"/>
    <w:pPr>
      <w:ind w:firstLine="176"/>
    </w:pPr>
    <w:rPr>
      <w:szCs w:val="19"/>
    </w:rPr>
  </w:style>
  <w:style w:type="character" w:customStyle="1" w:styleId="TablicaboczekZnak">
    <w:name w:val="Tablica boczek Znak"/>
    <w:basedOn w:val="Domylnaczcionkaakapitu"/>
    <w:link w:val="Tablicaboczek"/>
    <w:rsid w:val="00546F9B"/>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546F9B"/>
    <w:pPr>
      <w:ind w:left="318"/>
    </w:pPr>
    <w:rPr>
      <w:szCs w:val="19"/>
    </w:rPr>
  </w:style>
  <w:style w:type="character" w:customStyle="1" w:styleId="Tablicaboczekwcicie1Znak">
    <w:name w:val="Tablica boczek wcięcie 1 Znak"/>
    <w:basedOn w:val="Domylnaczcionkaakapitu"/>
    <w:link w:val="Tablicaboczekwcicie1"/>
    <w:rsid w:val="00546F9B"/>
    <w:rPr>
      <w:rFonts w:ascii="Fira Sans" w:hAnsi="Fira Sans"/>
      <w:sz w:val="19"/>
      <w:szCs w:val="19"/>
    </w:rPr>
  </w:style>
  <w:style w:type="paragraph" w:customStyle="1" w:styleId="Tablicanotka">
    <w:name w:val="Tablica notka"/>
    <w:basedOn w:val="Normalny"/>
    <w:link w:val="TablicanotkaZnak"/>
    <w:qFormat/>
    <w:rsid w:val="00546F9B"/>
    <w:rPr>
      <w:noProof/>
      <w:spacing w:val="-2"/>
      <w:sz w:val="16"/>
      <w:szCs w:val="16"/>
    </w:rPr>
  </w:style>
  <w:style w:type="character" w:customStyle="1" w:styleId="Tablicaboczekwcicie2Znak">
    <w:name w:val="Tablica boczek wcięcie 2 Znak"/>
    <w:basedOn w:val="Domylnaczcionkaakapitu"/>
    <w:link w:val="Tablicaboczekwcicie2"/>
    <w:rsid w:val="00546F9B"/>
    <w:rPr>
      <w:rFonts w:ascii="Fira Sans" w:hAnsi="Fira Sans"/>
      <w:sz w:val="19"/>
      <w:szCs w:val="19"/>
    </w:rPr>
  </w:style>
  <w:style w:type="character" w:customStyle="1" w:styleId="TablicanotkaZnak">
    <w:name w:val="Tablica notka Znak"/>
    <w:basedOn w:val="Domylnaczcionkaakapitu"/>
    <w:link w:val="Tablicanotka"/>
    <w:rsid w:val="00546F9B"/>
    <w:rPr>
      <w:rFonts w:ascii="Fira Sans" w:hAnsi="Fira Sans"/>
      <w:noProof/>
      <w:spacing w:val="-2"/>
      <w:sz w:val="16"/>
      <w:szCs w:val="16"/>
    </w:rPr>
  </w:style>
  <w:style w:type="paragraph" w:customStyle="1" w:styleId="Tekstwypunktowania">
    <w:name w:val="Tekst wypunktowania"/>
    <w:basedOn w:val="Normalny"/>
    <w:link w:val="TekstwypunktowaniaZnak"/>
    <w:qFormat/>
    <w:rsid w:val="00546F9B"/>
    <w:pPr>
      <w:numPr>
        <w:ilvl w:val="1"/>
        <w:numId w:val="11"/>
      </w:numPr>
      <w:spacing w:after="0" w:line="276" w:lineRule="auto"/>
      <w:ind w:left="425" w:hanging="425"/>
    </w:pPr>
    <w:rPr>
      <w:shd w:val="clear" w:color="auto" w:fill="FFFFFF"/>
      <w:lang w:val="en-GB"/>
    </w:rPr>
  </w:style>
  <w:style w:type="paragraph" w:customStyle="1" w:styleId="Tytuwykresu0">
    <w:name w:val="Tytuł wykresu"/>
    <w:basedOn w:val="Nagwek1"/>
    <w:link w:val="TytuwykresuZnak"/>
    <w:qFormat/>
    <w:rsid w:val="00853816"/>
    <w:pPr>
      <w:spacing w:before="360"/>
    </w:pPr>
    <w:rPr>
      <w:noProof/>
      <w:color w:val="auto"/>
    </w:rPr>
  </w:style>
  <w:style w:type="character" w:customStyle="1" w:styleId="TekstwypunktowaniaZnak">
    <w:name w:val="Tekst wypunktowania Znak"/>
    <w:basedOn w:val="Domylnaczcionkaakapitu"/>
    <w:link w:val="Tekstwypunktowania"/>
    <w:rsid w:val="00546F9B"/>
    <w:rPr>
      <w:rFonts w:ascii="Fira Sans" w:hAnsi="Fira Sans"/>
      <w:sz w:val="19"/>
      <w:lang w:val="en-GB"/>
    </w:rPr>
  </w:style>
  <w:style w:type="character" w:customStyle="1" w:styleId="TytuwykresuZnak">
    <w:name w:val="Tytuł wykresu Znak"/>
    <w:basedOn w:val="Nagwek1Znak"/>
    <w:link w:val="Tytuwykresu0"/>
    <w:rsid w:val="00853816"/>
    <w:rPr>
      <w:rFonts w:ascii="Fira Sans" w:eastAsia="Times New Roman" w:hAnsi="Fira Sans" w:cs="Times New Roman"/>
      <w:b/>
      <w:bCs/>
      <w:noProof/>
      <w:color w:val="001D77"/>
      <w:sz w:val="19"/>
      <w:szCs w:val="24"/>
      <w:lang w:eastAsia="pl-PL"/>
    </w:rPr>
  </w:style>
  <w:style w:type="paragraph" w:styleId="Legenda">
    <w:name w:val="caption"/>
    <w:basedOn w:val="Normalny"/>
    <w:next w:val="Normalny"/>
    <w:uiPriority w:val="35"/>
    <w:unhideWhenUsed/>
    <w:qFormat/>
    <w:rsid w:val="005730ED"/>
    <w:pPr>
      <w:spacing w:before="0" w:after="200" w:line="240" w:lineRule="auto"/>
    </w:pPr>
    <w:rPr>
      <w:i/>
      <w:iCs/>
      <w:color w:val="44546A" w:themeColor="text2"/>
      <w:sz w:val="18"/>
      <w:szCs w:val="18"/>
    </w:rPr>
  </w:style>
  <w:style w:type="paragraph" w:styleId="Poprawka">
    <w:name w:val="Revision"/>
    <w:hidden/>
    <w:uiPriority w:val="99"/>
    <w:semiHidden/>
    <w:rsid w:val="00B72ED7"/>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33901">
      <w:bodyDiv w:val="1"/>
      <w:marLeft w:val="0"/>
      <w:marRight w:val="0"/>
      <w:marTop w:val="0"/>
      <w:marBottom w:val="0"/>
      <w:divBdr>
        <w:top w:val="none" w:sz="0" w:space="0" w:color="auto"/>
        <w:left w:val="none" w:sz="0" w:space="0" w:color="auto"/>
        <w:bottom w:val="none" w:sz="0" w:space="0" w:color="auto"/>
        <w:right w:val="none" w:sz="0" w:space="0" w:color="auto"/>
      </w:divBdr>
    </w:div>
    <w:div w:id="35457615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10002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7056514">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eurostat/databrowser/view/ei_lmlc_q/default/table?lang=en&amp;category=euroind.ei_lm" TargetMode="External"/><Relationship Id="rId18" Type="http://schemas.openxmlformats.org/officeDocument/2006/relationships/footer" Target="footer2.xml"/><Relationship Id="rId26" Type="http://schemas.openxmlformats.org/officeDocument/2006/relationships/hyperlink" Target="https://ec.europa.eu/eurostat/databrowser/view/lc_lci_r2_q/default/table?lang=en"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eurostat/databrowser/view/ei_lmlc_q/default/table?lang=en&amp;category=euroind.ei_lm" TargetMode="External"/><Relationship Id="rId24" Type="http://schemas.openxmlformats.org/officeDocument/2006/relationships/image" Target="media/image12.png"/><Relationship Id="rId32" Type="http://schemas.openxmlformats.org/officeDocument/2006/relationships/header" Target="header3.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yperlink" Target="https://stat.gov.pl/en/metainformation/glossary/terms-used-in-official-statistics/1495,term.html" TargetMode="External"/><Relationship Id="rId10" Type="http://schemas.openxmlformats.org/officeDocument/2006/relationships/image" Target="media/image5.jpeg"/><Relationship Id="rId19" Type="http://schemas.openxmlformats.org/officeDocument/2006/relationships/hyperlink" Target="mailto:obslugaprasowa@stat.gov.pl" TargetMode="External"/><Relationship Id="rId31" Type="http://schemas.openxmlformats.org/officeDocument/2006/relationships/hyperlink" Target="https://stat.gov.pl/en/metainformation/glossary/terms-used-in-official-statistics/156,term.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c.europa.eu/eurostat/web/metadata/classifications" TargetMode="External"/><Relationship Id="rId22" Type="http://schemas.openxmlformats.org/officeDocument/2006/relationships/image" Target="media/image10.png"/><Relationship Id="rId27" Type="http://schemas.openxmlformats.org/officeDocument/2006/relationships/hyperlink" Target="https://dbw.stat.gov.pl/en/baza-danych" TargetMode="External"/><Relationship Id="rId30" Type="http://schemas.openxmlformats.org/officeDocument/2006/relationships/hyperlink" Target="https://stat.gov.pl/en/metainformation/glossary/terms-used-in-official-statistics/44,term.html"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77ADF-6E8A-479F-A035-746A1ED6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813</Words>
  <Characters>4882</Characters>
  <DocSecurity>0</DocSecurity>
  <Lines>40</Lines>
  <Paragraphs>11</Paragraphs>
  <ScaleCrop>false</ScaleCrop>
  <HeadingPairs>
    <vt:vector size="2" baseType="variant">
      <vt:variant>
        <vt:lpstr>Tytuł</vt:lpstr>
      </vt:variant>
      <vt:variant>
        <vt:i4>1</vt:i4>
      </vt:variant>
    </vt:vector>
  </HeadingPairs>
  <TitlesOfParts>
    <vt:vector size="1" baseType="lpstr">
      <vt:lpstr>Labour cost index in the quarters of 2024</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2025-04-16T09:57:00Z</dcterms:created>
  <dcterms:modified xsi:type="dcterms:W3CDTF">2025-04-16T10:50:00Z</dcterms:modified>
</cp:coreProperties>
</file>