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1"/>
        <w:gridCol w:w="1517"/>
        <w:gridCol w:w="1514"/>
      </w:tblGrid>
      <w:tr w:rsidR="0084700E" w:rsidTr="00E21ECE">
        <w:tc>
          <w:tcPr>
            <w:tcW w:w="1296" w:type="dxa"/>
          </w:tcPr>
          <w:tbl>
            <w:tblPr>
              <w:tblW w:w="10455" w:type="dxa"/>
              <w:tblLook w:val="04A0" w:firstRow="1" w:lastRow="0" w:firstColumn="1" w:lastColumn="0" w:noHBand="0" w:noVBand="1"/>
            </w:tblPr>
            <w:tblGrid>
              <w:gridCol w:w="1214"/>
              <w:gridCol w:w="5698"/>
              <w:gridCol w:w="3543"/>
            </w:tblGrid>
            <w:tr w:rsidR="00E21ECE" w:rsidRPr="001C0FB9" w:rsidTr="00B80631">
              <w:tc>
                <w:tcPr>
                  <w:tcW w:w="1214" w:type="dxa"/>
                </w:tcPr>
                <w:p w:rsidR="00E21ECE" w:rsidRPr="001C0FB9" w:rsidRDefault="00E21ECE" w:rsidP="00B80631">
                  <w:pPr>
                    <w:spacing w:before="200" w:after="0" w:line="288" w:lineRule="auto"/>
                    <w:rPr>
                      <w:rFonts w:ascii="Arial" w:hAnsi="Arial" w:cs="Arial"/>
                      <w:b/>
                    </w:rPr>
                  </w:pPr>
                  <w:bookmarkStart w:id="0" w:name="_GoBack"/>
                  <w:bookmarkEnd w:id="0"/>
                  <w:r w:rsidRPr="001C0FB9">
                    <w:rPr>
                      <w:rFonts w:ascii="Arial" w:hAnsi="Arial" w:cs="Arial"/>
                      <w:b/>
                      <w:noProof/>
                    </w:rPr>
                    <w:drawing>
                      <wp:inline distT="0" distB="0" distL="0" distR="0">
                        <wp:extent cx="598805" cy="504190"/>
                        <wp:effectExtent l="0" t="0" r="0" b="0"/>
                        <wp:docPr id="9" name="Obraz 1" descr="G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 descr="GU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98" w:type="dxa"/>
                </w:tcPr>
                <w:p w:rsidR="00E21ECE" w:rsidRPr="001C0FB9" w:rsidRDefault="00E21ECE" w:rsidP="00B80631">
                  <w:pPr>
                    <w:spacing w:before="120" w:after="0" w:line="288" w:lineRule="auto"/>
                    <w:ind w:left="62"/>
                    <w:jc w:val="both"/>
                    <w:rPr>
                      <w:rFonts w:ascii="Arial" w:hAnsi="Arial" w:cs="Arial"/>
                      <w:b/>
                      <w:sz w:val="32"/>
                      <w:szCs w:val="28"/>
                    </w:rPr>
                  </w:pPr>
                  <w:r w:rsidRPr="001C0FB9">
                    <w:rPr>
                      <w:rFonts w:ascii="Arial" w:hAnsi="Arial" w:cs="Arial"/>
                      <w:b/>
                      <w:sz w:val="32"/>
                      <w:szCs w:val="28"/>
                    </w:rPr>
                    <w:t xml:space="preserve">GŁÓWNY URZĄD STATYSTYCZNY </w:t>
                  </w:r>
                </w:p>
                <w:p w:rsidR="00E21ECE" w:rsidRPr="00E21ECE" w:rsidRDefault="00E21ECE" w:rsidP="00B80631">
                  <w:pPr>
                    <w:spacing w:before="120" w:after="0" w:line="288" w:lineRule="auto"/>
                    <w:ind w:left="62"/>
                    <w:rPr>
                      <w:rFonts w:ascii="Arial" w:hAnsi="Arial" w:cs="Arial"/>
                    </w:rPr>
                  </w:pPr>
                  <w:r w:rsidRPr="00E21ECE">
                    <w:rPr>
                      <w:rFonts w:ascii="Arial" w:hAnsi="Arial" w:cs="Arial"/>
                      <w:sz w:val="28"/>
                      <w:szCs w:val="24"/>
                    </w:rPr>
                    <w:t xml:space="preserve">Opracowanie sygnalne </w:t>
                  </w:r>
                </w:p>
              </w:tc>
              <w:tc>
                <w:tcPr>
                  <w:tcW w:w="3543" w:type="dxa"/>
                </w:tcPr>
                <w:p w:rsidR="00E21ECE" w:rsidRPr="001C0FB9" w:rsidRDefault="00E21ECE" w:rsidP="009810C7">
                  <w:pPr>
                    <w:spacing w:before="120" w:after="0" w:line="288" w:lineRule="auto"/>
                    <w:ind w:left="-125"/>
                    <w:jc w:val="righ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C0FB9">
                    <w:rPr>
                      <w:rFonts w:ascii="Arial" w:hAnsi="Arial" w:cs="Arial"/>
                      <w:sz w:val="24"/>
                      <w:szCs w:val="24"/>
                    </w:rPr>
                    <w:t xml:space="preserve">Warszawa, </w:t>
                  </w:r>
                  <w:r w:rsidR="007E6A63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="009810C7"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  <w:r w:rsidRPr="001C0FB9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 w:rsidR="00E65FD0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9810C7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  <w:r w:rsidR="00E65FD0">
                    <w:rPr>
                      <w:rFonts w:ascii="Arial" w:hAnsi="Arial" w:cs="Arial"/>
                      <w:sz w:val="24"/>
                      <w:szCs w:val="24"/>
                    </w:rPr>
                    <w:t>.2016</w:t>
                  </w:r>
                </w:p>
              </w:tc>
            </w:tr>
          </w:tbl>
          <w:p w:rsidR="0084700E" w:rsidRDefault="0084700E"/>
        </w:tc>
        <w:tc>
          <w:tcPr>
            <w:tcW w:w="6208" w:type="dxa"/>
          </w:tcPr>
          <w:p w:rsidR="0084700E" w:rsidRPr="001C0FB9" w:rsidRDefault="0084700E" w:rsidP="00B80631">
            <w:pPr>
              <w:spacing w:before="120" w:line="288" w:lineRule="auto"/>
              <w:ind w:left="62"/>
              <w:rPr>
                <w:rFonts w:ascii="Arial" w:hAnsi="Arial" w:cs="Arial"/>
                <w:b/>
              </w:rPr>
            </w:pPr>
          </w:p>
        </w:tc>
        <w:tc>
          <w:tcPr>
            <w:tcW w:w="6198" w:type="dxa"/>
          </w:tcPr>
          <w:p w:rsidR="0084700E" w:rsidRDefault="0084700E"/>
        </w:tc>
      </w:tr>
    </w:tbl>
    <w:p w:rsidR="00D63E86" w:rsidRPr="0084700E" w:rsidRDefault="001707B3" w:rsidP="0084700E">
      <w:pPr>
        <w:spacing w:line="240" w:lineRule="auto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60116</wp:posOffset>
                </wp:positionH>
                <wp:positionV relativeFrom="paragraph">
                  <wp:posOffset>105268</wp:posOffset>
                </wp:positionV>
                <wp:extent cx="6362700" cy="341194"/>
                <wp:effectExtent l="0" t="0" r="0" b="190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1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17A" w:rsidRPr="00E21ECE" w:rsidRDefault="00C41070" w:rsidP="007C03C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E21EC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Dynamika sprzedaży detalicznej w </w:t>
                            </w:r>
                            <w:r w:rsidR="009810C7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czerwcu </w:t>
                            </w:r>
                            <w:r w:rsidRPr="00E21EC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201</w:t>
                            </w:r>
                            <w:r w:rsidR="004D042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6</w:t>
                            </w:r>
                            <w:r w:rsidRPr="00E21EC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.75pt;margin-top:8.3pt;width:501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" stroked="f" strokecolor="#4f81bd [3204]">
                <v:stroke dashstyle="3 1"/>
                <v:textbox>
                  <w:txbxContent>
                    <w:p w:rsidR="006C417A" w:rsidRPr="00E21ECE" w:rsidRDefault="00C41070" w:rsidP="007C03C4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E21ECE">
                        <w:rPr>
                          <w:rFonts w:ascii="Arial" w:hAnsi="Arial" w:cs="Arial"/>
                          <w:b/>
                          <w:sz w:val="28"/>
                        </w:rPr>
                        <w:t xml:space="preserve">Dynamika sprzedaży detalicznej w </w:t>
                      </w:r>
                      <w:r w:rsidR="009810C7">
                        <w:rPr>
                          <w:rFonts w:ascii="Arial" w:hAnsi="Arial" w:cs="Arial"/>
                          <w:b/>
                          <w:sz w:val="28"/>
                        </w:rPr>
                        <w:t xml:space="preserve">czerwcu </w:t>
                      </w:r>
                      <w:r w:rsidRPr="00E21ECE">
                        <w:rPr>
                          <w:rFonts w:ascii="Arial" w:hAnsi="Arial" w:cs="Arial"/>
                          <w:b/>
                          <w:sz w:val="28"/>
                        </w:rPr>
                        <w:t>201</w:t>
                      </w:r>
                      <w:r w:rsidR="004D0429">
                        <w:rPr>
                          <w:rFonts w:ascii="Arial" w:hAnsi="Arial" w:cs="Arial"/>
                          <w:b/>
                          <w:sz w:val="28"/>
                        </w:rPr>
                        <w:t>6</w:t>
                      </w:r>
                      <w:r w:rsidRPr="00E21ECE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84700E">
        <w:rPr>
          <w:b/>
          <w:sz w:val="28"/>
        </w:rPr>
        <w:t xml:space="preserve">       </w:t>
      </w:r>
    </w:p>
    <w:p w:rsidR="00670E4C" w:rsidRDefault="001707B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60116</wp:posOffset>
                </wp:positionH>
                <wp:positionV relativeFrom="paragraph">
                  <wp:posOffset>149282</wp:posOffset>
                </wp:positionV>
                <wp:extent cx="6362700" cy="784746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784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070" w:rsidRDefault="007C03C4" w:rsidP="004A624C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szCs w:val="28"/>
                              </w:rPr>
                              <w:tab/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</w:t>
                            </w:r>
                            <w:r w:rsidR="00067FB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9810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czerwcu </w:t>
                            </w:r>
                            <w:r w:rsidR="00AE156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br.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odnotowano </w:t>
                            </w:r>
                            <w:r w:rsidR="008F00BA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wzrost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sprzedaży detalicznej</w:t>
                            </w:r>
                            <w:r w:rsidR="002B61FC" w:rsidRPr="006B6B8D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1</w:t>
                            </w:r>
                            <w:r w:rsidR="00B57B42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w cenach stałych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w</w:t>
                            </w:r>
                            <w:r w:rsidR="00E038A4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skali roku o</w:t>
                            </w:r>
                            <w:r w:rsidR="001C20C4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9810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6</w:t>
                            </w:r>
                            <w:r w:rsidR="003C3304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9810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5</w:t>
                            </w:r>
                            <w:r w:rsidR="003E3F1B" w:rsidRPr="0077157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%</w:t>
                            </w:r>
                            <w:r w:rsidR="00457A4F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(wobec wzrostu o </w:t>
                            </w:r>
                            <w:r w:rsidR="009810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4</w:t>
                            </w:r>
                            <w:r w:rsidR="0077157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9810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3</w:t>
                            </w:r>
                            <w:r w:rsidR="00E0465D" w:rsidRPr="0077157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%</w:t>
                            </w:r>
                            <w:r w:rsidR="00E0465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AE156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przed miesiącem </w:t>
                            </w:r>
                            <w:r w:rsidR="00E0465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oraz o </w:t>
                            </w:r>
                            <w:r w:rsidR="009810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6,6</w:t>
                            </w:r>
                            <w:r w:rsidR="00457A4F" w:rsidRPr="0077157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%</w:t>
                            </w:r>
                            <w:r w:rsidR="00457A4F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866DC9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</w:t>
                            </w:r>
                            <w:r w:rsidR="00067FBF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9810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czerwcu</w:t>
                            </w:r>
                            <w:r w:rsidR="006C07D2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A611D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ub. </w:t>
                            </w:r>
                            <w:r w:rsidR="00AE19D1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r</w:t>
                            </w:r>
                            <w:r w:rsidR="00A611D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oku</w:t>
                            </w:r>
                            <w:r w:rsidR="00457A4F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).</w:t>
                            </w:r>
                            <w:r w:rsidR="00C41070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0250A2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W </w:t>
                            </w:r>
                            <w:r w:rsidR="006B6B8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porównaniu z</w:t>
                            </w:r>
                            <w:r w:rsidR="00A611D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9810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majem</w:t>
                            </w:r>
                            <w:r w:rsidR="00A611D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br. </w:t>
                            </w:r>
                            <w:r w:rsidR="006B6B8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miał miejsce </w:t>
                            </w:r>
                            <w:r w:rsidR="009810C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wzrost </w:t>
                            </w:r>
                            <w:r w:rsidR="006B6B8D" w:rsidRPr="006B6B8D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sprzedaży detalicznej </w:t>
                            </w:r>
                            <w:r w:rsidR="006B6B8D" w:rsidRPr="0077157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o</w:t>
                            </w:r>
                            <w:r w:rsidR="000250A2" w:rsidRPr="0077157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C95F2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3,1</w:t>
                            </w:r>
                            <w:r w:rsidR="00AE19D1" w:rsidRPr="0077157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%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(wobec </w:t>
                            </w:r>
                            <w:r w:rsidR="006C07D2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wzrostu </w:t>
                            </w:r>
                            <w:r w:rsidR="0024799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przed rokiem o</w:t>
                            </w:r>
                            <w:r w:rsidR="0077157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 </w:t>
                            </w:r>
                            <w:r w:rsidR="00C95F2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1</w:t>
                            </w:r>
                            <w:r w:rsidR="003C3304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="00C95F25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0</w:t>
                            </w:r>
                            <w:r w:rsidR="00247998" w:rsidRPr="0077157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%)</w:t>
                            </w:r>
                            <w:r w:rsidR="00AE19D1" w:rsidRPr="00771577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.75pt;margin-top:11.75pt;width:501pt;height: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" stroked="f" strokecolor="#4f81bd [3204]">
                <v:stroke dashstyle="3 1"/>
                <v:textbox>
                  <w:txbxContent>
                    <w:p w:rsidR="00C41070" w:rsidRDefault="007C03C4" w:rsidP="004A624C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szCs w:val="28"/>
                        </w:rPr>
                        <w:tab/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W</w:t>
                      </w:r>
                      <w:r w:rsidR="00067FBF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9810C7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czerwcu </w:t>
                      </w:r>
                      <w:r w:rsidR="00AE1566">
                        <w:rPr>
                          <w:rFonts w:ascii="Arial" w:hAnsi="Arial" w:cs="Arial"/>
                          <w:b/>
                          <w:szCs w:val="24"/>
                        </w:rPr>
                        <w:t>br.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odnotowano </w:t>
                      </w:r>
                      <w:r w:rsidR="008F00BA">
                        <w:rPr>
                          <w:rFonts w:ascii="Arial" w:hAnsi="Arial" w:cs="Arial"/>
                          <w:b/>
                          <w:szCs w:val="24"/>
                        </w:rPr>
                        <w:t>wzrost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sprzedaży detalicznej</w:t>
                      </w:r>
                      <w:r w:rsidR="002B61FC" w:rsidRPr="006B6B8D">
                        <w:rPr>
                          <w:rFonts w:ascii="Arial" w:hAnsi="Arial" w:cs="Arial"/>
                          <w:b/>
                          <w:vertAlign w:val="superscript"/>
                        </w:rPr>
                        <w:t>1</w:t>
                      </w:r>
                      <w:r w:rsidR="00B57B42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w cenach stałych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w</w:t>
                      </w:r>
                      <w:r w:rsidR="00E038A4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skali roku o</w:t>
                      </w:r>
                      <w:r w:rsidR="001C20C4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9810C7">
                        <w:rPr>
                          <w:rFonts w:ascii="Arial" w:hAnsi="Arial" w:cs="Arial"/>
                          <w:b/>
                          <w:szCs w:val="24"/>
                        </w:rPr>
                        <w:t>6</w:t>
                      </w:r>
                      <w:r w:rsidR="003C3304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9810C7">
                        <w:rPr>
                          <w:rFonts w:ascii="Arial" w:hAnsi="Arial" w:cs="Arial"/>
                          <w:b/>
                          <w:szCs w:val="24"/>
                        </w:rPr>
                        <w:t>5</w:t>
                      </w:r>
                      <w:r w:rsidR="003E3F1B" w:rsidRPr="00771577">
                        <w:rPr>
                          <w:rFonts w:ascii="Arial" w:hAnsi="Arial" w:cs="Arial"/>
                          <w:b/>
                          <w:szCs w:val="24"/>
                        </w:rPr>
                        <w:t>%</w:t>
                      </w:r>
                      <w:r w:rsidR="00457A4F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(wobec wzrostu o </w:t>
                      </w:r>
                      <w:r w:rsidR="009810C7">
                        <w:rPr>
                          <w:rFonts w:ascii="Arial" w:hAnsi="Arial" w:cs="Arial"/>
                          <w:b/>
                          <w:szCs w:val="24"/>
                        </w:rPr>
                        <w:t>4</w:t>
                      </w:r>
                      <w:r w:rsidR="00771577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9810C7">
                        <w:rPr>
                          <w:rFonts w:ascii="Arial" w:hAnsi="Arial" w:cs="Arial"/>
                          <w:b/>
                          <w:szCs w:val="24"/>
                        </w:rPr>
                        <w:t>3</w:t>
                      </w:r>
                      <w:r w:rsidR="00E0465D" w:rsidRPr="00771577">
                        <w:rPr>
                          <w:rFonts w:ascii="Arial" w:hAnsi="Arial" w:cs="Arial"/>
                          <w:b/>
                          <w:szCs w:val="24"/>
                        </w:rPr>
                        <w:t>%</w:t>
                      </w:r>
                      <w:r w:rsidR="00E0465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AE1566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przed miesiącem </w:t>
                      </w:r>
                      <w:r w:rsidR="00E0465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oraz o </w:t>
                      </w:r>
                      <w:r w:rsidR="009810C7">
                        <w:rPr>
                          <w:rFonts w:ascii="Arial" w:hAnsi="Arial" w:cs="Arial"/>
                          <w:b/>
                          <w:szCs w:val="24"/>
                        </w:rPr>
                        <w:t>6,6</w:t>
                      </w:r>
                      <w:r w:rsidR="00457A4F" w:rsidRPr="00771577">
                        <w:rPr>
                          <w:rFonts w:ascii="Arial" w:hAnsi="Arial" w:cs="Arial"/>
                          <w:b/>
                          <w:szCs w:val="24"/>
                        </w:rPr>
                        <w:t>%</w:t>
                      </w:r>
                      <w:r w:rsidR="00457A4F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866DC9">
                        <w:rPr>
                          <w:rFonts w:ascii="Arial" w:hAnsi="Arial" w:cs="Arial"/>
                          <w:b/>
                          <w:szCs w:val="24"/>
                        </w:rPr>
                        <w:t>w</w:t>
                      </w:r>
                      <w:r w:rsidR="00067FBF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9810C7">
                        <w:rPr>
                          <w:rFonts w:ascii="Arial" w:hAnsi="Arial" w:cs="Arial"/>
                          <w:b/>
                          <w:szCs w:val="24"/>
                        </w:rPr>
                        <w:t>czerwcu</w:t>
                      </w:r>
                      <w:r w:rsidR="006C07D2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A611D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ub. </w:t>
                      </w:r>
                      <w:r w:rsidR="00AE19D1">
                        <w:rPr>
                          <w:rFonts w:ascii="Arial" w:hAnsi="Arial" w:cs="Arial"/>
                          <w:b/>
                          <w:szCs w:val="24"/>
                        </w:rPr>
                        <w:t>r</w:t>
                      </w:r>
                      <w:r w:rsidR="00A611DD">
                        <w:rPr>
                          <w:rFonts w:ascii="Arial" w:hAnsi="Arial" w:cs="Arial"/>
                          <w:b/>
                          <w:szCs w:val="24"/>
                        </w:rPr>
                        <w:t>oku</w:t>
                      </w:r>
                      <w:r w:rsidR="00457A4F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).</w:t>
                      </w:r>
                      <w:r w:rsidR="00C41070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0250A2">
                        <w:rPr>
                          <w:rFonts w:ascii="Arial" w:hAnsi="Arial" w:cs="Arial"/>
                          <w:b/>
                          <w:szCs w:val="24"/>
                        </w:rPr>
                        <w:t>W </w:t>
                      </w:r>
                      <w:r w:rsidR="006B6B8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>porównaniu z</w:t>
                      </w:r>
                      <w:r w:rsidR="00A611DD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9810C7">
                        <w:rPr>
                          <w:rFonts w:ascii="Arial" w:hAnsi="Arial" w:cs="Arial"/>
                          <w:b/>
                          <w:szCs w:val="24"/>
                        </w:rPr>
                        <w:t>majem</w:t>
                      </w:r>
                      <w:r w:rsidR="00A611D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br. </w:t>
                      </w:r>
                      <w:r w:rsidR="006B6B8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miał miejsce </w:t>
                      </w:r>
                      <w:r w:rsidR="009810C7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wzrost </w:t>
                      </w:r>
                      <w:r w:rsidR="006B6B8D" w:rsidRPr="006B6B8D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sprzedaży detalicznej </w:t>
                      </w:r>
                      <w:r w:rsidR="006B6B8D" w:rsidRPr="00771577">
                        <w:rPr>
                          <w:rFonts w:ascii="Arial" w:hAnsi="Arial" w:cs="Arial"/>
                          <w:b/>
                          <w:szCs w:val="24"/>
                        </w:rPr>
                        <w:t>o</w:t>
                      </w:r>
                      <w:r w:rsidR="000250A2" w:rsidRPr="00771577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C95F25">
                        <w:rPr>
                          <w:rFonts w:ascii="Arial" w:hAnsi="Arial" w:cs="Arial"/>
                          <w:b/>
                          <w:szCs w:val="24"/>
                        </w:rPr>
                        <w:t>3,1</w:t>
                      </w:r>
                      <w:r w:rsidR="00AE19D1" w:rsidRPr="00771577">
                        <w:rPr>
                          <w:rFonts w:ascii="Arial" w:hAnsi="Arial" w:cs="Arial"/>
                          <w:b/>
                          <w:szCs w:val="24"/>
                        </w:rPr>
                        <w:t>%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(wobec </w:t>
                      </w:r>
                      <w:r w:rsidR="006C07D2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wzrostu </w:t>
                      </w:r>
                      <w:r w:rsidR="00247998">
                        <w:rPr>
                          <w:rFonts w:ascii="Arial" w:hAnsi="Arial" w:cs="Arial"/>
                          <w:b/>
                          <w:szCs w:val="24"/>
                        </w:rPr>
                        <w:t>przed rokiem o</w:t>
                      </w:r>
                      <w:r w:rsidR="00771577">
                        <w:rPr>
                          <w:rFonts w:ascii="Arial" w:hAnsi="Arial" w:cs="Arial"/>
                          <w:b/>
                          <w:szCs w:val="24"/>
                        </w:rPr>
                        <w:t> </w:t>
                      </w:r>
                      <w:r w:rsidR="00C95F25">
                        <w:rPr>
                          <w:rFonts w:ascii="Arial" w:hAnsi="Arial" w:cs="Arial"/>
                          <w:b/>
                          <w:szCs w:val="24"/>
                        </w:rPr>
                        <w:t>1</w:t>
                      </w:r>
                      <w:r w:rsidR="003C3304"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="00C95F25">
                        <w:rPr>
                          <w:rFonts w:ascii="Arial" w:hAnsi="Arial" w:cs="Arial"/>
                          <w:b/>
                          <w:szCs w:val="24"/>
                        </w:rPr>
                        <w:t>0</w:t>
                      </w:r>
                      <w:r w:rsidR="00247998" w:rsidRPr="00771577">
                        <w:rPr>
                          <w:rFonts w:ascii="Arial" w:hAnsi="Arial" w:cs="Arial"/>
                          <w:b/>
                          <w:szCs w:val="24"/>
                        </w:rPr>
                        <w:t>%)</w:t>
                      </w:r>
                      <w:r w:rsidR="00AE19D1" w:rsidRPr="00771577">
                        <w:rPr>
                          <w:rFonts w:ascii="Arial" w:hAnsi="Arial" w:cs="Arial"/>
                          <w:b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70E4C" w:rsidRDefault="00670E4C"/>
    <w:p w:rsidR="00670E4C" w:rsidRDefault="001707B3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ED3A0A" wp14:editId="51D85D03">
                <wp:simplePos x="0" y="0"/>
                <wp:positionH relativeFrom="column">
                  <wp:posOffset>52590</wp:posOffset>
                </wp:positionH>
                <wp:positionV relativeFrom="paragraph">
                  <wp:posOffset>226349</wp:posOffset>
                </wp:positionV>
                <wp:extent cx="6791325" cy="8467898"/>
                <wp:effectExtent l="0" t="0" r="9525" b="952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8467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054" w:rsidRDefault="00A27E73" w:rsidP="003569F3">
                            <w:pPr>
                              <w:spacing w:before="120" w:after="4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CC48C7" wp14:editId="5510CDD6">
                                  <wp:extent cx="6306589" cy="3219450"/>
                                  <wp:effectExtent l="0" t="0" r="0" b="0"/>
                                  <wp:docPr id="1" name="Wykres 1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3DE7" w:rsidRPr="00B62D60" w:rsidRDefault="00D43DE7" w:rsidP="00B62D60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F95831" w:rsidRDefault="00F95831" w:rsidP="00B62D60">
                            <w:pPr>
                              <w:spacing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Dynamika sprzedaży detalicznej kształtowała się następująco:</w:t>
                            </w:r>
                          </w:p>
                          <w:tbl>
                            <w:tblPr>
                              <w:tblW w:w="9958" w:type="dxa"/>
                              <w:tblInd w:w="-72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394"/>
                              <w:gridCol w:w="935"/>
                              <w:gridCol w:w="936"/>
                              <w:gridCol w:w="935"/>
                              <w:gridCol w:w="935"/>
                              <w:gridCol w:w="936"/>
                              <w:gridCol w:w="935"/>
                              <w:gridCol w:w="952"/>
                            </w:tblGrid>
                            <w:tr w:rsidR="009810C7" w:rsidRPr="00DC44EF" w:rsidTr="00F02306">
                              <w:trPr>
                                <w:cantSplit/>
                                <w:trHeight w:val="499"/>
                              </w:trPr>
                              <w:tc>
                                <w:tcPr>
                                  <w:tcW w:w="3394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810C7" w:rsidRPr="00E453EC" w:rsidRDefault="009810C7" w:rsidP="009810C7">
                                  <w:pPr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453EC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Wyszczególnienie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  <w:gridSpan w:val="3"/>
                                  <w:tcBorders>
                                    <w:top w:val="single" w:sz="12" w:space="0" w:color="auto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810C7" w:rsidRPr="004004EF" w:rsidRDefault="009810C7" w:rsidP="00981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Ceny stałe 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  <w:gridSpan w:val="4"/>
                                  <w:tcBorders>
                                    <w:top w:val="single" w:sz="12" w:space="0" w:color="auto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810C7" w:rsidRPr="00DC44EF" w:rsidRDefault="009810C7" w:rsidP="00981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Ceny bieżące</w:t>
                                  </w:r>
                                </w:p>
                              </w:tc>
                            </w:tr>
                            <w:tr w:rsidR="009810C7" w:rsidRPr="004004EF" w:rsidTr="00F02306">
                              <w:trPr>
                                <w:trHeight w:val="423"/>
                              </w:trPr>
                              <w:tc>
                                <w:tcPr>
                                  <w:tcW w:w="3394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810C7" w:rsidRPr="00E21ECE" w:rsidRDefault="009810C7" w:rsidP="009810C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1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810C7" w:rsidRPr="004004EF" w:rsidRDefault="00A72230" w:rsidP="00981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VI </w:t>
                                  </w:r>
                                  <w:r w:rsidR="009810C7"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201</w:t>
                                  </w:r>
                                  <w:r w:rsidR="009810C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810C7" w:rsidRPr="004004EF" w:rsidRDefault="009810C7" w:rsidP="00A722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I-</w:t>
                                  </w:r>
                                  <w:r w:rsidR="00A72230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VI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2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810C7" w:rsidRPr="004004EF" w:rsidRDefault="00A72230" w:rsidP="00981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VI </w:t>
                                  </w:r>
                                  <w:r w:rsidR="009810C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  <w:gridSpan w:val="2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810C7" w:rsidRPr="004004EF" w:rsidRDefault="009810C7" w:rsidP="00A722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I-</w:t>
                                  </w:r>
                                  <w:r w:rsidR="00A72230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9810C7" w:rsidRPr="004004EF" w:rsidTr="00F02306">
                              <w:trPr>
                                <w:trHeight w:val="474"/>
                              </w:trPr>
                              <w:tc>
                                <w:tcPr>
                                  <w:tcW w:w="3394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000000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810C7" w:rsidRPr="00E21ECE" w:rsidRDefault="009810C7" w:rsidP="009810C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810C7" w:rsidRPr="004004EF" w:rsidRDefault="00A72230" w:rsidP="00981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="009810C7"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</w:t>
                                  </w:r>
                                  <w:r w:rsidR="009810C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9810C7"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= =100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810C7" w:rsidRPr="004004EF" w:rsidRDefault="00A72230" w:rsidP="00A722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VI</w:t>
                                  </w:r>
                                  <w:r w:rsidR="009810C7"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</w:t>
                                  </w:r>
                                  <w:r w:rsidR="009810C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9810C7"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= =100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810C7" w:rsidRPr="004004EF" w:rsidRDefault="009810C7" w:rsidP="00A722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I-</w:t>
                                  </w:r>
                                  <w:r w:rsidR="00A72230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 2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=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2" w:space="0" w:color="auto"/>
                                    <w:left w:val="single" w:sz="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810C7" w:rsidRPr="004004EF" w:rsidRDefault="00A72230" w:rsidP="00981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="009810C7"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</w:t>
                                  </w:r>
                                  <w:r w:rsidR="009810C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9810C7"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= =100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810C7" w:rsidRPr="004004EF" w:rsidRDefault="00A72230" w:rsidP="00981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VI</w:t>
                                  </w:r>
                                  <w:r w:rsidR="009810C7"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201</w:t>
                                  </w:r>
                                  <w:r w:rsidR="009810C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9810C7"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= =100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810C7" w:rsidRPr="004004EF" w:rsidRDefault="009810C7" w:rsidP="00A7223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A72230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- VI 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=</w:t>
                                  </w:r>
                                  <w:r w:rsidRPr="00400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810C7" w:rsidRPr="004004EF" w:rsidRDefault="009810C7" w:rsidP="009810C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C44EF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truktura w %</w:t>
                                  </w:r>
                                </w:p>
                              </w:tc>
                            </w:tr>
                            <w:tr w:rsidR="00BD4B78" w:rsidRPr="0084735D" w:rsidTr="001D2624">
                              <w:trPr>
                                <w:trHeight w:val="275"/>
                              </w:trPr>
                              <w:tc>
                                <w:tcPr>
                                  <w:tcW w:w="3394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BD4B78" w:rsidRPr="0084735D" w:rsidRDefault="00BD4B78" w:rsidP="00BD4B78">
                                  <w:pPr>
                                    <w:spacing w:before="60" w:after="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Ogółem</w:t>
                                  </w: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…………………….…....……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103,1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106,5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105,0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103,2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nil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104,6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nil"/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102,9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60" w:after="0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100,0</w:t>
                                  </w:r>
                                </w:p>
                              </w:tc>
                            </w:tr>
                            <w:tr w:rsidR="00BD4B78" w:rsidRPr="0084735D" w:rsidTr="001D2624">
                              <w:trPr>
                                <w:trHeight w:val="363"/>
                              </w:trPr>
                              <w:tc>
                                <w:tcPr>
                                  <w:tcW w:w="3394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  <w:hideMark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ind w:firstLine="214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w tym: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D4B78" w:rsidRPr="0084735D" w:rsidTr="001D2624">
                              <w:trPr>
                                <w:trHeight w:val="435"/>
                              </w:trPr>
                              <w:tc>
                                <w:tcPr>
                                  <w:tcW w:w="3394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Pojazdy samochodowe, motocykle, części…….........................................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108,7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114,3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112,5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108,2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13,6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10,7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BD4B78" w:rsidRPr="0084735D" w:rsidTr="001D2624">
                              <w:trPr>
                                <w:trHeight w:val="396"/>
                              </w:trPr>
                              <w:tc>
                                <w:tcPr>
                                  <w:tcW w:w="3394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  <w:hideMark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Paliwa stałe, ciekłe i gazowe…….….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103,2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101,4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99,2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104,9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90,9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3,7</w:t>
                                  </w:r>
                                </w:p>
                              </w:tc>
                            </w:tr>
                            <w:tr w:rsidR="00BD4B78" w:rsidRPr="0084735D" w:rsidTr="001D2624">
                              <w:trPr>
                                <w:trHeight w:val="445"/>
                              </w:trPr>
                              <w:tc>
                                <w:tcPr>
                                  <w:tcW w:w="3394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BD4B78" w:rsidRPr="0084735D" w:rsidRDefault="00BD4B78" w:rsidP="00BD4B7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Żywność, napoje i wyroby tytoniowe…...…......………………….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101,1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101,3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5,8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D4B78" w:rsidRPr="0084735D" w:rsidTr="001D2624">
                              <w:trPr>
                                <w:trHeight w:val="556"/>
                              </w:trPr>
                              <w:tc>
                                <w:tcPr>
                                  <w:tcW w:w="3394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  <w:hideMark/>
                                </w:tcPr>
                                <w:p w:rsidR="00BD4B78" w:rsidRPr="0084735D" w:rsidRDefault="00BD4B78" w:rsidP="00BD4B7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Pozostała sprzedaż detaliczna </w:t>
                                  </w:r>
                                </w:p>
                                <w:p w:rsidR="00BD4B78" w:rsidRPr="0084735D" w:rsidRDefault="00BD4B78" w:rsidP="00BD4B7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w niewyspecjalizowanych sklepach..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100,4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112,2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108,1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100,2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10,1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6,2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BD4B78" w:rsidRPr="0084735D" w:rsidTr="001D2624">
                              <w:trPr>
                                <w:cantSplit/>
                                <w:trHeight w:val="627"/>
                              </w:trPr>
                              <w:tc>
                                <w:tcPr>
                                  <w:tcW w:w="3394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Farmaceutyki, kosmetyki, sprzęt ortopedyczny……………………….…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100,8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12,3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111,2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00,8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11,3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109,7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6,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D4B78" w:rsidRPr="0084735D" w:rsidTr="001D2624">
                              <w:trPr>
                                <w:cantSplit/>
                                <w:trHeight w:val="424"/>
                              </w:trPr>
                              <w:tc>
                                <w:tcPr>
                                  <w:tcW w:w="3394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  <w:hideMark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Tekstylia, odzież, obuwie……………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20,8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118,3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04,5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16,0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113,5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6,3</w:t>
                                  </w:r>
                                </w:p>
                              </w:tc>
                            </w:tr>
                            <w:tr w:rsidR="00BD4B78" w:rsidRPr="0084735D" w:rsidTr="001D2624">
                              <w:trPr>
                                <w:cantSplit/>
                                <w:trHeight w:val="370"/>
                              </w:trPr>
                              <w:tc>
                                <w:tcPr>
                                  <w:tcW w:w="3394" w:type="dxa"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Meble, </w:t>
                                  </w:r>
                                  <w:proofErr w:type="spellStart"/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rtv</w:t>
                                  </w:r>
                                  <w:proofErr w:type="spellEnd"/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agd</w:t>
                                  </w:r>
                                  <w:proofErr w:type="spellEnd"/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……………………..…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14,2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05,7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13,7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109,3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7,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BD4B78" w:rsidRPr="0084735D" w:rsidTr="001D2624">
                              <w:trPr>
                                <w:cantSplit/>
                                <w:trHeight w:val="790"/>
                              </w:trPr>
                              <w:tc>
                                <w:tcPr>
                                  <w:tcW w:w="3394" w:type="dxa"/>
                                  <w:tcBorders>
                                    <w:top w:val="nil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  <w:hideMark/>
                                </w:tcPr>
                                <w:p w:rsidR="00BD4B78" w:rsidRPr="0084735D" w:rsidRDefault="00BD4B78" w:rsidP="00BD4B78">
                                  <w:pPr>
                                    <w:spacing w:after="6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Prasa, książki, pozostała sprzedaż </w:t>
                                  </w:r>
                                </w:p>
                                <w:p w:rsidR="00BD4B78" w:rsidRPr="0084735D" w:rsidRDefault="00BD4B78" w:rsidP="00BD4B78">
                                  <w:pPr>
                                    <w:spacing w:after="6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w wyspecjalizowanych sklepach..…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102,8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06,6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105,2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02,8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04,7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103,4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F99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before="240" w:after="6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5,2</w:t>
                                  </w:r>
                                </w:p>
                              </w:tc>
                            </w:tr>
                            <w:tr w:rsidR="00BD4B78" w:rsidRPr="0084735D" w:rsidTr="001D2624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3394" w:type="dxa"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BD4B78" w:rsidRPr="0084735D" w:rsidRDefault="00BD4B78" w:rsidP="00BD4B78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Pozostałe………………………..….…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103,7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89,7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89,3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4735D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03,7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88,8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88,2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D4B78" w:rsidRPr="0084735D" w:rsidRDefault="00BD4B78" w:rsidP="00BD4B78">
                                  <w:pPr>
                                    <w:spacing w:after="60"/>
                                    <w:jc w:val="right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9,9</w:t>
                                  </w:r>
                                </w:p>
                              </w:tc>
                            </w:tr>
                          </w:tbl>
                          <w:p w:rsidR="00FE035D" w:rsidRDefault="00FE035D" w:rsidP="005468F3">
                            <w:pPr>
                              <w:spacing w:after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D3A0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4.15pt;margin-top:17.8pt;width:534.75pt;height:66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" stroked="f" strokecolor="#4f81bd [3204]">
                <v:stroke dashstyle="3 1"/>
                <v:textbox>
                  <w:txbxContent>
                    <w:p w:rsidR="005F2054" w:rsidRDefault="00A27E73" w:rsidP="003569F3">
                      <w:pPr>
                        <w:spacing w:before="120" w:after="40"/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CC48C7" wp14:editId="5510CDD6">
                            <wp:extent cx="6306589" cy="3219450"/>
                            <wp:effectExtent l="0" t="0" r="0" b="0"/>
                            <wp:docPr id="1" name="Wykres 1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  <w:p w:rsidR="00D43DE7" w:rsidRPr="00B62D60" w:rsidRDefault="00D43DE7" w:rsidP="00B62D60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F95831" w:rsidRDefault="00F95831" w:rsidP="00B62D60">
                      <w:pPr>
                        <w:spacing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Dynamika sprzedaży detalicznej kształtowała się następująco:</w:t>
                      </w:r>
                    </w:p>
                    <w:tbl>
                      <w:tblPr>
                        <w:tblW w:w="9958" w:type="dxa"/>
                        <w:tblInd w:w="-72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394"/>
                        <w:gridCol w:w="935"/>
                        <w:gridCol w:w="936"/>
                        <w:gridCol w:w="935"/>
                        <w:gridCol w:w="935"/>
                        <w:gridCol w:w="936"/>
                        <w:gridCol w:w="935"/>
                        <w:gridCol w:w="952"/>
                      </w:tblGrid>
                      <w:tr w:rsidR="009810C7" w:rsidRPr="00DC44EF" w:rsidTr="00F02306">
                        <w:trPr>
                          <w:cantSplit/>
                          <w:trHeight w:val="499"/>
                        </w:trPr>
                        <w:tc>
                          <w:tcPr>
                            <w:tcW w:w="3394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810C7" w:rsidRPr="00E453EC" w:rsidRDefault="009810C7" w:rsidP="009810C7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453E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Wyszczególnienie</w:t>
                            </w:r>
                          </w:p>
                        </w:tc>
                        <w:tc>
                          <w:tcPr>
                            <w:tcW w:w="2806" w:type="dxa"/>
                            <w:gridSpan w:val="3"/>
                            <w:tcBorders>
                              <w:top w:val="single" w:sz="12" w:space="0" w:color="auto"/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810C7" w:rsidRPr="004004EF" w:rsidRDefault="009810C7" w:rsidP="009810C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Ceny stałe </w:t>
                            </w:r>
                          </w:p>
                        </w:tc>
                        <w:tc>
                          <w:tcPr>
                            <w:tcW w:w="3758" w:type="dxa"/>
                            <w:gridSpan w:val="4"/>
                            <w:tcBorders>
                              <w:top w:val="single" w:sz="12" w:space="0" w:color="auto"/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810C7" w:rsidRPr="00DC44EF" w:rsidRDefault="009810C7" w:rsidP="009810C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Ceny bieżące</w:t>
                            </w:r>
                          </w:p>
                        </w:tc>
                      </w:tr>
                      <w:tr w:rsidR="009810C7" w:rsidRPr="004004EF" w:rsidTr="00F02306">
                        <w:trPr>
                          <w:trHeight w:val="423"/>
                        </w:trPr>
                        <w:tc>
                          <w:tcPr>
                            <w:tcW w:w="3394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9810C7" w:rsidRPr="00E21ECE" w:rsidRDefault="009810C7" w:rsidP="009810C7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871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810C7" w:rsidRPr="004004EF" w:rsidRDefault="00A72230" w:rsidP="009810C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VI </w:t>
                            </w:r>
                            <w:r w:rsidR="009810C7"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201</w:t>
                            </w:r>
                            <w:r w:rsidR="009810C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810C7" w:rsidRPr="004004EF" w:rsidRDefault="009810C7" w:rsidP="00A722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I-</w:t>
                            </w:r>
                            <w:r w:rsidR="00A722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VI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2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810C7" w:rsidRPr="004004EF" w:rsidRDefault="00A72230" w:rsidP="009810C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VI </w:t>
                            </w:r>
                            <w:r w:rsidR="009810C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1887" w:type="dxa"/>
                            <w:gridSpan w:val="2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810C7" w:rsidRPr="004004EF" w:rsidRDefault="009810C7" w:rsidP="00A722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I-</w:t>
                            </w:r>
                            <w:r w:rsidR="00A722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9810C7" w:rsidRPr="004004EF" w:rsidTr="00F02306">
                        <w:trPr>
                          <w:trHeight w:val="474"/>
                        </w:trPr>
                        <w:tc>
                          <w:tcPr>
                            <w:tcW w:w="3394" w:type="dxa"/>
                            <w:vMerge/>
                            <w:tcBorders>
                              <w:left w:val="single" w:sz="12" w:space="0" w:color="auto"/>
                              <w:bottom w:val="single" w:sz="12" w:space="0" w:color="000000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9810C7" w:rsidRPr="00E21ECE" w:rsidRDefault="009810C7" w:rsidP="009810C7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810C7" w:rsidRPr="004004EF" w:rsidRDefault="00A72230" w:rsidP="009810C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  <w:r w:rsidR="009810C7"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 w:rsidR="009810C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="009810C7"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= =100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810C7" w:rsidRPr="004004EF" w:rsidRDefault="00A72230" w:rsidP="00A722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VI</w:t>
                            </w:r>
                            <w:r w:rsidR="009810C7"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 w:rsidR="009810C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 w:rsidR="009810C7"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= =100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810C7" w:rsidRPr="004004EF" w:rsidRDefault="009810C7" w:rsidP="00A722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I-</w:t>
                            </w:r>
                            <w:r w:rsidR="00A722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 2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=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2" w:space="0" w:color="auto"/>
                              <w:left w:val="single" w:sz="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810C7" w:rsidRPr="004004EF" w:rsidRDefault="00A72230" w:rsidP="009810C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  <w:r w:rsidR="009810C7"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 w:rsidR="009810C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="009810C7"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= =100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810C7" w:rsidRPr="004004EF" w:rsidRDefault="00A72230" w:rsidP="009810C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VI</w:t>
                            </w:r>
                            <w:r w:rsidR="009810C7"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 w:rsidR="009810C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 w:rsidR="009810C7"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= =100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810C7" w:rsidRPr="004004EF" w:rsidRDefault="009810C7" w:rsidP="00A722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="00A7223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 VI 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=</w:t>
                            </w:r>
                            <w:r w:rsidRPr="00400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810C7" w:rsidRPr="004004EF" w:rsidRDefault="009810C7" w:rsidP="009810C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DC44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truktura w %</w:t>
                            </w:r>
                          </w:p>
                        </w:tc>
                      </w:tr>
                      <w:tr w:rsidR="00BD4B78" w:rsidRPr="0084735D" w:rsidTr="001D2624">
                        <w:trPr>
                          <w:trHeight w:val="275"/>
                        </w:trPr>
                        <w:tc>
                          <w:tcPr>
                            <w:tcW w:w="3394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BD4B78" w:rsidRPr="0084735D" w:rsidRDefault="00BD4B78" w:rsidP="00BD4B78">
                            <w:pPr>
                              <w:spacing w:before="60" w:after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Ogółem</w:t>
                            </w: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…………………….…....……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103,1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106,5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105,0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103,2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nil"/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104,6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nil"/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102,9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60" w:after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100,0</w:t>
                            </w:r>
                          </w:p>
                        </w:tc>
                      </w:tr>
                      <w:tr w:rsidR="00BD4B78" w:rsidRPr="0084735D" w:rsidTr="001D2624">
                        <w:trPr>
                          <w:trHeight w:val="363"/>
                        </w:trPr>
                        <w:tc>
                          <w:tcPr>
                            <w:tcW w:w="3394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  <w:hideMark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ind w:firstLine="214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 tym: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95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D4B78" w:rsidRPr="0084735D" w:rsidTr="001D2624">
                        <w:trPr>
                          <w:trHeight w:val="435"/>
                        </w:trPr>
                        <w:tc>
                          <w:tcPr>
                            <w:tcW w:w="3394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Pojazdy samochodowe, motocykle, części…….........................................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108,7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114,3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112,5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108,2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13,6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10,7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BD4B78" w:rsidRPr="0084735D" w:rsidTr="001D2624">
                        <w:trPr>
                          <w:trHeight w:val="396"/>
                        </w:trPr>
                        <w:tc>
                          <w:tcPr>
                            <w:tcW w:w="3394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  <w:hideMark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Paliwa stałe, ciekłe i gazowe…….….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103,2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101,4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99,2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104,9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90,9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3,7</w:t>
                            </w:r>
                          </w:p>
                        </w:tc>
                      </w:tr>
                      <w:tr w:rsidR="00BD4B78" w:rsidRPr="0084735D" w:rsidTr="001D2624">
                        <w:trPr>
                          <w:trHeight w:val="445"/>
                        </w:trPr>
                        <w:tc>
                          <w:tcPr>
                            <w:tcW w:w="3394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BD4B78" w:rsidRPr="0084735D" w:rsidRDefault="00BD4B78" w:rsidP="00BD4B7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Żywność, napoje i wyroby tytoniowe…...…......………………….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101,1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101,3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105,8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5,8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BD4B78" w:rsidRPr="0084735D" w:rsidTr="001D2624">
                        <w:trPr>
                          <w:trHeight w:val="556"/>
                        </w:trPr>
                        <w:tc>
                          <w:tcPr>
                            <w:tcW w:w="3394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  <w:hideMark/>
                          </w:tcPr>
                          <w:p w:rsidR="00BD4B78" w:rsidRPr="0084735D" w:rsidRDefault="00BD4B78" w:rsidP="00BD4B7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Pozostała sprzedaż detaliczna </w:t>
                            </w:r>
                          </w:p>
                          <w:p w:rsidR="00BD4B78" w:rsidRPr="0084735D" w:rsidRDefault="00BD4B78" w:rsidP="00BD4B7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 niewyspecjalizowanych sklepach..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100,4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112,2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108,1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100,2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10,1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6,2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</w:tr>
                      <w:tr w:rsidR="00BD4B78" w:rsidRPr="0084735D" w:rsidTr="001D2624">
                        <w:trPr>
                          <w:cantSplit/>
                          <w:trHeight w:val="627"/>
                        </w:trPr>
                        <w:tc>
                          <w:tcPr>
                            <w:tcW w:w="3394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Farmaceutyki, kosmetyki, sprzęt ortopedyczny……………………….…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100,8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12,3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111,2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00,8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11,3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109,7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BD4B78" w:rsidRPr="0084735D" w:rsidTr="001D2624">
                        <w:trPr>
                          <w:cantSplit/>
                          <w:trHeight w:val="424"/>
                        </w:trPr>
                        <w:tc>
                          <w:tcPr>
                            <w:tcW w:w="3394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  <w:hideMark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Tekstylia, odzież, obuwie……………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20,8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118,3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04,5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16,0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113,5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6,3</w:t>
                            </w:r>
                          </w:p>
                        </w:tc>
                      </w:tr>
                      <w:tr w:rsidR="00BD4B78" w:rsidRPr="0084735D" w:rsidTr="001D2624">
                        <w:trPr>
                          <w:cantSplit/>
                          <w:trHeight w:val="370"/>
                        </w:trPr>
                        <w:tc>
                          <w:tcPr>
                            <w:tcW w:w="3394" w:type="dxa"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Meble, </w:t>
                            </w:r>
                            <w:proofErr w:type="spellStart"/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rtv</w:t>
                            </w:r>
                            <w:proofErr w:type="spellEnd"/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agd</w:t>
                            </w:r>
                            <w:proofErr w:type="spellEnd"/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……………………..…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14,2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109,8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05,7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13,7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109,3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</w:tr>
                      <w:tr w:rsidR="00BD4B78" w:rsidRPr="0084735D" w:rsidTr="001D2624">
                        <w:trPr>
                          <w:cantSplit/>
                          <w:trHeight w:val="790"/>
                        </w:trPr>
                        <w:tc>
                          <w:tcPr>
                            <w:tcW w:w="3394" w:type="dxa"/>
                            <w:tcBorders>
                              <w:top w:val="nil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  <w:hideMark/>
                          </w:tcPr>
                          <w:p w:rsidR="00BD4B78" w:rsidRPr="0084735D" w:rsidRDefault="00BD4B78" w:rsidP="00BD4B78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Prasa, książki, pozostała sprzedaż </w:t>
                            </w:r>
                          </w:p>
                          <w:p w:rsidR="00BD4B78" w:rsidRPr="0084735D" w:rsidRDefault="00BD4B78" w:rsidP="00BD4B78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w wyspecjalizowanych sklepach..…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102,8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06,6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105,2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02,8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04,7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103,4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FFFF99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before="240" w:after="60" w:line="240" w:lineRule="auto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5,2</w:t>
                            </w:r>
                          </w:p>
                        </w:tc>
                      </w:tr>
                      <w:tr w:rsidR="00BD4B78" w:rsidRPr="0084735D" w:rsidTr="001D2624">
                        <w:trPr>
                          <w:cantSplit/>
                          <w:trHeight w:val="270"/>
                        </w:trPr>
                        <w:tc>
                          <w:tcPr>
                            <w:tcW w:w="3394" w:type="dxa"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BD4B78" w:rsidRPr="0084735D" w:rsidRDefault="00BD4B78" w:rsidP="00BD4B78">
                            <w:pPr>
                              <w:spacing w:after="6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Pozostałe………………………..….…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103,7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89,7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89,3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473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03,7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88,8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88,2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BD4B78" w:rsidRPr="0084735D" w:rsidRDefault="00BD4B78" w:rsidP="00BD4B78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9,9</w:t>
                            </w:r>
                          </w:p>
                        </w:tc>
                      </w:tr>
                    </w:tbl>
                    <w:p w:rsidR="00FE035D" w:rsidRDefault="00FE035D" w:rsidP="005468F3">
                      <w:pPr>
                        <w:spacing w:after="60"/>
                      </w:pPr>
                    </w:p>
                  </w:txbxContent>
                </v:textbox>
              </v:shape>
            </w:pict>
          </mc:Fallback>
        </mc:AlternateContent>
      </w:r>
    </w:p>
    <w:p w:rsidR="006C417A" w:rsidRPr="00451D55" w:rsidRDefault="006C417A"/>
    <w:p w:rsidR="00670E4C" w:rsidRPr="00451D55" w:rsidRDefault="00670E4C"/>
    <w:p w:rsidR="00670E4C" w:rsidRPr="00451D55" w:rsidRDefault="00670E4C">
      <w:pPr>
        <w:rPr>
          <w:b/>
        </w:rPr>
      </w:pPr>
    </w:p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Default="00670E4C"/>
    <w:p w:rsidR="00451D55" w:rsidRPr="00451D55" w:rsidRDefault="00451D55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Default="00D43DE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19F51F" wp14:editId="28DD69ED">
                <wp:simplePos x="0" y="0"/>
                <wp:positionH relativeFrom="margin">
                  <wp:align>left</wp:align>
                </wp:positionH>
                <wp:positionV relativeFrom="margin">
                  <wp:posOffset>33424</wp:posOffset>
                </wp:positionV>
                <wp:extent cx="6391275" cy="3169920"/>
                <wp:effectExtent l="0" t="0" r="9525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16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8C6" w:rsidRDefault="00EB2C17" w:rsidP="00D43DE7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>przedaż detaliczn</w:t>
                            </w:r>
                            <w:r w:rsidR="00423C44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 xml:space="preserve"> w cenach stałych </w:t>
                            </w:r>
                            <w:r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D4B78">
                              <w:rPr>
                                <w:rFonts w:ascii="Arial" w:hAnsi="Arial" w:cs="Arial"/>
                              </w:rPr>
                              <w:t xml:space="preserve">czerwcu </w:t>
                            </w: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Pr="004924B9">
                              <w:rPr>
                                <w:rFonts w:ascii="Arial" w:hAnsi="Arial" w:cs="Arial"/>
                              </w:rPr>
                              <w:t xml:space="preserve">r. </w:t>
                            </w:r>
                            <w:r w:rsidR="00423C44">
                              <w:rPr>
                                <w:rFonts w:ascii="Arial" w:hAnsi="Arial" w:cs="Arial"/>
                              </w:rPr>
                              <w:t xml:space="preserve">była wyższa </w:t>
                            </w:r>
                            <w:r w:rsidR="00CA22B6" w:rsidRPr="004924B9">
                              <w:rPr>
                                <w:rFonts w:ascii="Arial" w:hAnsi="Arial" w:cs="Arial"/>
                              </w:rPr>
                              <w:t xml:space="preserve">w skali roku </w:t>
                            </w:r>
                            <w:r w:rsidR="00940BB9" w:rsidRPr="004924B9">
                              <w:rPr>
                                <w:rFonts w:ascii="Arial" w:hAnsi="Arial" w:cs="Arial"/>
                              </w:rPr>
                              <w:br/>
                              <w:t xml:space="preserve">w 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 xml:space="preserve">większości grup. Wśród grup o znaczącym udziale w sprzedaży detalicznej ogółem </w:t>
                            </w:r>
                            <w:r w:rsidR="00115051">
                              <w:rPr>
                                <w:rFonts w:ascii="Arial" w:hAnsi="Arial" w:cs="Arial"/>
                              </w:rPr>
                              <w:t xml:space="preserve">wysoki 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 xml:space="preserve">wzrost odnotowano </w:t>
                            </w:r>
                            <w:r w:rsidR="005F2054" w:rsidRPr="004924B9">
                              <w:rPr>
                                <w:rFonts w:ascii="Arial" w:hAnsi="Arial" w:cs="Arial"/>
                              </w:rPr>
                              <w:t xml:space="preserve">w </w:t>
                            </w:r>
                            <w:r w:rsidR="00EF6D19">
                              <w:rPr>
                                <w:rFonts w:ascii="Arial" w:hAnsi="Arial" w:cs="Arial"/>
                              </w:rPr>
                              <w:t xml:space="preserve">przedsiębiorstwach </w:t>
                            </w:r>
                            <w:r w:rsidR="00D87699" w:rsidRPr="004924B9">
                              <w:rPr>
                                <w:rFonts w:ascii="Arial" w:hAnsi="Arial" w:cs="Arial"/>
                              </w:rPr>
                              <w:t xml:space="preserve">zajmujących się handlem </w:t>
                            </w:r>
                            <w:r w:rsidR="004D0429">
                              <w:rPr>
                                <w:rFonts w:ascii="Arial" w:hAnsi="Arial" w:cs="Arial"/>
                              </w:rPr>
                              <w:t>pojazd</w:t>
                            </w:r>
                            <w:r w:rsidR="00D65163">
                              <w:rPr>
                                <w:rFonts w:ascii="Arial" w:hAnsi="Arial" w:cs="Arial"/>
                              </w:rPr>
                              <w:t>ami</w:t>
                            </w:r>
                            <w:r w:rsidR="004D0429">
                              <w:rPr>
                                <w:rFonts w:ascii="Arial" w:hAnsi="Arial" w:cs="Arial"/>
                              </w:rPr>
                              <w:t xml:space="preserve"> samochodowy</w:t>
                            </w:r>
                            <w:r w:rsidR="00D65163">
                              <w:rPr>
                                <w:rFonts w:ascii="Arial" w:hAnsi="Arial" w:cs="Arial"/>
                              </w:rPr>
                              <w:t xml:space="preserve">mi, motocyklami, częściami 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>(o</w:t>
                            </w:r>
                            <w:r w:rsidR="004D042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23C44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8E7F77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A40D7F" w:rsidRPr="004924B9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BD4B78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 xml:space="preserve">% wobec </w:t>
                            </w:r>
                            <w:r w:rsidR="00F025D6">
                              <w:rPr>
                                <w:rFonts w:ascii="Arial" w:hAnsi="Arial" w:cs="Arial"/>
                              </w:rPr>
                              <w:t xml:space="preserve">wzrostu </w:t>
                            </w:r>
                            <w:r w:rsidR="00D833E4" w:rsidRPr="004924B9">
                              <w:rPr>
                                <w:rFonts w:ascii="Arial" w:hAnsi="Arial" w:cs="Arial"/>
                              </w:rPr>
                              <w:t xml:space="preserve">przed rokiem </w:t>
                            </w:r>
                            <w:r w:rsidR="00CA22B6" w:rsidRPr="004924B9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207EEE">
                              <w:rPr>
                                <w:rFonts w:ascii="Arial" w:hAnsi="Arial" w:cs="Arial"/>
                              </w:rPr>
                              <w:t xml:space="preserve"> 25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A07CCA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>%)</w:t>
                            </w:r>
                            <w:r w:rsidR="00F025D6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346A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A065E" w:rsidRPr="00346AEA">
                              <w:rPr>
                                <w:rFonts w:ascii="Arial" w:hAnsi="Arial" w:cs="Arial"/>
                              </w:rPr>
                              <w:t xml:space="preserve">w podmiotach </w:t>
                            </w:r>
                            <w:r w:rsidR="00346AEA" w:rsidRPr="00346AEA">
                              <w:rPr>
                                <w:rFonts w:ascii="Arial" w:hAnsi="Arial" w:cs="Arial"/>
                              </w:rPr>
                              <w:t xml:space="preserve">prowadzących pozostałą sprzedaż detaliczną w niewyspecjalizowanych sklepach </w:t>
                            </w:r>
                            <w:r w:rsidR="00BA065E" w:rsidRPr="00346AEA">
                              <w:rPr>
                                <w:rFonts w:ascii="Arial" w:hAnsi="Arial" w:cs="Arial"/>
                              </w:rPr>
                              <w:t xml:space="preserve">(o </w:t>
                            </w:r>
                            <w:r w:rsidR="00DE386E">
                              <w:rPr>
                                <w:rFonts w:ascii="Arial" w:hAnsi="Arial" w:cs="Arial"/>
                              </w:rPr>
                              <w:t>12</w:t>
                            </w:r>
                            <w:r w:rsidR="00A07CCA">
                              <w:rPr>
                                <w:rFonts w:ascii="Arial" w:hAnsi="Arial" w:cs="Arial"/>
                              </w:rPr>
                              <w:t>,2</w:t>
                            </w:r>
                            <w:r w:rsidR="00BA065E" w:rsidRPr="00346AEA">
                              <w:rPr>
                                <w:rFonts w:ascii="Arial" w:hAnsi="Arial" w:cs="Arial"/>
                              </w:rPr>
                              <w:t xml:space="preserve">% wobec </w:t>
                            </w:r>
                            <w:r w:rsidR="00D833E4" w:rsidRPr="00346AEA">
                              <w:rPr>
                                <w:rFonts w:ascii="Arial" w:hAnsi="Arial" w:cs="Arial"/>
                              </w:rPr>
                              <w:t xml:space="preserve">wzrostu </w:t>
                            </w:r>
                            <w:r w:rsidR="00BA065E" w:rsidRPr="00346AEA">
                              <w:rPr>
                                <w:rFonts w:ascii="Arial" w:hAnsi="Arial" w:cs="Arial"/>
                              </w:rPr>
                              <w:t xml:space="preserve">o </w:t>
                            </w:r>
                            <w:r w:rsidR="00207EEE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BA065E" w:rsidRPr="00346AEA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A07CCA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BA065E" w:rsidRPr="00346AEA">
                              <w:rPr>
                                <w:rFonts w:ascii="Arial" w:hAnsi="Arial" w:cs="Arial"/>
                              </w:rPr>
                              <w:t>%)</w:t>
                            </w:r>
                            <w:r w:rsidR="00F025D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025D6" w:rsidRPr="004924B9">
                              <w:rPr>
                                <w:rFonts w:ascii="Arial" w:hAnsi="Arial" w:cs="Arial"/>
                              </w:rPr>
                              <w:t>oraz</w:t>
                            </w:r>
                            <w:r w:rsidR="00F025D6">
                              <w:rPr>
                                <w:rFonts w:ascii="Arial" w:hAnsi="Arial" w:cs="Arial"/>
                              </w:rPr>
                              <w:t xml:space="preserve"> w jednostkach </w:t>
                            </w:r>
                            <w:r w:rsidR="00125805">
                              <w:rPr>
                                <w:rFonts w:ascii="Arial" w:hAnsi="Arial" w:cs="Arial"/>
                              </w:rPr>
                              <w:t xml:space="preserve">sprzedających żywność, napoje i wyroby tytoniowe (o </w:t>
                            </w:r>
                            <w:r w:rsidR="00A07CCA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66328F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DE386E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125805">
                              <w:rPr>
                                <w:rFonts w:ascii="Arial" w:hAnsi="Arial" w:cs="Arial"/>
                              </w:rPr>
                              <w:t xml:space="preserve">% wobec </w:t>
                            </w:r>
                            <w:r w:rsidR="00A07CCA">
                              <w:rPr>
                                <w:rFonts w:ascii="Arial" w:hAnsi="Arial" w:cs="Arial"/>
                              </w:rPr>
                              <w:t xml:space="preserve">wzrostu </w:t>
                            </w:r>
                            <w:r w:rsidR="00125805">
                              <w:rPr>
                                <w:rFonts w:ascii="Arial" w:hAnsi="Arial" w:cs="Arial"/>
                              </w:rPr>
                              <w:t xml:space="preserve">o </w:t>
                            </w:r>
                            <w:r w:rsidR="00207EEE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A07CCA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207EEE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66328F">
                              <w:rPr>
                                <w:rFonts w:ascii="Arial" w:hAnsi="Arial" w:cs="Arial"/>
                              </w:rPr>
                              <w:t>%</w:t>
                            </w:r>
                            <w:r w:rsidR="00125805">
                              <w:rPr>
                                <w:rFonts w:ascii="Arial" w:hAnsi="Arial" w:cs="Arial"/>
                              </w:rPr>
                              <w:t xml:space="preserve"> przed rokiem)</w:t>
                            </w:r>
                            <w:r w:rsidR="001C1CF1" w:rsidRPr="00346AE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5A4002" w:rsidRPr="00346A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C1CF1" w:rsidRPr="00346AEA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EF6D19" w:rsidRPr="00346AEA">
                              <w:rPr>
                                <w:rFonts w:ascii="Arial" w:hAnsi="Arial" w:cs="Arial"/>
                              </w:rPr>
                              <w:t xml:space="preserve">padek </w:t>
                            </w:r>
                            <w:r w:rsidR="00B26A7D" w:rsidRPr="00346AEA">
                              <w:rPr>
                                <w:rFonts w:ascii="Arial" w:hAnsi="Arial" w:cs="Arial"/>
                              </w:rPr>
                              <w:t xml:space="preserve">sprzedaży </w:t>
                            </w:r>
                            <w:r w:rsidR="005A4002" w:rsidRPr="00346AEA">
                              <w:rPr>
                                <w:rFonts w:ascii="Arial" w:hAnsi="Arial" w:cs="Arial"/>
                              </w:rPr>
                              <w:t xml:space="preserve">odnotowano </w:t>
                            </w:r>
                            <w:r w:rsidR="00D833E4" w:rsidRPr="00346AEA">
                              <w:rPr>
                                <w:rFonts w:ascii="Arial" w:hAnsi="Arial" w:cs="Arial"/>
                              </w:rPr>
                              <w:t xml:space="preserve">w </w:t>
                            </w:r>
                            <w:r w:rsidR="00DE386E">
                              <w:rPr>
                                <w:rFonts w:ascii="Arial" w:hAnsi="Arial" w:cs="Arial"/>
                              </w:rPr>
                              <w:t>grupowaniu</w:t>
                            </w:r>
                            <w:r w:rsidR="00D87699" w:rsidRPr="00346AE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46AEA">
                              <w:rPr>
                                <w:rFonts w:ascii="Arial" w:hAnsi="Arial" w:cs="Arial"/>
                              </w:rPr>
                              <w:t>„pozos</w:t>
                            </w:r>
                            <w:r w:rsidR="00A07CCA">
                              <w:rPr>
                                <w:rFonts w:ascii="Arial" w:hAnsi="Arial" w:cs="Arial"/>
                              </w:rPr>
                              <w:t>tałe” (o </w:t>
                            </w:r>
                            <w:r w:rsidR="00125805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DE386E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125805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DE386E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EF6D19">
                              <w:rPr>
                                <w:rFonts w:ascii="Arial" w:hAnsi="Arial" w:cs="Arial"/>
                              </w:rPr>
                              <w:t>% wobec spadku przed rokiem o</w:t>
                            </w:r>
                            <w:r w:rsidR="00E3714E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207EEE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215900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207EEE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EF6D19">
                              <w:rPr>
                                <w:rFonts w:ascii="Arial" w:hAnsi="Arial" w:cs="Arial"/>
                              </w:rPr>
                              <w:t>%)</w:t>
                            </w:r>
                            <w:r w:rsidR="008C0800" w:rsidRPr="004924B9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="004042A4" w:rsidRPr="004924B9"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="00B26A7D">
                              <w:rPr>
                                <w:rFonts w:ascii="Arial" w:hAnsi="Arial" w:cs="Arial"/>
                              </w:rPr>
                              <w:t xml:space="preserve"> pozostałych 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>grupach o</w:t>
                            </w:r>
                            <w:r w:rsidR="00B26A7D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3A618D">
                              <w:rPr>
                                <w:rFonts w:ascii="Arial" w:hAnsi="Arial" w:cs="Arial"/>
                              </w:rPr>
                              <w:t xml:space="preserve">niższym 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>udziale w</w:t>
                            </w:r>
                            <w:r w:rsidR="00207EEE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D828C6" w:rsidRPr="004924B9">
                              <w:rPr>
                                <w:rFonts w:ascii="Arial" w:hAnsi="Arial" w:cs="Arial"/>
                              </w:rPr>
                              <w:t>sprzedaży detalic</w:t>
                            </w:r>
                            <w:r w:rsidR="004042A4" w:rsidRPr="004924B9">
                              <w:rPr>
                                <w:rFonts w:ascii="Arial" w:hAnsi="Arial" w:cs="Arial"/>
                              </w:rPr>
                              <w:t xml:space="preserve">znej ogółem </w:t>
                            </w:r>
                            <w:r w:rsidR="0032770E">
                              <w:rPr>
                                <w:rFonts w:ascii="Arial" w:hAnsi="Arial" w:cs="Arial"/>
                              </w:rPr>
                              <w:t xml:space="preserve">najwyższy wzrost </w:t>
                            </w:r>
                            <w:r w:rsidR="004042A4" w:rsidRPr="004924B9">
                              <w:rPr>
                                <w:rFonts w:ascii="Arial" w:hAnsi="Arial" w:cs="Arial"/>
                              </w:rPr>
                              <w:t>sprzedaż</w:t>
                            </w:r>
                            <w:r w:rsidR="0032770E">
                              <w:rPr>
                                <w:rFonts w:ascii="Arial" w:hAnsi="Arial" w:cs="Arial"/>
                              </w:rPr>
                              <w:t>y odnotowano</w:t>
                            </w:r>
                            <w:r w:rsidR="004042A4" w:rsidRPr="004924B9">
                              <w:rPr>
                                <w:rFonts w:ascii="Arial" w:hAnsi="Arial" w:cs="Arial"/>
                              </w:rPr>
                              <w:t xml:space="preserve"> w</w:t>
                            </w:r>
                            <w:r w:rsidR="00EF6D19" w:rsidRPr="00EF6D1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25805">
                              <w:rPr>
                                <w:rFonts w:ascii="Arial" w:hAnsi="Arial" w:cs="Arial"/>
                              </w:rPr>
                              <w:t xml:space="preserve">podmiotach </w:t>
                            </w:r>
                            <w:r w:rsidR="00D43DE7">
                              <w:rPr>
                                <w:rFonts w:ascii="Arial" w:hAnsi="Arial" w:cs="Arial"/>
                              </w:rPr>
                              <w:t xml:space="preserve">handlujących </w:t>
                            </w:r>
                            <w:r w:rsidR="000676F3">
                              <w:rPr>
                                <w:rFonts w:ascii="Arial" w:hAnsi="Arial" w:cs="Arial"/>
                              </w:rPr>
                              <w:t>tekstyliami, odzieżą i </w:t>
                            </w:r>
                            <w:r w:rsidR="0066328F">
                              <w:rPr>
                                <w:rFonts w:ascii="Arial" w:hAnsi="Arial" w:cs="Arial"/>
                              </w:rPr>
                              <w:t xml:space="preserve">obuwiem </w:t>
                            </w:r>
                            <w:r w:rsidR="004042A4" w:rsidRPr="004924B9">
                              <w:rPr>
                                <w:rFonts w:ascii="Arial" w:hAnsi="Arial" w:cs="Arial"/>
                              </w:rPr>
                              <w:t>(o</w:t>
                            </w:r>
                            <w:r w:rsidR="00A84FEB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DE386E">
                              <w:rPr>
                                <w:rFonts w:ascii="Arial" w:hAnsi="Arial" w:cs="Arial"/>
                              </w:rPr>
                              <w:t>20,8</w:t>
                            </w:r>
                            <w:r w:rsidR="0032770E">
                              <w:rPr>
                                <w:rFonts w:ascii="Arial" w:hAnsi="Arial" w:cs="Arial"/>
                              </w:rPr>
                              <w:t>%</w:t>
                            </w:r>
                            <w:r w:rsidR="00B26A7D">
                              <w:rPr>
                                <w:rFonts w:ascii="Arial" w:hAnsi="Arial" w:cs="Arial"/>
                              </w:rPr>
                              <w:t xml:space="preserve"> wobec wzrostu przed rokiem o </w:t>
                            </w:r>
                            <w:r w:rsidR="0032770E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207EEE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B26A7D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207EEE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B26A7D">
                              <w:rPr>
                                <w:rFonts w:ascii="Arial" w:hAnsi="Arial" w:cs="Arial"/>
                              </w:rPr>
                              <w:t>%</w:t>
                            </w:r>
                            <w:r w:rsidR="00D43DE7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="001E5CBC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3A618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3A618D" w:rsidRDefault="003A618D" w:rsidP="003A618D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 okresie styczeń</w:t>
                            </w:r>
                            <w:r w:rsidR="001E5CB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2770E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="00DE386E">
                              <w:rPr>
                                <w:rFonts w:ascii="Arial" w:hAnsi="Arial" w:cs="Arial"/>
                              </w:rPr>
                              <w:t xml:space="preserve"> czerwiec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br. </w:t>
                            </w:r>
                            <w:r w:rsidR="006E6E2B">
                              <w:rPr>
                                <w:rFonts w:ascii="Arial" w:hAnsi="Arial" w:cs="Arial"/>
                              </w:rPr>
                              <w:t xml:space="preserve">wzrost </w:t>
                            </w:r>
                            <w:r>
                              <w:rPr>
                                <w:rFonts w:ascii="Arial" w:hAnsi="Arial" w:cs="Arial"/>
                              </w:rPr>
                              <w:t>sprzedaż</w:t>
                            </w:r>
                            <w:r w:rsidR="006E6E2B">
                              <w:rPr>
                                <w:rFonts w:ascii="Arial" w:hAnsi="Arial" w:cs="Arial"/>
                              </w:rPr>
                              <w:t>y detalicznej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62D60">
                              <w:rPr>
                                <w:rFonts w:ascii="Arial" w:hAnsi="Arial" w:cs="Arial"/>
                              </w:rPr>
                              <w:t>w skali roku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E6E2B">
                              <w:rPr>
                                <w:rFonts w:ascii="Arial" w:hAnsi="Arial" w:cs="Arial"/>
                              </w:rPr>
                              <w:t xml:space="preserve">wyniósł </w:t>
                            </w:r>
                            <w:r w:rsidR="00207EEE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6E6E2B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207EEE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6E6E2B">
                              <w:rPr>
                                <w:rFonts w:ascii="Arial" w:hAnsi="Arial" w:cs="Arial"/>
                              </w:rPr>
                              <w:t xml:space="preserve">% </w:t>
                            </w:r>
                            <w:r w:rsidR="00A07CCA">
                              <w:rPr>
                                <w:rFonts w:ascii="Arial" w:hAnsi="Arial" w:cs="Arial"/>
                              </w:rPr>
                              <w:t xml:space="preserve">(wobec wzrostu o </w:t>
                            </w:r>
                            <w:r w:rsidR="000A0423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A07CCA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207EEE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32770E">
                              <w:rPr>
                                <w:rFonts w:ascii="Arial" w:hAnsi="Arial" w:cs="Arial"/>
                              </w:rPr>
                              <w:t>% w 2015 r.).</w:t>
                            </w:r>
                          </w:p>
                          <w:p w:rsidR="003A618D" w:rsidRDefault="003A618D" w:rsidP="00D43DE7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A618D" w:rsidRPr="004924B9" w:rsidRDefault="003A618D" w:rsidP="00D43DE7">
                            <w:pPr>
                              <w:spacing w:after="0"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9F51F" id="Text Box 7" o:spid="_x0000_s1029" type="#_x0000_t202" style="position:absolute;margin-left:0;margin-top:2.65pt;width:503.25pt;height:249.6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" stroked="f" strokecolor="#4f81bd [3204]">
                <v:stroke dashstyle="3 1"/>
                <v:textbox>
                  <w:txbxContent>
                    <w:p w:rsidR="00D828C6" w:rsidRDefault="00EB2C17" w:rsidP="00D43DE7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>przedaż detaliczn</w:t>
                      </w:r>
                      <w:r w:rsidR="00423C44">
                        <w:rPr>
                          <w:rFonts w:ascii="Arial" w:hAnsi="Arial" w:cs="Arial"/>
                        </w:rPr>
                        <w:t>a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 xml:space="preserve"> w cenach stałych </w:t>
                      </w:r>
                      <w:r>
                        <w:rPr>
                          <w:rFonts w:ascii="Arial" w:hAnsi="Arial" w:cs="Arial"/>
                        </w:rPr>
                        <w:t>w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 </w:t>
                      </w:r>
                      <w:r w:rsidR="00BD4B78">
                        <w:rPr>
                          <w:rFonts w:ascii="Arial" w:hAnsi="Arial" w:cs="Arial"/>
                        </w:rPr>
                        <w:t xml:space="preserve">czerwcu </w:t>
                      </w:r>
                      <w:r>
                        <w:rPr>
                          <w:rFonts w:ascii="Arial" w:hAnsi="Arial" w:cs="Arial"/>
                        </w:rPr>
                        <w:t>b</w:t>
                      </w:r>
                      <w:r w:rsidRPr="004924B9">
                        <w:rPr>
                          <w:rFonts w:ascii="Arial" w:hAnsi="Arial" w:cs="Arial"/>
                        </w:rPr>
                        <w:t xml:space="preserve">r. </w:t>
                      </w:r>
                      <w:r w:rsidR="00423C44">
                        <w:rPr>
                          <w:rFonts w:ascii="Arial" w:hAnsi="Arial" w:cs="Arial"/>
                        </w:rPr>
                        <w:t xml:space="preserve">była wyższa </w:t>
                      </w:r>
                      <w:r w:rsidR="00CA22B6" w:rsidRPr="004924B9">
                        <w:rPr>
                          <w:rFonts w:ascii="Arial" w:hAnsi="Arial" w:cs="Arial"/>
                        </w:rPr>
                        <w:t xml:space="preserve">w skali roku </w:t>
                      </w:r>
                      <w:r w:rsidR="00940BB9" w:rsidRPr="004924B9">
                        <w:rPr>
                          <w:rFonts w:ascii="Arial" w:hAnsi="Arial" w:cs="Arial"/>
                        </w:rPr>
                        <w:br/>
                        <w:t xml:space="preserve">w 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 xml:space="preserve">większości grup. Wśród grup o znaczącym udziale w sprzedaży detalicznej ogółem </w:t>
                      </w:r>
                      <w:r w:rsidR="00115051">
                        <w:rPr>
                          <w:rFonts w:ascii="Arial" w:hAnsi="Arial" w:cs="Arial"/>
                        </w:rPr>
                        <w:t xml:space="preserve">wysoki </w:t>
                      </w:r>
                      <w:bookmarkStart w:id="1" w:name="_GoBack"/>
                      <w:bookmarkEnd w:id="1"/>
                      <w:r w:rsidR="00D828C6" w:rsidRPr="004924B9">
                        <w:rPr>
                          <w:rFonts w:ascii="Arial" w:hAnsi="Arial" w:cs="Arial"/>
                        </w:rPr>
                        <w:t xml:space="preserve">wzrost odnotowano </w:t>
                      </w:r>
                      <w:r w:rsidR="005F2054" w:rsidRPr="004924B9">
                        <w:rPr>
                          <w:rFonts w:ascii="Arial" w:hAnsi="Arial" w:cs="Arial"/>
                        </w:rPr>
                        <w:t xml:space="preserve">w </w:t>
                      </w:r>
                      <w:r w:rsidR="00EF6D19">
                        <w:rPr>
                          <w:rFonts w:ascii="Arial" w:hAnsi="Arial" w:cs="Arial"/>
                        </w:rPr>
                        <w:t xml:space="preserve">przedsiębiorstwach </w:t>
                      </w:r>
                      <w:r w:rsidR="00D87699" w:rsidRPr="004924B9">
                        <w:rPr>
                          <w:rFonts w:ascii="Arial" w:hAnsi="Arial" w:cs="Arial"/>
                        </w:rPr>
                        <w:t xml:space="preserve">zajmujących się handlem </w:t>
                      </w:r>
                      <w:r w:rsidR="004D0429">
                        <w:rPr>
                          <w:rFonts w:ascii="Arial" w:hAnsi="Arial" w:cs="Arial"/>
                        </w:rPr>
                        <w:t>pojazd</w:t>
                      </w:r>
                      <w:r w:rsidR="00D65163">
                        <w:rPr>
                          <w:rFonts w:ascii="Arial" w:hAnsi="Arial" w:cs="Arial"/>
                        </w:rPr>
                        <w:t>ami</w:t>
                      </w:r>
                      <w:r w:rsidR="004D0429">
                        <w:rPr>
                          <w:rFonts w:ascii="Arial" w:hAnsi="Arial" w:cs="Arial"/>
                        </w:rPr>
                        <w:t xml:space="preserve"> samochodowy</w:t>
                      </w:r>
                      <w:r w:rsidR="00D65163">
                        <w:rPr>
                          <w:rFonts w:ascii="Arial" w:hAnsi="Arial" w:cs="Arial"/>
                        </w:rPr>
                        <w:t xml:space="preserve">mi, motocyklami, częściami 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>(o</w:t>
                      </w:r>
                      <w:r w:rsidR="004D0429">
                        <w:rPr>
                          <w:rFonts w:ascii="Arial" w:hAnsi="Arial" w:cs="Arial"/>
                        </w:rPr>
                        <w:t xml:space="preserve"> </w:t>
                      </w:r>
                      <w:r w:rsidR="00423C44">
                        <w:rPr>
                          <w:rFonts w:ascii="Arial" w:hAnsi="Arial" w:cs="Arial"/>
                        </w:rPr>
                        <w:t>1</w:t>
                      </w:r>
                      <w:r w:rsidR="008E7F77">
                        <w:rPr>
                          <w:rFonts w:ascii="Arial" w:hAnsi="Arial" w:cs="Arial"/>
                        </w:rPr>
                        <w:t>4</w:t>
                      </w:r>
                      <w:r w:rsidR="00A40D7F" w:rsidRPr="004924B9">
                        <w:rPr>
                          <w:rFonts w:ascii="Arial" w:hAnsi="Arial" w:cs="Arial"/>
                        </w:rPr>
                        <w:t>,</w:t>
                      </w:r>
                      <w:r w:rsidR="00BD4B78">
                        <w:rPr>
                          <w:rFonts w:ascii="Arial" w:hAnsi="Arial" w:cs="Arial"/>
                        </w:rPr>
                        <w:t>3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 xml:space="preserve">% wobec </w:t>
                      </w:r>
                      <w:r w:rsidR="00F025D6">
                        <w:rPr>
                          <w:rFonts w:ascii="Arial" w:hAnsi="Arial" w:cs="Arial"/>
                        </w:rPr>
                        <w:t xml:space="preserve">wzrostu </w:t>
                      </w:r>
                      <w:r w:rsidR="00D833E4" w:rsidRPr="004924B9">
                        <w:rPr>
                          <w:rFonts w:ascii="Arial" w:hAnsi="Arial" w:cs="Arial"/>
                        </w:rPr>
                        <w:t xml:space="preserve">przed rokiem </w:t>
                      </w:r>
                      <w:r w:rsidR="00CA22B6" w:rsidRPr="004924B9">
                        <w:rPr>
                          <w:rFonts w:ascii="Arial" w:hAnsi="Arial" w:cs="Arial"/>
                        </w:rPr>
                        <w:t>o</w:t>
                      </w:r>
                      <w:r w:rsidR="00207EEE">
                        <w:rPr>
                          <w:rFonts w:ascii="Arial" w:hAnsi="Arial" w:cs="Arial"/>
                        </w:rPr>
                        <w:t xml:space="preserve"> 25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>,</w:t>
                      </w:r>
                      <w:r w:rsidR="00A07CCA">
                        <w:rPr>
                          <w:rFonts w:ascii="Arial" w:hAnsi="Arial" w:cs="Arial"/>
                        </w:rPr>
                        <w:t>0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>%)</w:t>
                      </w:r>
                      <w:r w:rsidR="00F025D6">
                        <w:rPr>
                          <w:rFonts w:ascii="Arial" w:hAnsi="Arial" w:cs="Arial"/>
                        </w:rPr>
                        <w:t>,</w:t>
                      </w:r>
                      <w:r w:rsidR="00346AEA">
                        <w:rPr>
                          <w:rFonts w:ascii="Arial" w:hAnsi="Arial" w:cs="Arial"/>
                        </w:rPr>
                        <w:t xml:space="preserve"> </w:t>
                      </w:r>
                      <w:r w:rsidR="00BA065E" w:rsidRPr="00346AEA">
                        <w:rPr>
                          <w:rFonts w:ascii="Arial" w:hAnsi="Arial" w:cs="Arial"/>
                        </w:rPr>
                        <w:t xml:space="preserve">w podmiotach </w:t>
                      </w:r>
                      <w:r w:rsidR="00346AEA" w:rsidRPr="00346AEA">
                        <w:rPr>
                          <w:rFonts w:ascii="Arial" w:hAnsi="Arial" w:cs="Arial"/>
                        </w:rPr>
                        <w:t xml:space="preserve">prowadzących pozostałą sprzedaż detaliczną w niewyspecjalizowanych sklepach </w:t>
                      </w:r>
                      <w:r w:rsidR="00BA065E" w:rsidRPr="00346AEA">
                        <w:rPr>
                          <w:rFonts w:ascii="Arial" w:hAnsi="Arial" w:cs="Arial"/>
                        </w:rPr>
                        <w:t xml:space="preserve">(o </w:t>
                      </w:r>
                      <w:r w:rsidR="00DE386E">
                        <w:rPr>
                          <w:rFonts w:ascii="Arial" w:hAnsi="Arial" w:cs="Arial"/>
                        </w:rPr>
                        <w:t>12</w:t>
                      </w:r>
                      <w:r w:rsidR="00A07CCA">
                        <w:rPr>
                          <w:rFonts w:ascii="Arial" w:hAnsi="Arial" w:cs="Arial"/>
                        </w:rPr>
                        <w:t>,2</w:t>
                      </w:r>
                      <w:r w:rsidR="00BA065E" w:rsidRPr="00346AEA">
                        <w:rPr>
                          <w:rFonts w:ascii="Arial" w:hAnsi="Arial" w:cs="Arial"/>
                        </w:rPr>
                        <w:t xml:space="preserve">% wobec </w:t>
                      </w:r>
                      <w:r w:rsidR="00D833E4" w:rsidRPr="00346AEA">
                        <w:rPr>
                          <w:rFonts w:ascii="Arial" w:hAnsi="Arial" w:cs="Arial"/>
                        </w:rPr>
                        <w:t xml:space="preserve">wzrostu </w:t>
                      </w:r>
                      <w:r w:rsidR="00BA065E" w:rsidRPr="00346AEA">
                        <w:rPr>
                          <w:rFonts w:ascii="Arial" w:hAnsi="Arial" w:cs="Arial"/>
                        </w:rPr>
                        <w:t xml:space="preserve">o </w:t>
                      </w:r>
                      <w:r w:rsidR="00207EEE">
                        <w:rPr>
                          <w:rFonts w:ascii="Arial" w:hAnsi="Arial" w:cs="Arial"/>
                        </w:rPr>
                        <w:t>8</w:t>
                      </w:r>
                      <w:r w:rsidR="00BA065E" w:rsidRPr="00346AEA">
                        <w:rPr>
                          <w:rFonts w:ascii="Arial" w:hAnsi="Arial" w:cs="Arial"/>
                        </w:rPr>
                        <w:t>,</w:t>
                      </w:r>
                      <w:r w:rsidR="00A07CCA">
                        <w:rPr>
                          <w:rFonts w:ascii="Arial" w:hAnsi="Arial" w:cs="Arial"/>
                        </w:rPr>
                        <w:t>5</w:t>
                      </w:r>
                      <w:r w:rsidR="00BA065E" w:rsidRPr="00346AEA">
                        <w:rPr>
                          <w:rFonts w:ascii="Arial" w:hAnsi="Arial" w:cs="Arial"/>
                        </w:rPr>
                        <w:t>%)</w:t>
                      </w:r>
                      <w:r w:rsidR="00F025D6">
                        <w:rPr>
                          <w:rFonts w:ascii="Arial" w:hAnsi="Arial" w:cs="Arial"/>
                        </w:rPr>
                        <w:t xml:space="preserve"> </w:t>
                      </w:r>
                      <w:r w:rsidR="00F025D6" w:rsidRPr="004924B9">
                        <w:rPr>
                          <w:rFonts w:ascii="Arial" w:hAnsi="Arial" w:cs="Arial"/>
                        </w:rPr>
                        <w:t>oraz</w:t>
                      </w:r>
                      <w:r w:rsidR="00F025D6">
                        <w:rPr>
                          <w:rFonts w:ascii="Arial" w:hAnsi="Arial" w:cs="Arial"/>
                        </w:rPr>
                        <w:t xml:space="preserve"> w jednostkach </w:t>
                      </w:r>
                      <w:r w:rsidR="00125805">
                        <w:rPr>
                          <w:rFonts w:ascii="Arial" w:hAnsi="Arial" w:cs="Arial"/>
                        </w:rPr>
                        <w:t xml:space="preserve">sprzedających żywność, napoje i wyroby tytoniowe (o </w:t>
                      </w:r>
                      <w:r w:rsidR="00A07CCA">
                        <w:rPr>
                          <w:rFonts w:ascii="Arial" w:hAnsi="Arial" w:cs="Arial"/>
                        </w:rPr>
                        <w:t>5</w:t>
                      </w:r>
                      <w:r w:rsidR="0066328F">
                        <w:rPr>
                          <w:rFonts w:ascii="Arial" w:hAnsi="Arial" w:cs="Arial"/>
                        </w:rPr>
                        <w:t>,</w:t>
                      </w:r>
                      <w:r w:rsidR="00DE386E">
                        <w:rPr>
                          <w:rFonts w:ascii="Arial" w:hAnsi="Arial" w:cs="Arial"/>
                        </w:rPr>
                        <w:t>0</w:t>
                      </w:r>
                      <w:r w:rsidR="00125805">
                        <w:rPr>
                          <w:rFonts w:ascii="Arial" w:hAnsi="Arial" w:cs="Arial"/>
                        </w:rPr>
                        <w:t xml:space="preserve">% wobec </w:t>
                      </w:r>
                      <w:r w:rsidR="00A07CCA">
                        <w:rPr>
                          <w:rFonts w:ascii="Arial" w:hAnsi="Arial" w:cs="Arial"/>
                        </w:rPr>
                        <w:t xml:space="preserve">wzrostu </w:t>
                      </w:r>
                      <w:r w:rsidR="00125805">
                        <w:rPr>
                          <w:rFonts w:ascii="Arial" w:hAnsi="Arial" w:cs="Arial"/>
                        </w:rPr>
                        <w:t xml:space="preserve">o </w:t>
                      </w:r>
                      <w:r w:rsidR="00207EEE">
                        <w:rPr>
                          <w:rFonts w:ascii="Arial" w:hAnsi="Arial" w:cs="Arial"/>
                        </w:rPr>
                        <w:t>5</w:t>
                      </w:r>
                      <w:r w:rsidR="00A07CCA">
                        <w:rPr>
                          <w:rFonts w:ascii="Arial" w:hAnsi="Arial" w:cs="Arial"/>
                        </w:rPr>
                        <w:t>,</w:t>
                      </w:r>
                      <w:r w:rsidR="00207EEE">
                        <w:rPr>
                          <w:rFonts w:ascii="Arial" w:hAnsi="Arial" w:cs="Arial"/>
                        </w:rPr>
                        <w:t>8</w:t>
                      </w:r>
                      <w:r w:rsidR="0066328F">
                        <w:rPr>
                          <w:rFonts w:ascii="Arial" w:hAnsi="Arial" w:cs="Arial"/>
                        </w:rPr>
                        <w:t>%</w:t>
                      </w:r>
                      <w:r w:rsidR="00125805">
                        <w:rPr>
                          <w:rFonts w:ascii="Arial" w:hAnsi="Arial" w:cs="Arial"/>
                        </w:rPr>
                        <w:t xml:space="preserve"> przed rokiem)</w:t>
                      </w:r>
                      <w:r w:rsidR="001C1CF1" w:rsidRPr="00346AEA">
                        <w:rPr>
                          <w:rFonts w:ascii="Arial" w:hAnsi="Arial" w:cs="Arial"/>
                        </w:rPr>
                        <w:t>.</w:t>
                      </w:r>
                      <w:r w:rsidR="005A4002" w:rsidRPr="00346AEA">
                        <w:rPr>
                          <w:rFonts w:ascii="Arial" w:hAnsi="Arial" w:cs="Arial"/>
                        </w:rPr>
                        <w:t xml:space="preserve"> </w:t>
                      </w:r>
                      <w:r w:rsidR="001C1CF1" w:rsidRPr="00346AEA">
                        <w:rPr>
                          <w:rFonts w:ascii="Arial" w:hAnsi="Arial" w:cs="Arial"/>
                        </w:rPr>
                        <w:t>S</w:t>
                      </w:r>
                      <w:r w:rsidR="00EF6D19" w:rsidRPr="00346AEA">
                        <w:rPr>
                          <w:rFonts w:ascii="Arial" w:hAnsi="Arial" w:cs="Arial"/>
                        </w:rPr>
                        <w:t xml:space="preserve">padek </w:t>
                      </w:r>
                      <w:r w:rsidR="00B26A7D" w:rsidRPr="00346AEA">
                        <w:rPr>
                          <w:rFonts w:ascii="Arial" w:hAnsi="Arial" w:cs="Arial"/>
                        </w:rPr>
                        <w:t xml:space="preserve">sprzedaży </w:t>
                      </w:r>
                      <w:r w:rsidR="005A4002" w:rsidRPr="00346AEA">
                        <w:rPr>
                          <w:rFonts w:ascii="Arial" w:hAnsi="Arial" w:cs="Arial"/>
                        </w:rPr>
                        <w:t xml:space="preserve">odnotowano </w:t>
                      </w:r>
                      <w:r w:rsidR="00D833E4" w:rsidRPr="00346AEA">
                        <w:rPr>
                          <w:rFonts w:ascii="Arial" w:hAnsi="Arial" w:cs="Arial"/>
                        </w:rPr>
                        <w:t xml:space="preserve">w </w:t>
                      </w:r>
                      <w:r w:rsidR="00DE386E">
                        <w:rPr>
                          <w:rFonts w:ascii="Arial" w:hAnsi="Arial" w:cs="Arial"/>
                        </w:rPr>
                        <w:t>grupowaniu</w:t>
                      </w:r>
                      <w:r w:rsidR="00D87699" w:rsidRPr="00346AEA">
                        <w:rPr>
                          <w:rFonts w:ascii="Arial" w:hAnsi="Arial" w:cs="Arial"/>
                        </w:rPr>
                        <w:t xml:space="preserve"> </w:t>
                      </w:r>
                      <w:r w:rsidRPr="00346AEA">
                        <w:rPr>
                          <w:rFonts w:ascii="Arial" w:hAnsi="Arial" w:cs="Arial"/>
                        </w:rPr>
                        <w:t>„pozos</w:t>
                      </w:r>
                      <w:r w:rsidR="00A07CCA">
                        <w:rPr>
                          <w:rFonts w:ascii="Arial" w:hAnsi="Arial" w:cs="Arial"/>
                        </w:rPr>
                        <w:t>tałe” (o </w:t>
                      </w:r>
                      <w:r w:rsidR="00125805">
                        <w:rPr>
                          <w:rFonts w:ascii="Arial" w:hAnsi="Arial" w:cs="Arial"/>
                        </w:rPr>
                        <w:t>1</w:t>
                      </w:r>
                      <w:r w:rsidR="00DE386E">
                        <w:rPr>
                          <w:rFonts w:ascii="Arial" w:hAnsi="Arial" w:cs="Arial"/>
                        </w:rPr>
                        <w:t>0</w:t>
                      </w:r>
                      <w:r w:rsidR="00125805">
                        <w:rPr>
                          <w:rFonts w:ascii="Arial" w:hAnsi="Arial" w:cs="Arial"/>
                        </w:rPr>
                        <w:t>,</w:t>
                      </w:r>
                      <w:r w:rsidR="00DE386E">
                        <w:rPr>
                          <w:rFonts w:ascii="Arial" w:hAnsi="Arial" w:cs="Arial"/>
                        </w:rPr>
                        <w:t>3</w:t>
                      </w:r>
                      <w:r w:rsidR="00EF6D19">
                        <w:rPr>
                          <w:rFonts w:ascii="Arial" w:hAnsi="Arial" w:cs="Arial"/>
                        </w:rPr>
                        <w:t>% wobec spadku przed rokiem o</w:t>
                      </w:r>
                      <w:r w:rsidR="00E3714E">
                        <w:rPr>
                          <w:rFonts w:ascii="Arial" w:hAnsi="Arial" w:cs="Arial"/>
                        </w:rPr>
                        <w:t> </w:t>
                      </w:r>
                      <w:r w:rsidR="00207EEE">
                        <w:rPr>
                          <w:rFonts w:ascii="Arial" w:hAnsi="Arial" w:cs="Arial"/>
                        </w:rPr>
                        <w:t>6</w:t>
                      </w:r>
                      <w:r w:rsidR="00215900">
                        <w:rPr>
                          <w:rFonts w:ascii="Arial" w:hAnsi="Arial" w:cs="Arial"/>
                        </w:rPr>
                        <w:t>,</w:t>
                      </w:r>
                      <w:r w:rsidR="00207EEE">
                        <w:rPr>
                          <w:rFonts w:ascii="Arial" w:hAnsi="Arial" w:cs="Arial"/>
                        </w:rPr>
                        <w:t>3</w:t>
                      </w:r>
                      <w:r w:rsidR="00EF6D19">
                        <w:rPr>
                          <w:rFonts w:ascii="Arial" w:hAnsi="Arial" w:cs="Arial"/>
                        </w:rPr>
                        <w:t>%)</w:t>
                      </w:r>
                      <w:r w:rsidR="008C0800" w:rsidRPr="004924B9">
                        <w:rPr>
                          <w:rFonts w:ascii="Arial" w:hAnsi="Arial" w:cs="Arial"/>
                        </w:rPr>
                        <w:t xml:space="preserve">. </w:t>
                      </w:r>
                      <w:r w:rsidR="004042A4" w:rsidRPr="004924B9">
                        <w:rPr>
                          <w:rFonts w:ascii="Arial" w:hAnsi="Arial" w:cs="Arial"/>
                        </w:rPr>
                        <w:t>W</w:t>
                      </w:r>
                      <w:r w:rsidR="00B26A7D">
                        <w:rPr>
                          <w:rFonts w:ascii="Arial" w:hAnsi="Arial" w:cs="Arial"/>
                        </w:rPr>
                        <w:t xml:space="preserve"> pozostałych 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>grupach o</w:t>
                      </w:r>
                      <w:r w:rsidR="00B26A7D">
                        <w:rPr>
                          <w:rFonts w:ascii="Arial" w:hAnsi="Arial" w:cs="Arial"/>
                        </w:rPr>
                        <w:t> </w:t>
                      </w:r>
                      <w:r w:rsidR="003A618D">
                        <w:rPr>
                          <w:rFonts w:ascii="Arial" w:hAnsi="Arial" w:cs="Arial"/>
                        </w:rPr>
                        <w:t xml:space="preserve">niższym 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>udziale w</w:t>
                      </w:r>
                      <w:r w:rsidR="00207EEE">
                        <w:rPr>
                          <w:rFonts w:ascii="Arial" w:hAnsi="Arial" w:cs="Arial"/>
                        </w:rPr>
                        <w:t> </w:t>
                      </w:r>
                      <w:r w:rsidR="00D828C6" w:rsidRPr="004924B9">
                        <w:rPr>
                          <w:rFonts w:ascii="Arial" w:hAnsi="Arial" w:cs="Arial"/>
                        </w:rPr>
                        <w:t>sprzedaży detalic</w:t>
                      </w:r>
                      <w:r w:rsidR="004042A4" w:rsidRPr="004924B9">
                        <w:rPr>
                          <w:rFonts w:ascii="Arial" w:hAnsi="Arial" w:cs="Arial"/>
                        </w:rPr>
                        <w:t xml:space="preserve">znej ogółem </w:t>
                      </w:r>
                      <w:r w:rsidR="0032770E">
                        <w:rPr>
                          <w:rFonts w:ascii="Arial" w:hAnsi="Arial" w:cs="Arial"/>
                        </w:rPr>
                        <w:t xml:space="preserve">najwyższy wzrost </w:t>
                      </w:r>
                      <w:r w:rsidR="004042A4" w:rsidRPr="004924B9">
                        <w:rPr>
                          <w:rFonts w:ascii="Arial" w:hAnsi="Arial" w:cs="Arial"/>
                        </w:rPr>
                        <w:t>sprzedaż</w:t>
                      </w:r>
                      <w:r w:rsidR="0032770E">
                        <w:rPr>
                          <w:rFonts w:ascii="Arial" w:hAnsi="Arial" w:cs="Arial"/>
                        </w:rPr>
                        <w:t>y odnotowano</w:t>
                      </w:r>
                      <w:r w:rsidR="004042A4" w:rsidRPr="004924B9">
                        <w:rPr>
                          <w:rFonts w:ascii="Arial" w:hAnsi="Arial" w:cs="Arial"/>
                        </w:rPr>
                        <w:t xml:space="preserve"> w</w:t>
                      </w:r>
                      <w:r w:rsidR="00EF6D19" w:rsidRPr="00EF6D19">
                        <w:rPr>
                          <w:rFonts w:ascii="Arial" w:hAnsi="Arial" w:cs="Arial"/>
                        </w:rPr>
                        <w:t xml:space="preserve"> </w:t>
                      </w:r>
                      <w:r w:rsidR="00125805">
                        <w:rPr>
                          <w:rFonts w:ascii="Arial" w:hAnsi="Arial" w:cs="Arial"/>
                        </w:rPr>
                        <w:t xml:space="preserve">podmiotach </w:t>
                      </w:r>
                      <w:r w:rsidR="00D43DE7">
                        <w:rPr>
                          <w:rFonts w:ascii="Arial" w:hAnsi="Arial" w:cs="Arial"/>
                        </w:rPr>
                        <w:t xml:space="preserve">handlujących </w:t>
                      </w:r>
                      <w:r w:rsidR="000676F3">
                        <w:rPr>
                          <w:rFonts w:ascii="Arial" w:hAnsi="Arial" w:cs="Arial"/>
                        </w:rPr>
                        <w:t>tekstyliami, odzieżą i </w:t>
                      </w:r>
                      <w:r w:rsidR="0066328F">
                        <w:rPr>
                          <w:rFonts w:ascii="Arial" w:hAnsi="Arial" w:cs="Arial"/>
                        </w:rPr>
                        <w:t xml:space="preserve">obuwiem </w:t>
                      </w:r>
                      <w:r w:rsidR="004042A4" w:rsidRPr="004924B9">
                        <w:rPr>
                          <w:rFonts w:ascii="Arial" w:hAnsi="Arial" w:cs="Arial"/>
                        </w:rPr>
                        <w:t>(o</w:t>
                      </w:r>
                      <w:r w:rsidR="00A84FEB">
                        <w:rPr>
                          <w:rFonts w:ascii="Arial" w:hAnsi="Arial" w:cs="Arial"/>
                        </w:rPr>
                        <w:t> </w:t>
                      </w:r>
                      <w:r w:rsidR="00DE386E">
                        <w:rPr>
                          <w:rFonts w:ascii="Arial" w:hAnsi="Arial" w:cs="Arial"/>
                        </w:rPr>
                        <w:t>20,8</w:t>
                      </w:r>
                      <w:r w:rsidR="0032770E">
                        <w:rPr>
                          <w:rFonts w:ascii="Arial" w:hAnsi="Arial" w:cs="Arial"/>
                        </w:rPr>
                        <w:t>%</w:t>
                      </w:r>
                      <w:r w:rsidR="00B26A7D">
                        <w:rPr>
                          <w:rFonts w:ascii="Arial" w:hAnsi="Arial" w:cs="Arial"/>
                        </w:rPr>
                        <w:t xml:space="preserve"> wobec wzrostu przed rokiem o </w:t>
                      </w:r>
                      <w:r w:rsidR="0032770E">
                        <w:rPr>
                          <w:rFonts w:ascii="Arial" w:hAnsi="Arial" w:cs="Arial"/>
                        </w:rPr>
                        <w:t>1</w:t>
                      </w:r>
                      <w:r w:rsidR="00207EEE">
                        <w:rPr>
                          <w:rFonts w:ascii="Arial" w:hAnsi="Arial" w:cs="Arial"/>
                        </w:rPr>
                        <w:t>7</w:t>
                      </w:r>
                      <w:r w:rsidR="00B26A7D">
                        <w:rPr>
                          <w:rFonts w:ascii="Arial" w:hAnsi="Arial" w:cs="Arial"/>
                        </w:rPr>
                        <w:t>,</w:t>
                      </w:r>
                      <w:r w:rsidR="00207EEE">
                        <w:rPr>
                          <w:rFonts w:ascii="Arial" w:hAnsi="Arial" w:cs="Arial"/>
                        </w:rPr>
                        <w:t>6</w:t>
                      </w:r>
                      <w:r w:rsidR="00B26A7D">
                        <w:rPr>
                          <w:rFonts w:ascii="Arial" w:hAnsi="Arial" w:cs="Arial"/>
                        </w:rPr>
                        <w:t>%</w:t>
                      </w:r>
                      <w:r w:rsidR="00D43DE7">
                        <w:rPr>
                          <w:rFonts w:ascii="Arial" w:hAnsi="Arial" w:cs="Arial"/>
                        </w:rPr>
                        <w:t>)</w:t>
                      </w:r>
                      <w:r w:rsidR="001E5CBC">
                        <w:rPr>
                          <w:rFonts w:ascii="Arial" w:hAnsi="Arial" w:cs="Arial"/>
                        </w:rPr>
                        <w:t>.</w:t>
                      </w:r>
                      <w:r w:rsidR="003A618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3A618D" w:rsidRDefault="003A618D" w:rsidP="003A618D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 okresie styczeń</w:t>
                      </w:r>
                      <w:r w:rsidR="001E5CBC">
                        <w:rPr>
                          <w:rFonts w:ascii="Arial" w:hAnsi="Arial" w:cs="Arial"/>
                        </w:rPr>
                        <w:t xml:space="preserve"> </w:t>
                      </w:r>
                      <w:r w:rsidR="0032770E">
                        <w:rPr>
                          <w:rFonts w:ascii="Arial" w:hAnsi="Arial" w:cs="Arial"/>
                        </w:rPr>
                        <w:t>–</w:t>
                      </w:r>
                      <w:r w:rsidR="00DE386E">
                        <w:rPr>
                          <w:rFonts w:ascii="Arial" w:hAnsi="Arial" w:cs="Arial"/>
                        </w:rPr>
                        <w:t xml:space="preserve"> czerwiec </w:t>
                      </w:r>
                      <w:r>
                        <w:rPr>
                          <w:rFonts w:ascii="Arial" w:hAnsi="Arial" w:cs="Arial"/>
                        </w:rPr>
                        <w:t xml:space="preserve">br. </w:t>
                      </w:r>
                      <w:r w:rsidR="006E6E2B">
                        <w:rPr>
                          <w:rFonts w:ascii="Arial" w:hAnsi="Arial" w:cs="Arial"/>
                        </w:rPr>
                        <w:t xml:space="preserve">wzrost </w:t>
                      </w:r>
                      <w:r>
                        <w:rPr>
                          <w:rFonts w:ascii="Arial" w:hAnsi="Arial" w:cs="Arial"/>
                        </w:rPr>
                        <w:t>sprzedaż</w:t>
                      </w:r>
                      <w:r w:rsidR="006E6E2B">
                        <w:rPr>
                          <w:rFonts w:ascii="Arial" w:hAnsi="Arial" w:cs="Arial"/>
                        </w:rPr>
                        <w:t>y detalicznej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B62D60">
                        <w:rPr>
                          <w:rFonts w:ascii="Arial" w:hAnsi="Arial" w:cs="Arial"/>
                        </w:rPr>
                        <w:t>w skali roku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6E6E2B">
                        <w:rPr>
                          <w:rFonts w:ascii="Arial" w:hAnsi="Arial" w:cs="Arial"/>
                        </w:rPr>
                        <w:t xml:space="preserve">wyniósł </w:t>
                      </w:r>
                      <w:r w:rsidR="00207EEE">
                        <w:rPr>
                          <w:rFonts w:ascii="Arial" w:hAnsi="Arial" w:cs="Arial"/>
                        </w:rPr>
                        <w:t>5</w:t>
                      </w:r>
                      <w:r w:rsidR="006E6E2B">
                        <w:rPr>
                          <w:rFonts w:ascii="Arial" w:hAnsi="Arial" w:cs="Arial"/>
                        </w:rPr>
                        <w:t>,</w:t>
                      </w:r>
                      <w:r w:rsidR="00207EEE">
                        <w:rPr>
                          <w:rFonts w:ascii="Arial" w:hAnsi="Arial" w:cs="Arial"/>
                        </w:rPr>
                        <w:t>0</w:t>
                      </w:r>
                      <w:r w:rsidR="006E6E2B">
                        <w:rPr>
                          <w:rFonts w:ascii="Arial" w:hAnsi="Arial" w:cs="Arial"/>
                        </w:rPr>
                        <w:t xml:space="preserve">% </w:t>
                      </w:r>
                      <w:r w:rsidR="00A07CCA">
                        <w:rPr>
                          <w:rFonts w:ascii="Arial" w:hAnsi="Arial" w:cs="Arial"/>
                        </w:rPr>
                        <w:t xml:space="preserve">(wobec wzrostu o </w:t>
                      </w:r>
                      <w:r w:rsidR="000A0423">
                        <w:rPr>
                          <w:rFonts w:ascii="Arial" w:hAnsi="Arial" w:cs="Arial"/>
                        </w:rPr>
                        <w:t>3</w:t>
                      </w:r>
                      <w:r w:rsidR="00A07CCA">
                        <w:rPr>
                          <w:rFonts w:ascii="Arial" w:hAnsi="Arial" w:cs="Arial"/>
                        </w:rPr>
                        <w:t>,</w:t>
                      </w:r>
                      <w:r w:rsidR="00207EEE">
                        <w:rPr>
                          <w:rFonts w:ascii="Arial" w:hAnsi="Arial" w:cs="Arial"/>
                        </w:rPr>
                        <w:t>9</w:t>
                      </w:r>
                      <w:r w:rsidR="0032770E">
                        <w:rPr>
                          <w:rFonts w:ascii="Arial" w:hAnsi="Arial" w:cs="Arial"/>
                        </w:rPr>
                        <w:t>% w 2015 r.).</w:t>
                      </w:r>
                    </w:p>
                    <w:p w:rsidR="003A618D" w:rsidRDefault="003A618D" w:rsidP="00D43DE7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3A618D" w:rsidRPr="004924B9" w:rsidRDefault="003A618D" w:rsidP="00D43DE7">
                      <w:pPr>
                        <w:spacing w:after="0" w:line="360" w:lineRule="auto"/>
                        <w:ind w:firstLine="708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828C6" w:rsidRDefault="00D828C6"/>
    <w:p w:rsidR="00D828C6" w:rsidRDefault="00D828C6"/>
    <w:p w:rsidR="00D828C6" w:rsidRDefault="00D828C6"/>
    <w:p w:rsidR="00D828C6" w:rsidRPr="00451D55" w:rsidRDefault="00D828C6"/>
    <w:p w:rsidR="00670E4C" w:rsidRPr="00451D55" w:rsidRDefault="00670E4C"/>
    <w:p w:rsidR="00670E4C" w:rsidRPr="00451D55" w:rsidRDefault="00670E4C"/>
    <w:p w:rsidR="00670E4C" w:rsidRDefault="00670E4C">
      <w:pPr>
        <w:rPr>
          <w:noProof/>
        </w:rPr>
      </w:pPr>
    </w:p>
    <w:p w:rsidR="00437A98" w:rsidRDefault="00437A98">
      <w:pPr>
        <w:rPr>
          <w:noProof/>
        </w:rPr>
      </w:pPr>
    </w:p>
    <w:p w:rsidR="003A618D" w:rsidRDefault="003A618D">
      <w:pPr>
        <w:rPr>
          <w:noProof/>
        </w:rPr>
      </w:pPr>
    </w:p>
    <w:p w:rsidR="003A618D" w:rsidRDefault="003A618D">
      <w:pPr>
        <w:rPr>
          <w:noProof/>
        </w:rPr>
      </w:pPr>
      <w:r>
        <w:rPr>
          <w:noProof/>
        </w:rPr>
        <w:drawing>
          <wp:inline distT="0" distB="0" distL="0" distR="0" wp14:anchorId="192B64D3" wp14:editId="30C7AC20">
            <wp:extent cx="6295390" cy="3662275"/>
            <wp:effectExtent l="0" t="0" r="1016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00CAC" w:rsidRDefault="00B152BE">
      <w:r w:rsidRPr="00187D8B">
        <w:rPr>
          <w:noProof/>
        </w:rPr>
        <mc:AlternateContent>
          <mc:Choice Requires="wps">
            <w:drawing>
              <wp:inline distT="0" distB="0" distL="0" distR="0">
                <wp:extent cx="6391275" cy="1257993"/>
                <wp:effectExtent l="0" t="0" r="9525" b="0"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2579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D8B" w:rsidRDefault="00187D8B" w:rsidP="00D374B2">
                            <w:pPr>
                              <w:tabs>
                                <w:tab w:val="left" w:pos="18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047F0">
                              <w:rPr>
                                <w:sz w:val="20"/>
                                <w:szCs w:val="24"/>
                                <w:vertAlign w:val="superscript"/>
                              </w:rPr>
                              <w:t xml:space="preserve">1 </w:t>
                            </w:r>
                            <w:r w:rsidR="009135CB" w:rsidRPr="002047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Dane dotyczą przedsiębiorstw handlowych i niehandlowych o liczbie pracujących powyżej 9 </w:t>
                            </w:r>
                            <w:r w:rsidR="009135CB" w:rsidRPr="0022163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osób.</w:t>
                            </w:r>
                            <w:r w:rsidR="009135CB"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Grupowania przedsiębiorstw dokonano na podstawie Polskiej Klasyfikacji Działalności 2007 (PKD 2007), zaliczając przedsiębiorstwo do</w:t>
                            </w:r>
                            <w:r w:rsidR="007A0F6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określonej kategorii w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edług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przeważającego rodzaju działalności, zgodnie z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aktualnym w omawianym okresie stanem organizacyjnym. Odnotowane zmiany (wzrost/spadek) wolumenu sprzedaży detalicznej w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poszczególnych grupach rodzajów działalności przedsiębiorstw mogą zatem również wynikać ze zmiany przeważającego rodzaju działalności przedsiębiorstwa oraz zmian organizacyjnych (np. połączenia przedsiębiorstw). Nie</w:t>
                            </w:r>
                            <w:r w:rsidR="00D250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35C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 to wpływu na dynamikę sprzedaży detalicznej ogółem.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" o:spid="_x0000_s1030" type="#_x0000_t202" style="width:503.25pt;height:9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" stroked="f" strokecolor="#4f81bd [3204]">
                <v:stroke dashstyle="3 1"/>
                <v:textbox>
                  <w:txbxContent>
                    <w:p w:rsidR="00187D8B" w:rsidRDefault="00187D8B" w:rsidP="00D374B2">
                      <w:pPr>
                        <w:tabs>
                          <w:tab w:val="left" w:pos="180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047F0">
                        <w:rPr>
                          <w:sz w:val="20"/>
                          <w:szCs w:val="24"/>
                          <w:vertAlign w:val="superscript"/>
                        </w:rPr>
                        <w:t xml:space="preserve">1 </w:t>
                      </w:r>
                      <w:r w:rsidR="009135CB" w:rsidRPr="002047F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Dane dotyczą przedsiębiorstw handlowych i niehandlowych o liczbie pracujących powyżej 9 </w:t>
                      </w:r>
                      <w:r w:rsidR="009135CB" w:rsidRPr="0022163C">
                        <w:rPr>
                          <w:rFonts w:ascii="Arial" w:hAnsi="Arial" w:cs="Arial"/>
                          <w:sz w:val="18"/>
                          <w:szCs w:val="18"/>
                        </w:rPr>
                        <w:t>osób.</w:t>
                      </w:r>
                      <w:r w:rsidR="009135CB"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Grupowania przedsiębiorstw dokonano na podstawie Polskiej Klasyfikacji Działalności 2007 (PKD 2007), zaliczając przedsiębiorstwo do</w:t>
                      </w:r>
                      <w:r w:rsidR="007A0F61">
                        <w:rPr>
                          <w:rFonts w:ascii="Arial" w:hAnsi="Arial" w:cs="Arial"/>
                          <w:sz w:val="18"/>
                          <w:szCs w:val="18"/>
                        </w:rPr>
                        <w:t> 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określonej kategorii w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>edług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przeważającego rodzaju działalności, zgodnie z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aktualnym w omawianym okresie stanem organizacyjnym. Odnotowane zmiany (wzrost/spadek) wolumenu sprzedaży detalicznej w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poszczególnych grupach rodzajów działalności przedsiębiorstw mogą zatem również wynikać ze zmiany przeważającego rodzaju działalności przedsiębiorstwa oraz zmian organizacyjnych (np. połączenia przedsiębiorstw). Nie</w:t>
                      </w:r>
                      <w:r w:rsidR="00D250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9135CB">
                        <w:rPr>
                          <w:rFonts w:ascii="Arial" w:hAnsi="Arial" w:cs="Arial"/>
                          <w:sz w:val="18"/>
                          <w:szCs w:val="18"/>
                        </w:rPr>
                        <w:t>ma to wpływu na dynamikę sprzedaży detalicznej ogółem.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43DE7" w:rsidRDefault="00757F4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E74FDE" wp14:editId="28EFBB89">
                <wp:simplePos x="0" y="0"/>
                <wp:positionH relativeFrom="column">
                  <wp:posOffset>3556486</wp:posOffset>
                </wp:positionH>
                <wp:positionV relativeFrom="paragraph">
                  <wp:posOffset>4932</wp:posOffset>
                </wp:positionV>
                <wp:extent cx="2785110" cy="95672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95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AA2" w:rsidRPr="00866DC9" w:rsidRDefault="00391417" w:rsidP="00B77AA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66D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Rozpowszechnianie</w:t>
                            </w:r>
                            <w:r w:rsidR="00B77AA2" w:rsidRPr="00866D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B77AA2" w:rsidRPr="00866DC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B77AA2" w:rsidRPr="00866D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Rzecznik Prasowy Prezesa GUS</w:t>
                            </w:r>
                          </w:p>
                          <w:p w:rsidR="00B77AA2" w:rsidRPr="00866DC9" w:rsidRDefault="00B77AA2" w:rsidP="00B77AA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66DC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Artur Satora</w:t>
                            </w:r>
                          </w:p>
                          <w:p w:rsidR="00B77AA2" w:rsidRPr="00866DC9" w:rsidRDefault="00B77AA2" w:rsidP="00B77AA2">
                            <w:pPr>
                              <w:pStyle w:val="Nagwek3"/>
                              <w:spacing w:line="240" w:lineRule="auto"/>
                              <w:rPr>
                                <w:rFonts w:cs="Arial"/>
                                <w:sz w:val="20"/>
                                <w:lang w:val="fi-FI"/>
                              </w:rPr>
                            </w:pPr>
                            <w:r w:rsidRPr="00866DC9">
                              <w:rPr>
                                <w:rFonts w:cs="Arial"/>
                                <w:sz w:val="20"/>
                                <w:lang w:val="fi-FI"/>
                              </w:rPr>
                              <w:t>Tel: 22 608 34</w:t>
                            </w:r>
                            <w:r w:rsidR="00BE5613">
                              <w:rPr>
                                <w:rFonts w:cs="Arial"/>
                                <w:sz w:val="20"/>
                                <w:lang w:val="fi-FI"/>
                              </w:rPr>
                              <w:t>7</w:t>
                            </w:r>
                            <w:r w:rsidRPr="00866DC9">
                              <w:rPr>
                                <w:rFonts w:cs="Arial"/>
                                <w:sz w:val="20"/>
                                <w:lang w:val="fi-FI"/>
                              </w:rPr>
                              <w:t>5, 22 608 3009</w:t>
                            </w:r>
                          </w:p>
                          <w:p w:rsidR="00391417" w:rsidRPr="00E21ECE" w:rsidRDefault="00B77AA2" w:rsidP="00B77AA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866D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  <w:t>e-mail</w:t>
                            </w:r>
                            <w:proofErr w:type="spellEnd"/>
                            <w:r w:rsidRPr="00866DC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  <w:t xml:space="preserve">: </w:t>
                            </w:r>
                            <w:hyperlink r:id="rId11" w:history="1">
                              <w:r w:rsidRPr="00866DC9">
                                <w:rPr>
                                  <w:rStyle w:val="Hipercze"/>
                                  <w:rFonts w:ascii="Arial" w:hAnsi="Arial" w:cs="Arial"/>
                                  <w:b/>
                                  <w:szCs w:val="20"/>
                                  <w:lang w:val="de-AT"/>
                                </w:rPr>
                                <w:t>rzecznik@stat.gov.pl</w:t>
                              </w:r>
                            </w:hyperlink>
                            <w:r w:rsidRPr="00457A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A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74FDE" id="Text Box 9" o:spid="_x0000_s1031" type="#_x0000_t202" style="position:absolute;margin-left:280.05pt;margin-top:.4pt;width:219.3pt;height:7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" stroked="f" strokecolor="#4f81bd [3204]">
                <v:stroke dashstyle="3 1"/>
                <v:textbox>
                  <w:txbxContent>
                    <w:p w:rsidR="00B77AA2" w:rsidRPr="00866DC9" w:rsidRDefault="00391417" w:rsidP="00B77AA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66DC9">
                        <w:rPr>
                          <w:rFonts w:ascii="Arial" w:hAnsi="Arial" w:cs="Arial"/>
                          <w:sz w:val="20"/>
                          <w:szCs w:val="20"/>
                        </w:rPr>
                        <w:t>Rozpowszechnianie</w:t>
                      </w:r>
                      <w:r w:rsidR="00B77AA2" w:rsidRPr="00866DC9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B77AA2" w:rsidRPr="00866DC9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B77AA2" w:rsidRPr="00866DC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Rzecznik Prasowy Prezesa GUS</w:t>
                      </w:r>
                    </w:p>
                    <w:p w:rsidR="00B77AA2" w:rsidRPr="00866DC9" w:rsidRDefault="00B77AA2" w:rsidP="00B77AA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66DC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Artur Satora</w:t>
                      </w:r>
                    </w:p>
                    <w:p w:rsidR="00B77AA2" w:rsidRPr="00866DC9" w:rsidRDefault="00B77AA2" w:rsidP="00B77AA2">
                      <w:pPr>
                        <w:pStyle w:val="Nagwek3"/>
                        <w:spacing w:line="240" w:lineRule="auto"/>
                        <w:rPr>
                          <w:rFonts w:cs="Arial"/>
                          <w:sz w:val="20"/>
                          <w:lang w:val="fi-FI"/>
                        </w:rPr>
                      </w:pPr>
                      <w:r w:rsidRPr="00866DC9">
                        <w:rPr>
                          <w:rFonts w:cs="Arial"/>
                          <w:sz w:val="20"/>
                          <w:lang w:val="fi-FI"/>
                        </w:rPr>
                        <w:t>Tel: 22 608 34</w:t>
                      </w:r>
                      <w:r w:rsidR="00BE5613">
                        <w:rPr>
                          <w:rFonts w:cs="Arial"/>
                          <w:sz w:val="20"/>
                          <w:lang w:val="fi-FI"/>
                        </w:rPr>
                        <w:t>7</w:t>
                      </w:r>
                      <w:r w:rsidRPr="00866DC9">
                        <w:rPr>
                          <w:rFonts w:cs="Arial"/>
                          <w:sz w:val="20"/>
                          <w:lang w:val="fi-FI"/>
                        </w:rPr>
                        <w:t>5, 22 608 3009</w:t>
                      </w:r>
                    </w:p>
                    <w:p w:rsidR="00391417" w:rsidRPr="00E21ECE" w:rsidRDefault="00B77AA2" w:rsidP="00B77AA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866DC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AT"/>
                        </w:rPr>
                        <w:t>e-mail</w:t>
                      </w:r>
                      <w:proofErr w:type="spellEnd"/>
                      <w:r w:rsidRPr="00866DC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AT"/>
                        </w:rPr>
                        <w:t xml:space="preserve">: </w:t>
                      </w:r>
                      <w:hyperlink r:id="rId12" w:history="1">
                        <w:r w:rsidRPr="00866DC9">
                          <w:rPr>
                            <w:rStyle w:val="Hipercze"/>
                            <w:rFonts w:ascii="Arial" w:hAnsi="Arial" w:cs="Arial"/>
                            <w:b/>
                            <w:szCs w:val="20"/>
                            <w:lang w:val="de-AT"/>
                          </w:rPr>
                          <w:t>rzecznik@stat.gov.pl</w:t>
                        </w:r>
                      </w:hyperlink>
                      <w:r w:rsidRPr="00457A4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A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7887AC" wp14:editId="7DF9B4E9">
                <wp:simplePos x="0" y="0"/>
                <wp:positionH relativeFrom="column">
                  <wp:posOffset>230580</wp:posOffset>
                </wp:positionH>
                <wp:positionV relativeFrom="paragraph">
                  <wp:posOffset>4932</wp:posOffset>
                </wp:positionV>
                <wp:extent cx="2820670" cy="863712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863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AA2" w:rsidRPr="005021A3" w:rsidRDefault="00B77AA2" w:rsidP="006B6B8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Opracowanie merytoryczne:</w:t>
                            </w:r>
                          </w:p>
                          <w:p w:rsidR="00BB36DF" w:rsidRPr="005021A3" w:rsidRDefault="00B77AA2" w:rsidP="006B6B8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Departament </w:t>
                            </w:r>
                            <w:r w:rsidR="00BB36DF" w:rsidRPr="005021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Handlu i Usług</w:t>
                            </w:r>
                          </w:p>
                          <w:p w:rsidR="00B77AA2" w:rsidRPr="005021A3" w:rsidRDefault="00AF635E" w:rsidP="006B6B8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i-FI"/>
                              </w:rPr>
                              <w:t>Jolanta Biernat</w:t>
                            </w:r>
                          </w:p>
                          <w:p w:rsidR="00B77AA2" w:rsidRPr="005021A3" w:rsidRDefault="00B77AA2" w:rsidP="006B6B8D">
                            <w:pPr>
                              <w:pStyle w:val="Nagwek3"/>
                              <w:spacing w:line="240" w:lineRule="auto"/>
                              <w:rPr>
                                <w:rFonts w:cs="Arial"/>
                                <w:sz w:val="20"/>
                                <w:lang w:val="fi-FI"/>
                              </w:rPr>
                            </w:pPr>
                            <w:r w:rsidRPr="005021A3">
                              <w:rPr>
                                <w:rFonts w:cs="Arial"/>
                                <w:sz w:val="20"/>
                                <w:lang w:val="fi-FI"/>
                              </w:rPr>
                              <w:t xml:space="preserve">Tel: 22 608 </w:t>
                            </w:r>
                            <w:r w:rsidR="00AF635E" w:rsidRPr="005021A3">
                              <w:rPr>
                                <w:rFonts w:cs="Arial"/>
                                <w:sz w:val="20"/>
                                <w:lang w:val="fi-FI"/>
                              </w:rPr>
                              <w:t>3336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887AC" id="Text Box 10" o:spid="_x0000_s1032" type="#_x0000_t202" style="position:absolute;margin-left:18.15pt;margin-top:.4pt;width:222.1pt;height:6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" stroked="f" strokecolor="#4f81bd [3204]">
                <v:stroke dashstyle="3 1"/>
                <v:textbox>
                  <w:txbxContent>
                    <w:p w:rsidR="00B77AA2" w:rsidRPr="005021A3" w:rsidRDefault="00B77AA2" w:rsidP="006B6B8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21A3">
                        <w:rPr>
                          <w:rFonts w:ascii="Arial" w:hAnsi="Arial" w:cs="Arial"/>
                          <w:sz w:val="20"/>
                          <w:szCs w:val="20"/>
                        </w:rPr>
                        <w:t>Opracowanie merytoryczne:</w:t>
                      </w:r>
                    </w:p>
                    <w:p w:rsidR="00BB36DF" w:rsidRPr="005021A3" w:rsidRDefault="00B77AA2" w:rsidP="006B6B8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021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Departament </w:t>
                      </w:r>
                      <w:r w:rsidR="00BB36DF" w:rsidRPr="005021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Handlu i Usług</w:t>
                      </w:r>
                    </w:p>
                    <w:p w:rsidR="00B77AA2" w:rsidRPr="005021A3" w:rsidRDefault="00AF635E" w:rsidP="006B6B8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i-FI"/>
                        </w:rPr>
                      </w:pPr>
                      <w:r w:rsidRPr="005021A3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i-FI"/>
                        </w:rPr>
                        <w:t>Jolanta Biernat</w:t>
                      </w:r>
                    </w:p>
                    <w:p w:rsidR="00B77AA2" w:rsidRPr="005021A3" w:rsidRDefault="00B77AA2" w:rsidP="006B6B8D">
                      <w:pPr>
                        <w:pStyle w:val="Nagwek3"/>
                        <w:spacing w:line="240" w:lineRule="auto"/>
                        <w:rPr>
                          <w:rFonts w:cs="Arial"/>
                          <w:sz w:val="20"/>
                          <w:lang w:val="fi-FI"/>
                        </w:rPr>
                      </w:pPr>
                      <w:r w:rsidRPr="005021A3">
                        <w:rPr>
                          <w:rFonts w:cs="Arial"/>
                          <w:sz w:val="20"/>
                          <w:lang w:val="fi-FI"/>
                        </w:rPr>
                        <w:t xml:space="preserve">Tel: 22 608 </w:t>
                      </w:r>
                      <w:r w:rsidR="00AF635E" w:rsidRPr="005021A3">
                        <w:rPr>
                          <w:rFonts w:cs="Arial"/>
                          <w:sz w:val="20"/>
                          <w:lang w:val="fi-FI"/>
                        </w:rPr>
                        <w:t>3336</w:t>
                      </w:r>
                    </w:p>
                  </w:txbxContent>
                </v:textbox>
              </v:shape>
            </w:pict>
          </mc:Fallback>
        </mc:AlternateContent>
      </w:r>
    </w:p>
    <w:p w:rsidR="00391417" w:rsidRDefault="004924B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F6002B" wp14:editId="2F713DC0">
                <wp:simplePos x="0" y="0"/>
                <wp:positionH relativeFrom="column">
                  <wp:posOffset>414356</wp:posOffset>
                </wp:positionH>
                <wp:positionV relativeFrom="paragraph">
                  <wp:posOffset>717139</wp:posOffset>
                </wp:positionV>
                <wp:extent cx="5781675" cy="577887"/>
                <wp:effectExtent l="0" t="0" r="9525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5778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DC9" w:rsidRPr="005021A3" w:rsidRDefault="00866DC9" w:rsidP="00866DC9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21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Więcej na: </w:t>
                            </w:r>
                            <w:hyperlink r:id="rId13" w:history="1">
                              <w:r w:rsidRPr="005021A3">
                                <w:rPr>
                                  <w:rStyle w:val="Hipercze"/>
                                  <w:rFonts w:ascii="Arial" w:hAnsi="Arial" w:cs="Arial"/>
                                  <w:szCs w:val="20"/>
                                </w:rPr>
                                <w:t>http://stat.gov.pl/obszary-tematyczne/ceny-handel/</w:t>
                              </w:r>
                            </w:hyperlink>
                            <w:r w:rsidRPr="005021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6002B" id="Text Box 14" o:spid="_x0000_s1033" type="#_x0000_t202" style="position:absolute;margin-left:32.65pt;margin-top:56.45pt;width:455.25pt;height:4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" stroked="f" strokecolor="#4f81bd [3204]">
                <v:stroke dashstyle="3 1"/>
                <v:textbox>
                  <w:txbxContent>
                    <w:p w:rsidR="00866DC9" w:rsidRPr="005021A3" w:rsidRDefault="00866DC9" w:rsidP="00866DC9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21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Więcej na: </w:t>
                      </w:r>
                      <w:hyperlink r:id="rId14" w:history="1">
                        <w:r w:rsidRPr="005021A3">
                          <w:rPr>
                            <w:rStyle w:val="Hipercze"/>
                            <w:rFonts w:ascii="Arial" w:hAnsi="Arial" w:cs="Arial"/>
                            <w:szCs w:val="20"/>
                          </w:rPr>
                          <w:t>http://stat.gov.pl/obszary-tematyczne/ceny-handel/</w:t>
                        </w:r>
                      </w:hyperlink>
                      <w:r w:rsidRPr="005021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1417" w:rsidSect="005B19BD">
      <w:footerReference w:type="default" r:id="rId15"/>
      <w:pgSz w:w="11906" w:h="16838" w:code="9"/>
      <w:pgMar w:top="567" w:right="851" w:bottom="851" w:left="851" w:header="42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B66" w:rsidRDefault="00BD7B66" w:rsidP="00670E4C">
      <w:pPr>
        <w:spacing w:after="0" w:line="240" w:lineRule="auto"/>
      </w:pPr>
      <w:r>
        <w:separator/>
      </w:r>
    </w:p>
  </w:endnote>
  <w:endnote w:type="continuationSeparator" w:id="0">
    <w:p w:rsidR="00BD7B66" w:rsidRDefault="00BD7B66" w:rsidP="0067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4C" w:rsidRDefault="00670E4C">
    <w:pPr>
      <w:pStyle w:val="Stopka"/>
      <w:jc w:val="center"/>
    </w:pPr>
  </w:p>
  <w:p w:rsidR="00670E4C" w:rsidRDefault="00670E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B66" w:rsidRDefault="00BD7B66" w:rsidP="00670E4C">
      <w:pPr>
        <w:spacing w:after="0" w:line="240" w:lineRule="auto"/>
      </w:pPr>
      <w:r>
        <w:separator/>
      </w:r>
    </w:p>
  </w:footnote>
  <w:footnote w:type="continuationSeparator" w:id="0">
    <w:p w:rsidR="00BD7B66" w:rsidRDefault="00BD7B66" w:rsidP="00670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3420"/>
    <w:multiLevelType w:val="hybridMultilevel"/>
    <w:tmpl w:val="CC4C34A0"/>
    <w:lvl w:ilvl="0" w:tplc="9EACD7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47DCA"/>
    <w:multiLevelType w:val="hybridMultilevel"/>
    <w:tmpl w:val="93BCFC4A"/>
    <w:lvl w:ilvl="0" w:tplc="4C2821A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45018"/>
    <w:multiLevelType w:val="hybridMultilevel"/>
    <w:tmpl w:val="1AA8E054"/>
    <w:lvl w:ilvl="0" w:tplc="8A4E74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A417C"/>
    <w:multiLevelType w:val="hybridMultilevel"/>
    <w:tmpl w:val="9746EA6E"/>
    <w:lvl w:ilvl="0" w:tplc="DF185E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C642F"/>
    <w:multiLevelType w:val="hybridMultilevel"/>
    <w:tmpl w:val="0FAA58D6"/>
    <w:lvl w:ilvl="0" w:tplc="68DEA9F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A"/>
    <w:rsid w:val="00001D86"/>
    <w:rsid w:val="000057A7"/>
    <w:rsid w:val="00005892"/>
    <w:rsid w:val="00006BDF"/>
    <w:rsid w:val="000101D2"/>
    <w:rsid w:val="00011298"/>
    <w:rsid w:val="000250A2"/>
    <w:rsid w:val="00032531"/>
    <w:rsid w:val="00052D69"/>
    <w:rsid w:val="00060EB1"/>
    <w:rsid w:val="00061671"/>
    <w:rsid w:val="00061BA5"/>
    <w:rsid w:val="000676F3"/>
    <w:rsid w:val="00067FBF"/>
    <w:rsid w:val="0007306A"/>
    <w:rsid w:val="00073A03"/>
    <w:rsid w:val="00082906"/>
    <w:rsid w:val="00084F50"/>
    <w:rsid w:val="000926A0"/>
    <w:rsid w:val="00096967"/>
    <w:rsid w:val="000A0423"/>
    <w:rsid w:val="000A111B"/>
    <w:rsid w:val="000A15B6"/>
    <w:rsid w:val="000A1C0E"/>
    <w:rsid w:val="000A3406"/>
    <w:rsid w:val="000A4CC8"/>
    <w:rsid w:val="000A59C7"/>
    <w:rsid w:val="000B6797"/>
    <w:rsid w:val="000C3550"/>
    <w:rsid w:val="000C3ECB"/>
    <w:rsid w:val="000C7C9F"/>
    <w:rsid w:val="000D1A49"/>
    <w:rsid w:val="000D48EE"/>
    <w:rsid w:val="000F083C"/>
    <w:rsid w:val="000F56AF"/>
    <w:rsid w:val="001066EA"/>
    <w:rsid w:val="00115051"/>
    <w:rsid w:val="00117265"/>
    <w:rsid w:val="00122FC2"/>
    <w:rsid w:val="00124228"/>
    <w:rsid w:val="00124E78"/>
    <w:rsid w:val="00125805"/>
    <w:rsid w:val="00125F35"/>
    <w:rsid w:val="001318AC"/>
    <w:rsid w:val="001437DE"/>
    <w:rsid w:val="00143D0E"/>
    <w:rsid w:val="001465F7"/>
    <w:rsid w:val="00150A5B"/>
    <w:rsid w:val="0015402F"/>
    <w:rsid w:val="00165072"/>
    <w:rsid w:val="0016795F"/>
    <w:rsid w:val="00167CE4"/>
    <w:rsid w:val="001707B3"/>
    <w:rsid w:val="0017378F"/>
    <w:rsid w:val="00180537"/>
    <w:rsid w:val="0018161D"/>
    <w:rsid w:val="001877DB"/>
    <w:rsid w:val="00187D8B"/>
    <w:rsid w:val="00187E73"/>
    <w:rsid w:val="0019273E"/>
    <w:rsid w:val="00195591"/>
    <w:rsid w:val="001A0518"/>
    <w:rsid w:val="001B64F0"/>
    <w:rsid w:val="001B69E4"/>
    <w:rsid w:val="001B71C8"/>
    <w:rsid w:val="001B7FBD"/>
    <w:rsid w:val="001C1CF1"/>
    <w:rsid w:val="001C20C4"/>
    <w:rsid w:val="001C5E2C"/>
    <w:rsid w:val="001D001D"/>
    <w:rsid w:val="001D2B4E"/>
    <w:rsid w:val="001D38DE"/>
    <w:rsid w:val="001D6C45"/>
    <w:rsid w:val="001D7A53"/>
    <w:rsid w:val="001E5CBC"/>
    <w:rsid w:val="001F045C"/>
    <w:rsid w:val="001F18A6"/>
    <w:rsid w:val="00200D77"/>
    <w:rsid w:val="002020B8"/>
    <w:rsid w:val="002046A9"/>
    <w:rsid w:val="002047F0"/>
    <w:rsid w:val="00207EEE"/>
    <w:rsid w:val="00215900"/>
    <w:rsid w:val="00217551"/>
    <w:rsid w:val="0022163C"/>
    <w:rsid w:val="002263CE"/>
    <w:rsid w:val="00233632"/>
    <w:rsid w:val="0024702A"/>
    <w:rsid w:val="00247242"/>
    <w:rsid w:val="00247998"/>
    <w:rsid w:val="00253ADF"/>
    <w:rsid w:val="00257865"/>
    <w:rsid w:val="00260708"/>
    <w:rsid w:val="002676BC"/>
    <w:rsid w:val="002703A5"/>
    <w:rsid w:val="00273DD1"/>
    <w:rsid w:val="00275919"/>
    <w:rsid w:val="002778E2"/>
    <w:rsid w:val="002924EF"/>
    <w:rsid w:val="002A16D8"/>
    <w:rsid w:val="002A3FCD"/>
    <w:rsid w:val="002A76DD"/>
    <w:rsid w:val="002B2A88"/>
    <w:rsid w:val="002B61FC"/>
    <w:rsid w:val="002B6FBD"/>
    <w:rsid w:val="002C02E9"/>
    <w:rsid w:val="002C3542"/>
    <w:rsid w:val="002D26CF"/>
    <w:rsid w:val="002D6E3A"/>
    <w:rsid w:val="002E02EE"/>
    <w:rsid w:val="002E2B63"/>
    <w:rsid w:val="002F2CA0"/>
    <w:rsid w:val="002F4DEE"/>
    <w:rsid w:val="003032E9"/>
    <w:rsid w:val="0030544B"/>
    <w:rsid w:val="00312A0C"/>
    <w:rsid w:val="0031605E"/>
    <w:rsid w:val="00317BDD"/>
    <w:rsid w:val="00317DEC"/>
    <w:rsid w:val="00320363"/>
    <w:rsid w:val="00323C74"/>
    <w:rsid w:val="00324276"/>
    <w:rsid w:val="0032770E"/>
    <w:rsid w:val="003309A3"/>
    <w:rsid w:val="003327B2"/>
    <w:rsid w:val="003403A6"/>
    <w:rsid w:val="00341970"/>
    <w:rsid w:val="00343A7D"/>
    <w:rsid w:val="00346AEA"/>
    <w:rsid w:val="0034707E"/>
    <w:rsid w:val="0035612E"/>
    <w:rsid w:val="003569F3"/>
    <w:rsid w:val="003604F4"/>
    <w:rsid w:val="00361B96"/>
    <w:rsid w:val="00363C05"/>
    <w:rsid w:val="00370784"/>
    <w:rsid w:val="00373B52"/>
    <w:rsid w:val="00373C58"/>
    <w:rsid w:val="003766B5"/>
    <w:rsid w:val="003864DD"/>
    <w:rsid w:val="003866B0"/>
    <w:rsid w:val="0039016D"/>
    <w:rsid w:val="00391417"/>
    <w:rsid w:val="00392EDA"/>
    <w:rsid w:val="00396522"/>
    <w:rsid w:val="003A5704"/>
    <w:rsid w:val="003A5C0A"/>
    <w:rsid w:val="003A618D"/>
    <w:rsid w:val="003B34A6"/>
    <w:rsid w:val="003B49F6"/>
    <w:rsid w:val="003B73A6"/>
    <w:rsid w:val="003C1285"/>
    <w:rsid w:val="003C3304"/>
    <w:rsid w:val="003C4809"/>
    <w:rsid w:val="003D076E"/>
    <w:rsid w:val="003D6A0B"/>
    <w:rsid w:val="003E0AD3"/>
    <w:rsid w:val="003E3BBA"/>
    <w:rsid w:val="003E3F1B"/>
    <w:rsid w:val="003E7FF7"/>
    <w:rsid w:val="003F1D4B"/>
    <w:rsid w:val="003F46E2"/>
    <w:rsid w:val="003F477E"/>
    <w:rsid w:val="003F6C45"/>
    <w:rsid w:val="004004EF"/>
    <w:rsid w:val="00403AC2"/>
    <w:rsid w:val="004042A4"/>
    <w:rsid w:val="00406942"/>
    <w:rsid w:val="00412018"/>
    <w:rsid w:val="0041323B"/>
    <w:rsid w:val="00414267"/>
    <w:rsid w:val="004151E2"/>
    <w:rsid w:val="0041636F"/>
    <w:rsid w:val="00423C44"/>
    <w:rsid w:val="004249E2"/>
    <w:rsid w:val="00427558"/>
    <w:rsid w:val="00430F89"/>
    <w:rsid w:val="0043347E"/>
    <w:rsid w:val="00437A98"/>
    <w:rsid w:val="00446B30"/>
    <w:rsid w:val="00451019"/>
    <w:rsid w:val="0045193A"/>
    <w:rsid w:val="00451D55"/>
    <w:rsid w:val="004528B5"/>
    <w:rsid w:val="00456802"/>
    <w:rsid w:val="00457A4F"/>
    <w:rsid w:val="00462301"/>
    <w:rsid w:val="00462BB9"/>
    <w:rsid w:val="004644F8"/>
    <w:rsid w:val="0046480F"/>
    <w:rsid w:val="00467096"/>
    <w:rsid w:val="00467A96"/>
    <w:rsid w:val="00470E39"/>
    <w:rsid w:val="0047145E"/>
    <w:rsid w:val="004755BA"/>
    <w:rsid w:val="00476508"/>
    <w:rsid w:val="00480F9B"/>
    <w:rsid w:val="004816D7"/>
    <w:rsid w:val="00487CD1"/>
    <w:rsid w:val="004924B9"/>
    <w:rsid w:val="00496829"/>
    <w:rsid w:val="004A00A9"/>
    <w:rsid w:val="004A0F00"/>
    <w:rsid w:val="004A4889"/>
    <w:rsid w:val="004A5E78"/>
    <w:rsid w:val="004A624C"/>
    <w:rsid w:val="004B3415"/>
    <w:rsid w:val="004B7A2D"/>
    <w:rsid w:val="004C53E1"/>
    <w:rsid w:val="004D0429"/>
    <w:rsid w:val="004D0537"/>
    <w:rsid w:val="004D46C9"/>
    <w:rsid w:val="004D6F48"/>
    <w:rsid w:val="004F0976"/>
    <w:rsid w:val="004F12FD"/>
    <w:rsid w:val="005021A3"/>
    <w:rsid w:val="005042E1"/>
    <w:rsid w:val="00504330"/>
    <w:rsid w:val="00505087"/>
    <w:rsid w:val="00507941"/>
    <w:rsid w:val="00510F53"/>
    <w:rsid w:val="00514EC5"/>
    <w:rsid w:val="00522492"/>
    <w:rsid w:val="005337AA"/>
    <w:rsid w:val="00533FEE"/>
    <w:rsid w:val="00534FAA"/>
    <w:rsid w:val="0054100F"/>
    <w:rsid w:val="00543CBA"/>
    <w:rsid w:val="00544084"/>
    <w:rsid w:val="00544141"/>
    <w:rsid w:val="005468F3"/>
    <w:rsid w:val="00550966"/>
    <w:rsid w:val="0055249E"/>
    <w:rsid w:val="005627B4"/>
    <w:rsid w:val="005630B3"/>
    <w:rsid w:val="00574056"/>
    <w:rsid w:val="005775DD"/>
    <w:rsid w:val="00582B6F"/>
    <w:rsid w:val="00587B32"/>
    <w:rsid w:val="005901BB"/>
    <w:rsid w:val="00590740"/>
    <w:rsid w:val="00590C04"/>
    <w:rsid w:val="005A1C99"/>
    <w:rsid w:val="005A4002"/>
    <w:rsid w:val="005A56C4"/>
    <w:rsid w:val="005B19BD"/>
    <w:rsid w:val="005B3EA1"/>
    <w:rsid w:val="005B5336"/>
    <w:rsid w:val="005C3ACF"/>
    <w:rsid w:val="005C64DB"/>
    <w:rsid w:val="005D0334"/>
    <w:rsid w:val="005D3B2D"/>
    <w:rsid w:val="005D456A"/>
    <w:rsid w:val="005E2B4A"/>
    <w:rsid w:val="005E2F71"/>
    <w:rsid w:val="005E6CAD"/>
    <w:rsid w:val="005F2054"/>
    <w:rsid w:val="005F2D75"/>
    <w:rsid w:val="005F67AB"/>
    <w:rsid w:val="005F67C1"/>
    <w:rsid w:val="005F6D71"/>
    <w:rsid w:val="0060554E"/>
    <w:rsid w:val="00610612"/>
    <w:rsid w:val="00612AA3"/>
    <w:rsid w:val="00613D8F"/>
    <w:rsid w:val="00614DAE"/>
    <w:rsid w:val="00616D4A"/>
    <w:rsid w:val="00616D96"/>
    <w:rsid w:val="00621097"/>
    <w:rsid w:val="00623BB9"/>
    <w:rsid w:val="00630F87"/>
    <w:rsid w:val="00631CAD"/>
    <w:rsid w:val="00632A8A"/>
    <w:rsid w:val="0063615F"/>
    <w:rsid w:val="00640274"/>
    <w:rsid w:val="00640C11"/>
    <w:rsid w:val="00641CDF"/>
    <w:rsid w:val="00645D72"/>
    <w:rsid w:val="00650961"/>
    <w:rsid w:val="006513DF"/>
    <w:rsid w:val="00651C2C"/>
    <w:rsid w:val="006527AF"/>
    <w:rsid w:val="0066328F"/>
    <w:rsid w:val="00665AE5"/>
    <w:rsid w:val="00670E4C"/>
    <w:rsid w:val="0067209D"/>
    <w:rsid w:val="00684B69"/>
    <w:rsid w:val="00695FFA"/>
    <w:rsid w:val="006A1F10"/>
    <w:rsid w:val="006A2B5A"/>
    <w:rsid w:val="006A2BEB"/>
    <w:rsid w:val="006A5DC2"/>
    <w:rsid w:val="006A6084"/>
    <w:rsid w:val="006A626E"/>
    <w:rsid w:val="006B2E7A"/>
    <w:rsid w:val="006B59DE"/>
    <w:rsid w:val="006B6B8D"/>
    <w:rsid w:val="006B7263"/>
    <w:rsid w:val="006C07D2"/>
    <w:rsid w:val="006C417A"/>
    <w:rsid w:val="006C4C46"/>
    <w:rsid w:val="006C7810"/>
    <w:rsid w:val="006D1439"/>
    <w:rsid w:val="006D7A8A"/>
    <w:rsid w:val="006E6B5A"/>
    <w:rsid w:val="006E6E2B"/>
    <w:rsid w:val="006E74A3"/>
    <w:rsid w:val="006E7E05"/>
    <w:rsid w:val="006F17A1"/>
    <w:rsid w:val="006F5CB5"/>
    <w:rsid w:val="00700CAC"/>
    <w:rsid w:val="00703D3A"/>
    <w:rsid w:val="00707FEA"/>
    <w:rsid w:val="007125BC"/>
    <w:rsid w:val="007156DD"/>
    <w:rsid w:val="00720461"/>
    <w:rsid w:val="00726221"/>
    <w:rsid w:val="00727688"/>
    <w:rsid w:val="007414B0"/>
    <w:rsid w:val="00744FBB"/>
    <w:rsid w:val="00747847"/>
    <w:rsid w:val="007479FF"/>
    <w:rsid w:val="00747FCD"/>
    <w:rsid w:val="00754A9D"/>
    <w:rsid w:val="00756793"/>
    <w:rsid w:val="00757813"/>
    <w:rsid w:val="00757F4A"/>
    <w:rsid w:val="00764272"/>
    <w:rsid w:val="00765CB9"/>
    <w:rsid w:val="00771577"/>
    <w:rsid w:val="0077161A"/>
    <w:rsid w:val="007737AF"/>
    <w:rsid w:val="007754D6"/>
    <w:rsid w:val="00782B00"/>
    <w:rsid w:val="00794CA2"/>
    <w:rsid w:val="0079759C"/>
    <w:rsid w:val="007A0997"/>
    <w:rsid w:val="007A0F61"/>
    <w:rsid w:val="007A34B0"/>
    <w:rsid w:val="007A455E"/>
    <w:rsid w:val="007A7508"/>
    <w:rsid w:val="007B381F"/>
    <w:rsid w:val="007C03C4"/>
    <w:rsid w:val="007C6CE2"/>
    <w:rsid w:val="007D0169"/>
    <w:rsid w:val="007D5226"/>
    <w:rsid w:val="007D5B46"/>
    <w:rsid w:val="007D68BC"/>
    <w:rsid w:val="007D6AAC"/>
    <w:rsid w:val="007D737E"/>
    <w:rsid w:val="007E1445"/>
    <w:rsid w:val="007E5032"/>
    <w:rsid w:val="007E6A63"/>
    <w:rsid w:val="007F6089"/>
    <w:rsid w:val="00804331"/>
    <w:rsid w:val="00806AAE"/>
    <w:rsid w:val="00822F75"/>
    <w:rsid w:val="00827FCC"/>
    <w:rsid w:val="008315D4"/>
    <w:rsid w:val="0083172B"/>
    <w:rsid w:val="00843295"/>
    <w:rsid w:val="0084700E"/>
    <w:rsid w:val="0085195D"/>
    <w:rsid w:val="008523CB"/>
    <w:rsid w:val="00853CD6"/>
    <w:rsid w:val="00853D23"/>
    <w:rsid w:val="0086109E"/>
    <w:rsid w:val="008650EF"/>
    <w:rsid w:val="00865333"/>
    <w:rsid w:val="00866DC9"/>
    <w:rsid w:val="00880F4A"/>
    <w:rsid w:val="00881CD2"/>
    <w:rsid w:val="00883B5C"/>
    <w:rsid w:val="00883B98"/>
    <w:rsid w:val="008864FB"/>
    <w:rsid w:val="008910B4"/>
    <w:rsid w:val="0089183A"/>
    <w:rsid w:val="00891878"/>
    <w:rsid w:val="008948DA"/>
    <w:rsid w:val="00895124"/>
    <w:rsid w:val="00896904"/>
    <w:rsid w:val="008C0800"/>
    <w:rsid w:val="008C1093"/>
    <w:rsid w:val="008C20EA"/>
    <w:rsid w:val="008C2D4D"/>
    <w:rsid w:val="008C5D87"/>
    <w:rsid w:val="008D0173"/>
    <w:rsid w:val="008D6BF4"/>
    <w:rsid w:val="008D70FB"/>
    <w:rsid w:val="008E009C"/>
    <w:rsid w:val="008E1079"/>
    <w:rsid w:val="008E1EFF"/>
    <w:rsid w:val="008E6902"/>
    <w:rsid w:val="008E694E"/>
    <w:rsid w:val="008E70AE"/>
    <w:rsid w:val="008E7F77"/>
    <w:rsid w:val="008F00BA"/>
    <w:rsid w:val="008F0250"/>
    <w:rsid w:val="00906EE1"/>
    <w:rsid w:val="009135CB"/>
    <w:rsid w:val="00917862"/>
    <w:rsid w:val="0092166E"/>
    <w:rsid w:val="0093148B"/>
    <w:rsid w:val="00933C8A"/>
    <w:rsid w:val="00934BBC"/>
    <w:rsid w:val="009352C4"/>
    <w:rsid w:val="00940BB9"/>
    <w:rsid w:val="009450BE"/>
    <w:rsid w:val="00951992"/>
    <w:rsid w:val="00955074"/>
    <w:rsid w:val="00955A88"/>
    <w:rsid w:val="00961595"/>
    <w:rsid w:val="009744EB"/>
    <w:rsid w:val="009810C7"/>
    <w:rsid w:val="009879B1"/>
    <w:rsid w:val="009904A9"/>
    <w:rsid w:val="009B1732"/>
    <w:rsid w:val="009B294B"/>
    <w:rsid w:val="009B383F"/>
    <w:rsid w:val="009B5604"/>
    <w:rsid w:val="009B5B84"/>
    <w:rsid w:val="009B7868"/>
    <w:rsid w:val="009B7B76"/>
    <w:rsid w:val="009C214B"/>
    <w:rsid w:val="009C2A6B"/>
    <w:rsid w:val="009C4999"/>
    <w:rsid w:val="009D65C6"/>
    <w:rsid w:val="009E1D09"/>
    <w:rsid w:val="009E5BB1"/>
    <w:rsid w:val="009F0A1F"/>
    <w:rsid w:val="009F1080"/>
    <w:rsid w:val="009F1AA9"/>
    <w:rsid w:val="009F3697"/>
    <w:rsid w:val="009F4801"/>
    <w:rsid w:val="009F502A"/>
    <w:rsid w:val="009F691A"/>
    <w:rsid w:val="00A02F3D"/>
    <w:rsid w:val="00A0551E"/>
    <w:rsid w:val="00A07BC3"/>
    <w:rsid w:val="00A07CCA"/>
    <w:rsid w:val="00A124AD"/>
    <w:rsid w:val="00A14304"/>
    <w:rsid w:val="00A232E0"/>
    <w:rsid w:val="00A258C3"/>
    <w:rsid w:val="00A27E73"/>
    <w:rsid w:val="00A31153"/>
    <w:rsid w:val="00A31ED2"/>
    <w:rsid w:val="00A40BA5"/>
    <w:rsid w:val="00A40D7F"/>
    <w:rsid w:val="00A52AD6"/>
    <w:rsid w:val="00A5646C"/>
    <w:rsid w:val="00A57F9D"/>
    <w:rsid w:val="00A604EF"/>
    <w:rsid w:val="00A611DD"/>
    <w:rsid w:val="00A61F6F"/>
    <w:rsid w:val="00A71132"/>
    <w:rsid w:val="00A71FC8"/>
    <w:rsid w:val="00A72230"/>
    <w:rsid w:val="00A75A9B"/>
    <w:rsid w:val="00A80E8B"/>
    <w:rsid w:val="00A84FEB"/>
    <w:rsid w:val="00A96ADE"/>
    <w:rsid w:val="00AA67AB"/>
    <w:rsid w:val="00AA7941"/>
    <w:rsid w:val="00AB7F38"/>
    <w:rsid w:val="00AC0810"/>
    <w:rsid w:val="00AC32F2"/>
    <w:rsid w:val="00AC646E"/>
    <w:rsid w:val="00AD2129"/>
    <w:rsid w:val="00AD5516"/>
    <w:rsid w:val="00AE1566"/>
    <w:rsid w:val="00AE19D1"/>
    <w:rsid w:val="00AE2512"/>
    <w:rsid w:val="00AE3588"/>
    <w:rsid w:val="00AF0D13"/>
    <w:rsid w:val="00AF3B77"/>
    <w:rsid w:val="00AF4210"/>
    <w:rsid w:val="00AF59BA"/>
    <w:rsid w:val="00AF635E"/>
    <w:rsid w:val="00AF78A6"/>
    <w:rsid w:val="00B02600"/>
    <w:rsid w:val="00B05800"/>
    <w:rsid w:val="00B05F5C"/>
    <w:rsid w:val="00B10536"/>
    <w:rsid w:val="00B10E98"/>
    <w:rsid w:val="00B11D12"/>
    <w:rsid w:val="00B135C7"/>
    <w:rsid w:val="00B152BE"/>
    <w:rsid w:val="00B156D5"/>
    <w:rsid w:val="00B157C1"/>
    <w:rsid w:val="00B268ED"/>
    <w:rsid w:val="00B269DB"/>
    <w:rsid w:val="00B26A7D"/>
    <w:rsid w:val="00B26FC3"/>
    <w:rsid w:val="00B36FA8"/>
    <w:rsid w:val="00B401BE"/>
    <w:rsid w:val="00B431CF"/>
    <w:rsid w:val="00B505AF"/>
    <w:rsid w:val="00B57B42"/>
    <w:rsid w:val="00B57C12"/>
    <w:rsid w:val="00B61674"/>
    <w:rsid w:val="00B62D60"/>
    <w:rsid w:val="00B66F27"/>
    <w:rsid w:val="00B74CE5"/>
    <w:rsid w:val="00B75F03"/>
    <w:rsid w:val="00B76910"/>
    <w:rsid w:val="00B77AA2"/>
    <w:rsid w:val="00B93159"/>
    <w:rsid w:val="00B96B54"/>
    <w:rsid w:val="00BA065E"/>
    <w:rsid w:val="00BA239D"/>
    <w:rsid w:val="00BB36DF"/>
    <w:rsid w:val="00BB4FDA"/>
    <w:rsid w:val="00BB5981"/>
    <w:rsid w:val="00BD4B78"/>
    <w:rsid w:val="00BD6524"/>
    <w:rsid w:val="00BD700D"/>
    <w:rsid w:val="00BD7B66"/>
    <w:rsid w:val="00BE0D4C"/>
    <w:rsid w:val="00BE5613"/>
    <w:rsid w:val="00C02C96"/>
    <w:rsid w:val="00C04390"/>
    <w:rsid w:val="00C05468"/>
    <w:rsid w:val="00C055D5"/>
    <w:rsid w:val="00C11312"/>
    <w:rsid w:val="00C12581"/>
    <w:rsid w:val="00C143B4"/>
    <w:rsid w:val="00C24417"/>
    <w:rsid w:val="00C244E8"/>
    <w:rsid w:val="00C27C81"/>
    <w:rsid w:val="00C314B4"/>
    <w:rsid w:val="00C36164"/>
    <w:rsid w:val="00C41070"/>
    <w:rsid w:val="00C42FEE"/>
    <w:rsid w:val="00C52307"/>
    <w:rsid w:val="00C57DBC"/>
    <w:rsid w:val="00C61D49"/>
    <w:rsid w:val="00C63AB5"/>
    <w:rsid w:val="00C70FF8"/>
    <w:rsid w:val="00C71091"/>
    <w:rsid w:val="00C74F16"/>
    <w:rsid w:val="00C77B88"/>
    <w:rsid w:val="00C80823"/>
    <w:rsid w:val="00C95150"/>
    <w:rsid w:val="00C95F25"/>
    <w:rsid w:val="00CA22B6"/>
    <w:rsid w:val="00CA2C59"/>
    <w:rsid w:val="00CA31F9"/>
    <w:rsid w:val="00CA4F51"/>
    <w:rsid w:val="00CA616A"/>
    <w:rsid w:val="00CB0464"/>
    <w:rsid w:val="00CB78BF"/>
    <w:rsid w:val="00CC273C"/>
    <w:rsid w:val="00CC3B4B"/>
    <w:rsid w:val="00CC5A2E"/>
    <w:rsid w:val="00CC7383"/>
    <w:rsid w:val="00CD3F6E"/>
    <w:rsid w:val="00CE3024"/>
    <w:rsid w:val="00CE4CAA"/>
    <w:rsid w:val="00CE56AD"/>
    <w:rsid w:val="00CE713B"/>
    <w:rsid w:val="00CE7B5F"/>
    <w:rsid w:val="00CF1645"/>
    <w:rsid w:val="00CF2694"/>
    <w:rsid w:val="00CF2B30"/>
    <w:rsid w:val="00D035D7"/>
    <w:rsid w:val="00D04296"/>
    <w:rsid w:val="00D05C15"/>
    <w:rsid w:val="00D108C0"/>
    <w:rsid w:val="00D11353"/>
    <w:rsid w:val="00D159B5"/>
    <w:rsid w:val="00D17085"/>
    <w:rsid w:val="00D227B0"/>
    <w:rsid w:val="00D25020"/>
    <w:rsid w:val="00D257EF"/>
    <w:rsid w:val="00D264BB"/>
    <w:rsid w:val="00D3400B"/>
    <w:rsid w:val="00D34C56"/>
    <w:rsid w:val="00D374B2"/>
    <w:rsid w:val="00D43DE7"/>
    <w:rsid w:val="00D45AE5"/>
    <w:rsid w:val="00D45C60"/>
    <w:rsid w:val="00D56963"/>
    <w:rsid w:val="00D617A2"/>
    <w:rsid w:val="00D63E86"/>
    <w:rsid w:val="00D65163"/>
    <w:rsid w:val="00D7075C"/>
    <w:rsid w:val="00D721E3"/>
    <w:rsid w:val="00D726DA"/>
    <w:rsid w:val="00D728E6"/>
    <w:rsid w:val="00D76D39"/>
    <w:rsid w:val="00D818F9"/>
    <w:rsid w:val="00D828C6"/>
    <w:rsid w:val="00D833E4"/>
    <w:rsid w:val="00D87699"/>
    <w:rsid w:val="00DA59E1"/>
    <w:rsid w:val="00DA716A"/>
    <w:rsid w:val="00DB45DA"/>
    <w:rsid w:val="00DB6845"/>
    <w:rsid w:val="00DB7790"/>
    <w:rsid w:val="00DC26C4"/>
    <w:rsid w:val="00DC43A7"/>
    <w:rsid w:val="00DD2BF0"/>
    <w:rsid w:val="00DD59BA"/>
    <w:rsid w:val="00DE0F1F"/>
    <w:rsid w:val="00DE180B"/>
    <w:rsid w:val="00DE386E"/>
    <w:rsid w:val="00DE6570"/>
    <w:rsid w:val="00DF4939"/>
    <w:rsid w:val="00DF49FA"/>
    <w:rsid w:val="00E038A4"/>
    <w:rsid w:val="00E0461E"/>
    <w:rsid w:val="00E0465D"/>
    <w:rsid w:val="00E101AE"/>
    <w:rsid w:val="00E11674"/>
    <w:rsid w:val="00E12E6A"/>
    <w:rsid w:val="00E143EB"/>
    <w:rsid w:val="00E219CE"/>
    <w:rsid w:val="00E21ECE"/>
    <w:rsid w:val="00E221E8"/>
    <w:rsid w:val="00E27612"/>
    <w:rsid w:val="00E30F79"/>
    <w:rsid w:val="00E31828"/>
    <w:rsid w:val="00E31FEB"/>
    <w:rsid w:val="00E3714E"/>
    <w:rsid w:val="00E44A45"/>
    <w:rsid w:val="00E453EC"/>
    <w:rsid w:val="00E461CA"/>
    <w:rsid w:val="00E46A35"/>
    <w:rsid w:val="00E5207A"/>
    <w:rsid w:val="00E565A7"/>
    <w:rsid w:val="00E56B4C"/>
    <w:rsid w:val="00E640C9"/>
    <w:rsid w:val="00E65444"/>
    <w:rsid w:val="00E65FD0"/>
    <w:rsid w:val="00E733FE"/>
    <w:rsid w:val="00E75CF8"/>
    <w:rsid w:val="00E83717"/>
    <w:rsid w:val="00EA0D09"/>
    <w:rsid w:val="00EA2117"/>
    <w:rsid w:val="00EA26A9"/>
    <w:rsid w:val="00EA3A36"/>
    <w:rsid w:val="00EA5E62"/>
    <w:rsid w:val="00EA66AB"/>
    <w:rsid w:val="00EA74A4"/>
    <w:rsid w:val="00EB00EB"/>
    <w:rsid w:val="00EB2C17"/>
    <w:rsid w:val="00EB670D"/>
    <w:rsid w:val="00EB728F"/>
    <w:rsid w:val="00EC31B4"/>
    <w:rsid w:val="00ED3CED"/>
    <w:rsid w:val="00ED5C14"/>
    <w:rsid w:val="00EE300D"/>
    <w:rsid w:val="00EE5D16"/>
    <w:rsid w:val="00EE5E8B"/>
    <w:rsid w:val="00EF3C88"/>
    <w:rsid w:val="00EF6A0F"/>
    <w:rsid w:val="00EF6D19"/>
    <w:rsid w:val="00F025D6"/>
    <w:rsid w:val="00F03EC4"/>
    <w:rsid w:val="00F0413D"/>
    <w:rsid w:val="00F076AA"/>
    <w:rsid w:val="00F206EE"/>
    <w:rsid w:val="00F225BB"/>
    <w:rsid w:val="00F2375D"/>
    <w:rsid w:val="00F24AB5"/>
    <w:rsid w:val="00F27E12"/>
    <w:rsid w:val="00F30213"/>
    <w:rsid w:val="00F33189"/>
    <w:rsid w:val="00F33589"/>
    <w:rsid w:val="00F355BC"/>
    <w:rsid w:val="00F368F5"/>
    <w:rsid w:val="00F42C32"/>
    <w:rsid w:val="00F43BC5"/>
    <w:rsid w:val="00F5175D"/>
    <w:rsid w:val="00F65BB2"/>
    <w:rsid w:val="00F65E73"/>
    <w:rsid w:val="00F724F3"/>
    <w:rsid w:val="00F76879"/>
    <w:rsid w:val="00F821CA"/>
    <w:rsid w:val="00F83DC9"/>
    <w:rsid w:val="00F917FC"/>
    <w:rsid w:val="00F95831"/>
    <w:rsid w:val="00FA1658"/>
    <w:rsid w:val="00FA3706"/>
    <w:rsid w:val="00FA471F"/>
    <w:rsid w:val="00FB03C6"/>
    <w:rsid w:val="00FB1081"/>
    <w:rsid w:val="00FB1DE2"/>
    <w:rsid w:val="00FB50D4"/>
    <w:rsid w:val="00FC7544"/>
    <w:rsid w:val="00FD1F77"/>
    <w:rsid w:val="00FD2D5F"/>
    <w:rsid w:val="00FE035D"/>
    <w:rsid w:val="00FF1C69"/>
    <w:rsid w:val="00FF2889"/>
    <w:rsid w:val="00FF6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D19D5-339A-4873-A3CA-899088BE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508"/>
  </w:style>
  <w:style w:type="paragraph" w:styleId="Nagwek3">
    <w:name w:val="heading 3"/>
    <w:basedOn w:val="Normalny"/>
    <w:next w:val="Normalny"/>
    <w:link w:val="Nagwek3Znak"/>
    <w:qFormat/>
    <w:rsid w:val="00B77AA2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17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E4C"/>
  </w:style>
  <w:style w:type="paragraph" w:styleId="Stopka">
    <w:name w:val="footer"/>
    <w:basedOn w:val="Normalny"/>
    <w:link w:val="StopkaZnak"/>
    <w:uiPriority w:val="99"/>
    <w:unhideWhenUsed/>
    <w:rsid w:val="0067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E4C"/>
  </w:style>
  <w:style w:type="character" w:customStyle="1" w:styleId="Nagwek3Znak">
    <w:name w:val="Nagłówek 3 Znak"/>
    <w:basedOn w:val="Domylnaczcionkaakapitu"/>
    <w:link w:val="Nagwek3"/>
    <w:rsid w:val="00B77AA2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B77AA2"/>
    <w:rPr>
      <w:color w:val="0000FF"/>
      <w:sz w:val="20"/>
      <w:u w:val="single"/>
    </w:rPr>
  </w:style>
  <w:style w:type="paragraph" w:styleId="Akapitzlist">
    <w:name w:val="List Paragraph"/>
    <w:basedOn w:val="Normalny"/>
    <w:uiPriority w:val="34"/>
    <w:qFormat/>
    <w:rsid w:val="00EB00E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C48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tat.gov.pl/obszary-tematyczne/ceny-handel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ecznik@stat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stat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stat.gov.pl/obszary-tematyczne/ceny-handel/%2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/>
            </a:pPr>
            <a:r>
              <a:rPr lang="pl-PL" sz="900" b="1" i="0" u="none" strike="noStrike" baseline="0">
                <a:effectLst/>
              </a:rPr>
              <a:t>SPRZEDAŻ DETALICZNA TOWARÓW  (ceny stałe)</a:t>
            </a:r>
          </a:p>
          <a:p>
            <a:pPr>
              <a:defRPr sz="900"/>
            </a:pPr>
            <a:r>
              <a:rPr lang="pl-PL" sz="900" b="0" i="0" u="none" strike="noStrike" baseline="0"/>
              <a:t> </a:t>
            </a:r>
            <a:r>
              <a:rPr lang="pl-PL" sz="900" b="1" i="0" u="none" strike="noStrike" baseline="0">
                <a:effectLst/>
              </a:rPr>
              <a:t> analogiczny okres roku poprzedniego=100</a:t>
            </a:r>
            <a:r>
              <a:rPr lang="pl-PL" sz="900" b="0" i="0" u="none" strike="noStrike" baseline="0"/>
              <a:t> </a:t>
            </a:r>
            <a:r>
              <a:rPr lang="pl-PL" sz="900" b="1"/>
              <a:t> </a:t>
            </a:r>
          </a:p>
        </c:rich>
      </c:tx>
      <c:layout>
        <c:manualLayout>
          <c:xMode val="edge"/>
          <c:yMode val="edge"/>
          <c:x val="0.2448266530243042"/>
          <c:y val="2.597390114968024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2401746724890827E-2"/>
          <c:y val="0.164159375"/>
          <c:w val="0.93325015595757954"/>
          <c:h val="0.7579509075450080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 w="3175">
              <a:solidFill>
                <a:srgbClr val="000000"/>
              </a:solidFill>
              <a:prstDash val="solid"/>
            </a:ln>
          </c:spPr>
          <c:invertIfNegative val="0"/>
          <c:cat>
            <c:multiLvlStrRef>
              <c:f>Arkusz1!$B$17:$C$70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  I 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2012</c:v>
                  </c:pt>
                  <c:pt idx="12">
                    <c:v>2013</c:v>
                  </c:pt>
                  <c:pt idx="24">
                    <c:v>2014</c:v>
                  </c:pt>
                  <c:pt idx="36">
                    <c:v>2015</c:v>
                  </c:pt>
                  <c:pt idx="48">
                    <c:v>2016</c:v>
                  </c:pt>
                </c:lvl>
              </c:multiLvlStrCache>
            </c:multiLvlStrRef>
          </c:cat>
          <c:val>
            <c:numRef>
              <c:f>Arkusz1!$D$17:$D$70</c:f>
              <c:numCache>
                <c:formatCode>General</c:formatCode>
                <c:ptCount val="54"/>
                <c:pt idx="0">
                  <c:v>109.9</c:v>
                </c:pt>
                <c:pt idx="1">
                  <c:v>108.9</c:v>
                </c:pt>
                <c:pt idx="2">
                  <c:v>106.9</c:v>
                </c:pt>
                <c:pt idx="3">
                  <c:v>101.8</c:v>
                </c:pt>
                <c:pt idx="4">
                  <c:v>104.3</c:v>
                </c:pt>
                <c:pt idx="5">
                  <c:v>102.6</c:v>
                </c:pt>
                <c:pt idx="6">
                  <c:v>103.4</c:v>
                </c:pt>
                <c:pt idx="7">
                  <c:v>102.3</c:v>
                </c:pt>
                <c:pt idx="8">
                  <c:v>99.6</c:v>
                </c:pt>
                <c:pt idx="9">
                  <c:v>100.5</c:v>
                </c:pt>
                <c:pt idx="10">
                  <c:v>100.7</c:v>
                </c:pt>
                <c:pt idx="11">
                  <c:v>96.4</c:v>
                </c:pt>
                <c:pt idx="12">
                  <c:v>102.4</c:v>
                </c:pt>
                <c:pt idx="13">
                  <c:v>98.7</c:v>
                </c:pt>
                <c:pt idx="14" formatCode="0.0">
                  <c:v>100</c:v>
                </c:pt>
                <c:pt idx="15">
                  <c:v>100.1</c:v>
                </c:pt>
                <c:pt idx="16">
                  <c:v>101.2</c:v>
                </c:pt>
                <c:pt idx="17">
                  <c:v>102.6</c:v>
                </c:pt>
                <c:pt idx="18">
                  <c:v>104.3</c:v>
                </c:pt>
                <c:pt idx="19">
                  <c:v>103.5</c:v>
                </c:pt>
                <c:pt idx="20">
                  <c:v>104.1</c:v>
                </c:pt>
                <c:pt idx="21">
                  <c:v>103.7</c:v>
                </c:pt>
                <c:pt idx="22">
                  <c:v>104.2</c:v>
                </c:pt>
                <c:pt idx="23">
                  <c:v>105.9</c:v>
                </c:pt>
                <c:pt idx="24" formatCode="0.0">
                  <c:v>104.8</c:v>
                </c:pt>
                <c:pt idx="25" formatCode="0.0">
                  <c:v>107</c:v>
                </c:pt>
                <c:pt idx="26">
                  <c:v>103.3</c:v>
                </c:pt>
                <c:pt idx="27">
                  <c:v>108.9</c:v>
                </c:pt>
                <c:pt idx="28">
                  <c:v>104.3</c:v>
                </c:pt>
                <c:pt idx="29">
                  <c:v>101.8</c:v>
                </c:pt>
                <c:pt idx="30">
                  <c:v>103.1</c:v>
                </c:pt>
                <c:pt idx="31">
                  <c:v>102.8</c:v>
                </c:pt>
                <c:pt idx="32" formatCode="0.0">
                  <c:v>103</c:v>
                </c:pt>
                <c:pt idx="33" formatCode="0.0">
                  <c:v>103.7</c:v>
                </c:pt>
                <c:pt idx="34" formatCode="0.0">
                  <c:v>101.4</c:v>
                </c:pt>
                <c:pt idx="35" formatCode="0.0">
                  <c:v>104</c:v>
                </c:pt>
                <c:pt idx="36" formatCode="0.0">
                  <c:v>103.6</c:v>
                </c:pt>
                <c:pt idx="37" formatCode="0.0">
                  <c:v>102.4</c:v>
                </c:pt>
                <c:pt idx="38" formatCode="0.0">
                  <c:v>106.6</c:v>
                </c:pt>
                <c:pt idx="39" formatCode="0.0">
                  <c:v>101.5</c:v>
                </c:pt>
                <c:pt idx="40" formatCode="0.0">
                  <c:v>104.7</c:v>
                </c:pt>
                <c:pt idx="41" formatCode="0.0">
                  <c:v>106.6</c:v>
                </c:pt>
                <c:pt idx="42" formatCode="0.0">
                  <c:v>103.5</c:v>
                </c:pt>
                <c:pt idx="43" formatCode="0.0">
                  <c:v>102</c:v>
                </c:pt>
                <c:pt idx="44" formatCode="0.0">
                  <c:v>102.9</c:v>
                </c:pt>
                <c:pt idx="45" formatCode="0.0">
                  <c:v>103.6</c:v>
                </c:pt>
                <c:pt idx="46" formatCode="0.0">
                  <c:v>105.7</c:v>
                </c:pt>
                <c:pt idx="47" formatCode="0.0">
                  <c:v>107</c:v>
                </c:pt>
                <c:pt idx="48" formatCode="0.0">
                  <c:v>103.2</c:v>
                </c:pt>
                <c:pt idx="49" formatCode="0.0">
                  <c:v>106.2</c:v>
                </c:pt>
                <c:pt idx="50" formatCode="0.0">
                  <c:v>103</c:v>
                </c:pt>
                <c:pt idx="51" formatCode="0.0">
                  <c:v>105.5</c:v>
                </c:pt>
                <c:pt idx="52" formatCode="0.0">
                  <c:v>104.3</c:v>
                </c:pt>
                <c:pt idx="53" formatCode="0.0">
                  <c:v>106.5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599891344"/>
        <c:axId val="-599890800"/>
      </c:barChart>
      <c:catAx>
        <c:axId val="-59989134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2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-599890800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599890800"/>
        <c:scaling>
          <c:orientation val="minMax"/>
          <c:max val="114"/>
          <c:min val="94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599891344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1611004242787189E-2"/>
          <c:y val="0.10447168180620392"/>
          <c:w val="0.90746450357941544"/>
          <c:h val="0.6837892419415323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E08E8C"/>
            </a:solidFill>
            <a:ln w="12700">
              <a:solidFill>
                <a:srgbClr val="000000"/>
              </a:solidFill>
              <a:prstDash val="solid"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0"/>
              <c:layout>
                <c:manualLayout>
                  <c:x val="9.9136034463313621E-4"/>
                  <c:y val="1.275541491892952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114,3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452927213968884E-2"/>
                      <c:h val="4.1373246937344836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2.2426728129631736E-3"/>
                  <c:y val="-2.194948450933836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4.5549139893147135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1.3645699472153063E-3"/>
                  <c:y val="-1.998787562686975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4.7771941633704657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2.0174286263440391E-3"/>
                  <c:y val="3.860707770603932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3.8613016461973244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5.1377103930224451E-4"/>
                  <c:y val="2.314565573548204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5103115136631726E-3"/>
                  <c:y val="1.636385466573165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044986887230181E-2"/>
                      <c:h val="4.8450694769892569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0440179242270932E-3"/>
                  <c:y val="-1.70628706091814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992939277788977E-2"/>
                      <c:h val="4.7771941633704657E-2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3.7185940823349604E-4"/>
                  <c:y val="-3.060858072470436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385801356230511E-2"/>
                      <c:h val="4.882818206766984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3.4708864252523766E-3"/>
                  <c:y val="1.581516525879419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7478392919263146E-2"/>
                      <c:h val="4.4303934004087879E-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-1.4588466376058548E-3"/>
                  <c:y val="6.825029651146145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</c:spPr>
            <c:txPr>
              <a:bodyPr/>
              <a:lstStyle/>
              <a:p>
                <a:pPr>
                  <a:defRPr sz="850" b="1" i="1" baseline="0">
                    <a:solidFill>
                      <a:schemeClr val="tx1"/>
                    </a:solidFill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rodz_dział_miesiąc!$B$4:$B$12</c:f>
              <c:strCache>
                <c:ptCount val="9"/>
                <c:pt idx="0">
                  <c:v>pojazdy 
samochodowe, 
motocykle, części  
</c:v>
                </c:pt>
                <c:pt idx="1">
                  <c:v>paliwa stałe,
ciekłe i gazowe  
</c:v>
                </c:pt>
                <c:pt idx="2">
                  <c:v>żywność,
napoje
i wyroby
 tytoniowe  
</c:v>
                </c:pt>
                <c:pt idx="3">
                  <c:v>pozostała
sprzedaż detaliczna
w niewyspecjalizo-
wanych sklepach
</c:v>
                </c:pt>
                <c:pt idx="4">
                  <c:v>farmaceutyki, 
kosmetyki, 
sprzęt 
ortopedyczny   </c:v>
                </c:pt>
                <c:pt idx="5">
                  <c:v>tekstylia, odzież, 
obuwie</c:v>
                </c:pt>
                <c:pt idx="6">
                  <c:v>meble,
rtv,
agd
</c:v>
                </c:pt>
                <c:pt idx="7">
                  <c:v>prasa, książki, 
pozostała sprzedaż
w wyspecjalizowanych
sklepach
</c:v>
                </c:pt>
                <c:pt idx="8">
                  <c:v>pozostałe  </c:v>
                </c:pt>
              </c:strCache>
            </c:strRef>
          </c:cat>
          <c:val>
            <c:numRef>
              <c:f>rodz_dział_miesiąc!$AM$4:$AM$12</c:f>
              <c:numCache>
                <c:formatCode>0.0</c:formatCode>
                <c:ptCount val="9"/>
                <c:pt idx="0">
                  <c:v>114.3</c:v>
                </c:pt>
                <c:pt idx="1">
                  <c:v>101.4</c:v>
                </c:pt>
                <c:pt idx="2">
                  <c:v>105</c:v>
                </c:pt>
                <c:pt idx="3">
                  <c:v>112.2</c:v>
                </c:pt>
                <c:pt idx="4">
                  <c:v>112.3</c:v>
                </c:pt>
                <c:pt idx="5">
                  <c:v>120.8</c:v>
                </c:pt>
                <c:pt idx="6">
                  <c:v>114.2</c:v>
                </c:pt>
                <c:pt idx="7">
                  <c:v>106.6</c:v>
                </c:pt>
                <c:pt idx="8">
                  <c:v>89.7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599889168"/>
        <c:axId val="-599879376"/>
      </c:barChart>
      <c:catAx>
        <c:axId val="-59988916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3000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599879376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-599879376"/>
        <c:scaling>
          <c:orientation val="minMax"/>
          <c:max val="130"/>
          <c:min val="85"/>
        </c:scaling>
        <c:delete val="0"/>
        <c:axPos val="l"/>
        <c:majorGridlines>
          <c:spPr>
            <a:ln w="3175">
              <a:solidFill>
                <a:schemeClr val="tx1">
                  <a:lumMod val="50000"/>
                  <a:lumOff val="50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-599889168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0.1707</cdr:x>
      <cdr:y>0.01528</cdr:y>
    </cdr:from>
    <cdr:to>
      <cdr:x>0.87526</cdr:x>
      <cdr:y>0.14506</cdr:y>
    </cdr:to>
    <cdr:sp macro="" textlink="">
      <cdr:nvSpPr>
        <cdr:cNvPr id="340998" name="Text Box 1030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33517" y="53340"/>
          <a:ext cx="6400851" cy="4648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36576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9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SPRZEDAŻ DETALICZNA TOWARÓW W CZERWCU 2016 R. (ceny stałe) </a:t>
          </a:r>
        </a:p>
        <a:p xmlns:a="http://schemas.openxmlformats.org/drawingml/2006/main">
          <a:pPr algn="ctr" rtl="0">
            <a:defRPr sz="1000"/>
          </a:pPr>
          <a:r>
            <a:rPr lang="pl-PL" sz="9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analogiczny okres roku </a:t>
          </a:r>
          <a:r>
            <a:rPr lang="pl-PL" sz="900" b="1" i="0" baseline="0">
              <a:latin typeface="Arial" pitchFamily="34" charset="0"/>
              <a:ea typeface="+mn-ea"/>
              <a:cs typeface="Arial" pitchFamily="34" charset="0"/>
            </a:rPr>
            <a:t>poprzedniego</a:t>
          </a:r>
          <a:r>
            <a:rPr lang="pl-PL" sz="900" b="1" i="0" u="none" strike="noStrike" baseline="0">
              <a:solidFill>
                <a:srgbClr val="000000"/>
              </a:solidFill>
              <a:latin typeface="Arial CE"/>
              <a:cs typeface="Arial CE"/>
            </a:rPr>
            <a:t>=100</a:t>
          </a:r>
        </a:p>
      </cdr:txBody>
    </cdr:sp>
  </cdr:relSizeAnchor>
  <cdr:relSizeAnchor xmlns:cdr="http://schemas.openxmlformats.org/drawingml/2006/chartDrawing">
    <cdr:from>
      <cdr:x>0.15106</cdr:x>
      <cdr:y>0.30952</cdr:y>
    </cdr:from>
    <cdr:to>
      <cdr:x>0.3722</cdr:x>
      <cdr:y>0.39275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950979" y="1133474"/>
          <a:ext cx="1392169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8B2725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900" b="1" i="1" u="none" strike="noStrike" baseline="0">
              <a:solidFill>
                <a:srgbClr val="8B2725"/>
              </a:solidFill>
              <a:latin typeface="Arial CE"/>
              <a:cs typeface="Arial CE"/>
            </a:rPr>
            <a:t>Ogółem 106,5</a:t>
          </a:r>
        </a:p>
      </cdr:txBody>
    </cdr:sp>
  </cdr:relSizeAnchor>
  <cdr:relSizeAnchor xmlns:cdr="http://schemas.openxmlformats.org/drawingml/2006/chartDrawing">
    <cdr:from>
      <cdr:x>0.22089</cdr:x>
      <cdr:y>0.38911</cdr:y>
    </cdr:from>
    <cdr:to>
      <cdr:x>0.26553</cdr:x>
      <cdr:y>0.45194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390589" y="1424942"/>
          <a:ext cx="281027" cy="23008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8B2725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0.08629</cdr:x>
      <cdr:y>0.46188</cdr:y>
    </cdr:from>
    <cdr:to>
      <cdr:x>1</cdr:x>
      <cdr:y>0.46482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43229" y="1691429"/>
          <a:ext cx="5752161" cy="1076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8B2725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AAB32-2FD0-43B1-88B6-CC6183A1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Łukaszewicz Mirosława</dc:creator>
  <cp:lastModifiedBy>Biernat Jolanta</cp:lastModifiedBy>
  <cp:revision>2</cp:revision>
  <cp:lastPrinted>2016-05-17T11:30:00Z</cp:lastPrinted>
  <dcterms:created xsi:type="dcterms:W3CDTF">2016-07-19T06:43:00Z</dcterms:created>
  <dcterms:modified xsi:type="dcterms:W3CDTF">2016-07-19T06:43:00Z</dcterms:modified>
</cp:coreProperties>
</file>