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0A296E">
        <w:rPr>
          <w:shd w:val="clear" w:color="auto" w:fill="FFFFFF"/>
        </w:rPr>
        <w:t>sierpień</w:t>
      </w:r>
      <w:r w:rsidRPr="00530074">
        <w:rPr>
          <w:shd w:val="clear" w:color="auto" w:fill="FFFFFF"/>
        </w:rPr>
        <w:t xml:space="preserve"> 2018 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D0D" w:rsidRPr="00074DD8" w:rsidRDefault="008A1D0D" w:rsidP="00074DD8">
                            <w:pPr>
                              <w:pStyle w:val="tekstzboku"/>
                            </w:pPr>
                            <w:r>
                              <w:t>W sierpniu</w:t>
                            </w:r>
                            <w:r w:rsidRPr="00AE6789">
                              <w:t xml:space="preserve"> 2018</w:t>
                            </w:r>
                            <w:r>
                              <w:t xml:space="preserve"> r. odnot</w:t>
                            </w:r>
                            <w:r>
                              <w:t>o</w:t>
                            </w:r>
                            <w:r>
                              <w:t>wano poprawę obecnych nastrojów konsumenckich przy jednoczesnym utrzym</w:t>
                            </w:r>
                            <w:r>
                              <w:t>a</w:t>
                            </w:r>
                            <w:r>
                              <w:t>niu przyszłych nastrojów konsumenckich na tym s</w:t>
                            </w:r>
                            <w:r>
                              <w:t>a</w:t>
                            </w:r>
                            <w:r>
                              <w:t>mym poziomie w stosunku do poprzedniego miesiąca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8A1D0D" w:rsidRPr="00074DD8" w:rsidRDefault="008A1D0D" w:rsidP="00074DD8">
                      <w:pPr>
                        <w:pStyle w:val="tekstzboku"/>
                      </w:pPr>
                      <w:r>
                        <w:t>W sierpniu</w:t>
                      </w:r>
                      <w:r w:rsidRPr="00AE6789">
                        <w:t xml:space="preserve"> 2018</w:t>
                      </w:r>
                      <w:r>
                        <w:t xml:space="preserve"> r. odnotowano poprawę obecnych nastrojów konsumenckich przy jednoczesnym utrzymaniu przyszłych nastrojów konsumenckich na tym samym poziomie w stosunku do poprzedniego miesiąca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3A86" w:rsidRPr="003A3169" w:rsidRDefault="005B3A86" w:rsidP="005B3A86">
      <w:pPr>
        <w:pStyle w:val="LID"/>
      </w:pPr>
      <w:r w:rsidRPr="003A3169"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D0D" w:rsidRPr="00BC44E4" w:rsidRDefault="008A1D0D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6,2</w:t>
                            </w:r>
                          </w:p>
                          <w:p w:rsidR="008A1D0D" w:rsidRPr="00DD7916" w:rsidRDefault="008A1D0D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4ACDF2"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8A1D0D" w:rsidRPr="00BC44E4" w:rsidRDefault="008A1D0D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6,2</w:t>
                      </w:r>
                    </w:p>
                    <w:p w:rsidR="008A1D0D" w:rsidRPr="00DD7916" w:rsidRDefault="008A1D0D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3169">
        <w:t xml:space="preserve">Bieżący wskaźnik ufności konsumenckiej (BWUK), syntetycznie opisujący obecne tendencje konsumpcji indywidualnej ukształtował się na poziomie </w:t>
      </w:r>
      <w:r w:rsidR="00500308">
        <w:t>6</w:t>
      </w:r>
      <w:r w:rsidR="00F729F3">
        <w:t>,2</w:t>
      </w:r>
      <w:r>
        <w:rPr>
          <w:rStyle w:val="Odwoanieprzypisudolnego"/>
          <w:shd w:val="clear" w:color="auto" w:fill="FFFFFF"/>
        </w:rPr>
        <w:footnoteReference w:id="1"/>
      </w:r>
      <w:r>
        <w:t>.</w:t>
      </w:r>
    </w:p>
    <w:p w:rsidR="005B3A86" w:rsidRDefault="005B3A86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</w:p>
    <w:p w:rsidR="009A5A6D" w:rsidRDefault="009A5A6D" w:rsidP="00074DD8">
      <w:pPr>
        <w:pStyle w:val="Nagwek1"/>
      </w:pPr>
    </w:p>
    <w:p w:rsidR="00A217E6" w:rsidRDefault="00A217E6" w:rsidP="00074DD8">
      <w:pPr>
        <w:pStyle w:val="Nagwek1"/>
      </w:pP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D0D" w:rsidRPr="00380DFD" w:rsidRDefault="008A1D0D" w:rsidP="00380DFD">
                            <w:pPr>
                              <w:pStyle w:val="tekstzboku"/>
                            </w:pPr>
                            <w:r>
                              <w:t>Bieżący wskaźnik ufności konsumenckiej (BWUK) był wyższy o 1,0 p. proc. w st</w:t>
                            </w:r>
                            <w:r>
                              <w:t>o</w:t>
                            </w:r>
                            <w:r>
                              <w:t>sunku do poprzedniego mi</w:t>
                            </w:r>
                            <w:r>
                              <w:t>e</w:t>
                            </w:r>
                            <w:r>
                              <w:t>siąca</w:t>
                            </w:r>
                          </w:p>
                          <w:p w:rsidR="008A1D0D" w:rsidRPr="00D616D2" w:rsidRDefault="008A1D0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8A1D0D" w:rsidRPr="00380DFD" w:rsidRDefault="008A1D0D" w:rsidP="00380DFD">
                      <w:pPr>
                        <w:pStyle w:val="tekstzboku"/>
                      </w:pPr>
                      <w:r>
                        <w:t>Bieżący wskaźnik ufności konsumenckiej (BWUK) był wyższy o 1,0 p. proc. w stosunku do poprzedniego miesiąca</w:t>
                      </w:r>
                    </w:p>
                    <w:p w:rsidR="008A1D0D" w:rsidRPr="00D616D2" w:rsidRDefault="008A1D0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 xml:space="preserve">nik ufności konsumenckiej </w:t>
      </w:r>
      <w:r w:rsidR="00A217E6">
        <w:t xml:space="preserve"> (BWUK) </w:t>
      </w:r>
      <w:r w:rsidR="009A5A6D" w:rsidRPr="009A5A6D">
        <w:t xml:space="preserve">w </w:t>
      </w:r>
      <w:r w:rsidR="000A296E">
        <w:t>sierpniu</w:t>
      </w:r>
      <w:r w:rsidR="009A5A6D" w:rsidRPr="009A5A6D">
        <w:t xml:space="preserve"> 2018 r.</w:t>
      </w:r>
    </w:p>
    <w:p w:rsidR="00BB1D75" w:rsidRDefault="009A5A6D" w:rsidP="00BB1D75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</w:t>
      </w:r>
      <w:r w:rsidR="002253F4">
        <w:rPr>
          <w:shd w:val="clear" w:color="auto" w:fill="FFFFFF"/>
        </w:rPr>
        <w:t>wyższy</w:t>
      </w:r>
      <w:r w:rsidR="007B7753">
        <w:rPr>
          <w:shd w:val="clear" w:color="auto" w:fill="FFFFFF"/>
        </w:rPr>
        <w:t xml:space="preserve"> o </w:t>
      </w:r>
      <w:r w:rsidR="002253F4">
        <w:rPr>
          <w:shd w:val="clear" w:color="auto" w:fill="FFFFFF"/>
        </w:rPr>
        <w:t>1</w:t>
      </w:r>
      <w:r w:rsidR="0053753D">
        <w:rPr>
          <w:shd w:val="clear" w:color="auto" w:fill="FFFFFF"/>
        </w:rPr>
        <w:t>,</w:t>
      </w:r>
      <w:r w:rsidR="002253F4">
        <w:rPr>
          <w:shd w:val="clear" w:color="auto" w:fill="FFFFFF"/>
        </w:rPr>
        <w:t>0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500308">
        <w:rPr>
          <w:shd w:val="clear" w:color="auto" w:fill="FFFFFF"/>
        </w:rPr>
        <w:t>6</w:t>
      </w:r>
      <w:r w:rsidR="0053753D">
        <w:rPr>
          <w:shd w:val="clear" w:color="auto" w:fill="FFFFFF"/>
        </w:rPr>
        <w:t>,</w:t>
      </w:r>
      <w:r w:rsidR="00F729F3">
        <w:rPr>
          <w:shd w:val="clear" w:color="auto" w:fill="FFFFFF"/>
        </w:rPr>
        <w:t>2</w:t>
      </w:r>
      <w:r w:rsidR="00210F89" w:rsidRPr="00210F89">
        <w:rPr>
          <w:shd w:val="clear" w:color="auto" w:fill="FFFFFF"/>
          <w:vertAlign w:val="superscript"/>
        </w:rPr>
        <w:t>*</w:t>
      </w:r>
      <w:r w:rsidR="002253F4">
        <w:rPr>
          <w:shd w:val="clear" w:color="auto" w:fill="FFFFFF"/>
        </w:rPr>
        <w:t>.</w:t>
      </w:r>
      <w:r w:rsidR="00617810">
        <w:rPr>
          <w:shd w:val="clear" w:color="auto" w:fill="FFFFFF"/>
        </w:rPr>
        <w:t xml:space="preserve"> </w:t>
      </w:r>
    </w:p>
    <w:p w:rsidR="0098156A" w:rsidRDefault="00B217DB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Wartości wyższe niż przed miesiącem odnotowano </w:t>
      </w:r>
      <w:r w:rsidR="00BB1D75">
        <w:rPr>
          <w:shd w:val="clear" w:color="auto" w:fill="FFFFFF"/>
        </w:rPr>
        <w:t>dla</w:t>
      </w:r>
      <w:r>
        <w:rPr>
          <w:shd w:val="clear" w:color="auto" w:fill="FFFFFF"/>
        </w:rPr>
        <w:t xml:space="preserve"> czterech składowych wskaźnika, przy czym najwyższe wzrosty wystąpiły dla</w:t>
      </w:r>
      <w:r w:rsidR="003F153D">
        <w:rPr>
          <w:shd w:val="clear" w:color="auto" w:fill="FFFFFF"/>
        </w:rPr>
        <w:t xml:space="preserve"> </w:t>
      </w:r>
      <w:r w:rsidR="00891FF7">
        <w:rPr>
          <w:shd w:val="clear" w:color="auto" w:fill="FFFFFF"/>
        </w:rPr>
        <w:t xml:space="preserve">ocen </w:t>
      </w:r>
      <w:r w:rsidR="006C4C37">
        <w:rPr>
          <w:shd w:val="clear" w:color="auto" w:fill="FFFFFF"/>
        </w:rPr>
        <w:t>obecnej możliwości dokonywania ważnych zak</w:t>
      </w:r>
      <w:r w:rsidR="006C4C37">
        <w:rPr>
          <w:shd w:val="clear" w:color="auto" w:fill="FFFFFF"/>
        </w:rPr>
        <w:t>u</w:t>
      </w:r>
      <w:r w:rsidR="006C4C37">
        <w:rPr>
          <w:shd w:val="clear" w:color="auto" w:fill="FFFFFF"/>
        </w:rPr>
        <w:t>pów oraz</w:t>
      </w:r>
      <w:r w:rsidR="007820A2">
        <w:rPr>
          <w:shd w:val="clear" w:color="auto" w:fill="FFFFFF"/>
        </w:rPr>
        <w:t xml:space="preserve"> obecnej sytuacji finansowej gospodarstwa domowego </w:t>
      </w:r>
      <w:r w:rsidR="00891FF7">
        <w:rPr>
          <w:shd w:val="clear" w:color="auto" w:fill="FFFFFF"/>
        </w:rPr>
        <w:t>(</w:t>
      </w:r>
      <w:r w:rsidR="007820A2">
        <w:rPr>
          <w:shd w:val="clear" w:color="auto" w:fill="FFFFFF"/>
        </w:rPr>
        <w:t>wzrosty</w:t>
      </w:r>
      <w:r w:rsidR="003F153D">
        <w:rPr>
          <w:shd w:val="clear" w:color="auto" w:fill="FFFFFF"/>
        </w:rPr>
        <w:t xml:space="preserve"> odpowiednio o 3,9 i</w:t>
      </w:r>
      <w:r w:rsidR="003350E9">
        <w:rPr>
          <w:shd w:val="clear" w:color="auto" w:fill="FFFFFF"/>
        </w:rPr>
        <w:t> </w:t>
      </w:r>
      <w:r w:rsidR="007820A2">
        <w:rPr>
          <w:shd w:val="clear" w:color="auto" w:fill="FFFFFF"/>
        </w:rPr>
        <w:t>1</w:t>
      </w:r>
      <w:r w:rsidR="00617810">
        <w:rPr>
          <w:shd w:val="clear" w:color="auto" w:fill="FFFFFF"/>
        </w:rPr>
        <w:t>,</w:t>
      </w:r>
      <w:r w:rsidR="007820A2">
        <w:rPr>
          <w:shd w:val="clear" w:color="auto" w:fill="FFFFFF"/>
        </w:rPr>
        <w:t>9</w:t>
      </w:r>
      <w:r w:rsidR="00891FF7">
        <w:rPr>
          <w:shd w:val="clear" w:color="auto" w:fill="FFFFFF"/>
        </w:rPr>
        <w:t xml:space="preserve"> p. proc.)</w:t>
      </w:r>
      <w:r>
        <w:rPr>
          <w:shd w:val="clear" w:color="auto" w:fill="FFFFFF"/>
        </w:rPr>
        <w:t>.</w:t>
      </w:r>
      <w:r w:rsidR="008024D9">
        <w:rPr>
          <w:shd w:val="clear" w:color="auto" w:fill="FFFFFF"/>
        </w:rPr>
        <w:t xml:space="preserve"> Pogorszyła się </w:t>
      </w:r>
      <w:r>
        <w:rPr>
          <w:shd w:val="clear" w:color="auto" w:fill="FFFFFF"/>
        </w:rPr>
        <w:t>jedynie</w:t>
      </w:r>
      <w:r w:rsidR="007820A2">
        <w:rPr>
          <w:shd w:val="clear" w:color="auto" w:fill="FFFFFF"/>
        </w:rPr>
        <w:t xml:space="preserve"> </w:t>
      </w:r>
      <w:r w:rsidR="008024D9">
        <w:rPr>
          <w:shd w:val="clear" w:color="auto" w:fill="FFFFFF"/>
        </w:rPr>
        <w:t>ocena</w:t>
      </w:r>
      <w:r w:rsidR="007820A2">
        <w:rPr>
          <w:shd w:val="clear" w:color="auto" w:fill="FFFFFF"/>
        </w:rPr>
        <w:t xml:space="preserve"> obecnej sytuacji ekonomicznej kraju</w:t>
      </w:r>
      <w:r w:rsidR="008024D9">
        <w:rPr>
          <w:shd w:val="clear" w:color="auto" w:fill="FFFFFF"/>
        </w:rPr>
        <w:t xml:space="preserve"> (spadek o 1,8 p. proc.).</w:t>
      </w:r>
    </w:p>
    <w:p w:rsidR="00A06A63" w:rsidRPr="00396FC5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porównaniu do </w:t>
      </w:r>
      <w:r w:rsidR="000A296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sierpnia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2017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jest wyższa o </w:t>
      </w:r>
      <w:r w:rsidR="002253F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0,5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A06A63" w:rsidRPr="009A5A6D" w:rsidRDefault="00A06A63" w:rsidP="002F5124">
      <w:pPr>
        <w:spacing w:before="0"/>
      </w:pPr>
    </w:p>
    <w:p w:rsidR="00C074FD" w:rsidRDefault="00C074FD" w:rsidP="00C074FD">
      <w:pPr>
        <w:pStyle w:val="Nagwek1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D0D" w:rsidRPr="00380DFD" w:rsidRDefault="008A1D0D" w:rsidP="00A217E6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nie zmienił się w stosunku do poprzedniego miesiąca</w:t>
                            </w:r>
                          </w:p>
                          <w:p w:rsidR="008A1D0D" w:rsidRPr="00380DFD" w:rsidRDefault="008A1D0D" w:rsidP="00C074FD">
                            <w:pPr>
                              <w:pStyle w:val="tekstzboku"/>
                            </w:pPr>
                          </w:p>
                          <w:p w:rsidR="008A1D0D" w:rsidRPr="00D616D2" w:rsidRDefault="008A1D0D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8A1D0D" w:rsidRPr="00380DFD" w:rsidRDefault="008A1D0D" w:rsidP="00A217E6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nie zmienił się w stosunku do poprzedniego miesiąca</w:t>
                      </w:r>
                    </w:p>
                    <w:p w:rsidR="008A1D0D" w:rsidRPr="00380DFD" w:rsidRDefault="008A1D0D" w:rsidP="00C074FD">
                      <w:pPr>
                        <w:pStyle w:val="tekstzboku"/>
                      </w:pPr>
                    </w:p>
                    <w:p w:rsidR="008A1D0D" w:rsidRPr="00D616D2" w:rsidRDefault="008A1D0D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 </w:t>
      </w:r>
      <w:r w:rsidR="000A296E">
        <w:t>sierpniu</w:t>
      </w:r>
      <w:r w:rsidRPr="009A5A6D">
        <w:t xml:space="preserve"> 2018 r.</w:t>
      </w:r>
    </w:p>
    <w:p w:rsidR="00BB1D75" w:rsidRDefault="00C074FD" w:rsidP="00BB1D75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 xml:space="preserve">Wyprzedzający wskaźnik ufności konsumenckiej (WWUK), syntetycznie opisujący oczekiwane w najbliższych miesiącach tendencje konsumpcji indywidualnej, </w:t>
      </w:r>
      <w:r w:rsidR="002253F4">
        <w:rPr>
          <w:shd w:val="clear" w:color="auto" w:fill="FFFFFF"/>
        </w:rPr>
        <w:t>nie zmienił się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F729F3">
        <w:rPr>
          <w:shd w:val="clear" w:color="auto" w:fill="FFFFFF"/>
        </w:rPr>
        <w:t>2</w:t>
      </w:r>
      <w:r w:rsidRPr="00396FC5">
        <w:rPr>
          <w:shd w:val="clear" w:color="auto" w:fill="FFFFFF"/>
        </w:rPr>
        <w:t>,</w:t>
      </w:r>
      <w:r w:rsidR="00F729F3">
        <w:rPr>
          <w:shd w:val="clear" w:color="auto" w:fill="FFFFFF"/>
        </w:rPr>
        <w:t>4</w:t>
      </w:r>
      <w:r w:rsidR="00210F89" w:rsidRPr="00210F89">
        <w:rPr>
          <w:shd w:val="clear" w:color="auto" w:fill="FFFFFF"/>
          <w:vertAlign w:val="superscript"/>
        </w:rPr>
        <w:t>*</w:t>
      </w:r>
      <w:r w:rsidR="00BB1D75">
        <w:rPr>
          <w:shd w:val="clear" w:color="auto" w:fill="FFFFFF"/>
        </w:rPr>
        <w:t xml:space="preserve">. </w:t>
      </w:r>
    </w:p>
    <w:p w:rsidR="004E61ED" w:rsidRDefault="008A1D0D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Dla większości składowych wskaźnika odnotowano nieznaczną</w:t>
      </w:r>
      <w:r w:rsidR="004F24C3">
        <w:rPr>
          <w:shd w:val="clear" w:color="auto" w:fill="FFFFFF"/>
        </w:rPr>
        <w:t xml:space="preserve"> poprawę w stosunku do p</w:t>
      </w:r>
      <w:r w:rsidR="004F24C3">
        <w:rPr>
          <w:shd w:val="clear" w:color="auto" w:fill="FFFFFF"/>
        </w:rPr>
        <w:t>o</w:t>
      </w:r>
      <w:r w:rsidR="004F24C3">
        <w:rPr>
          <w:shd w:val="clear" w:color="auto" w:fill="FFFFFF"/>
        </w:rPr>
        <w:t xml:space="preserve">przedniego miesiąca. Największe wzrosty wystąpiły w przypadku </w:t>
      </w:r>
      <w:r w:rsidR="00562F4D">
        <w:rPr>
          <w:shd w:val="clear" w:color="auto" w:fill="FFFFFF"/>
        </w:rPr>
        <w:t xml:space="preserve">ocen </w:t>
      </w:r>
      <w:r w:rsidR="00BB1D75">
        <w:rPr>
          <w:shd w:val="clear" w:color="auto" w:fill="FFFFFF"/>
        </w:rPr>
        <w:t>przyszłej sytuacji ek</w:t>
      </w:r>
      <w:r w:rsidR="00BB1D75">
        <w:rPr>
          <w:shd w:val="clear" w:color="auto" w:fill="FFFFFF"/>
        </w:rPr>
        <w:t>o</w:t>
      </w:r>
      <w:r w:rsidR="00BB1D75">
        <w:rPr>
          <w:shd w:val="clear" w:color="auto" w:fill="FFFFFF"/>
        </w:rPr>
        <w:t xml:space="preserve">nomicznej kraju oraz możliwości przyszłego </w:t>
      </w:r>
      <w:r w:rsidR="00475BA8">
        <w:rPr>
          <w:shd w:val="clear" w:color="auto" w:fill="FFFFFF"/>
        </w:rPr>
        <w:t>oszczędzania p</w:t>
      </w:r>
      <w:r w:rsidR="00562F4D">
        <w:rPr>
          <w:shd w:val="clear" w:color="auto" w:fill="FFFFFF"/>
        </w:rPr>
        <w:t>ieniędzy</w:t>
      </w:r>
      <w:r>
        <w:rPr>
          <w:shd w:val="clear" w:color="auto" w:fill="FFFFFF"/>
        </w:rPr>
        <w:t xml:space="preserve"> (w obu przypadkach o 0,7 p. proc.)</w:t>
      </w:r>
      <w:r w:rsidR="006962BC">
        <w:rPr>
          <w:shd w:val="clear" w:color="auto" w:fill="FFFFFF"/>
        </w:rPr>
        <w:t xml:space="preserve">. </w:t>
      </w:r>
      <w:r w:rsidR="00E57ABD">
        <w:rPr>
          <w:shd w:val="clear" w:color="auto" w:fill="FFFFFF"/>
        </w:rPr>
        <w:t>Spadek wartości</w:t>
      </w:r>
      <w:r>
        <w:rPr>
          <w:shd w:val="clear" w:color="auto" w:fill="FFFFFF"/>
        </w:rPr>
        <w:t xml:space="preserve"> </w:t>
      </w:r>
      <w:r w:rsidR="00A33D0D">
        <w:rPr>
          <w:shd w:val="clear" w:color="auto" w:fill="FFFFFF"/>
        </w:rPr>
        <w:t>odnotowano dla oceny przyszłego poziomu bezrobocia</w:t>
      </w:r>
      <w:r>
        <w:rPr>
          <w:shd w:val="clear" w:color="auto" w:fill="FFFFFF"/>
        </w:rPr>
        <w:t xml:space="preserve"> (mniej</w:t>
      </w:r>
      <w:r w:rsidRPr="008A1D0D">
        <w:rPr>
          <w:shd w:val="clear" w:color="auto" w:fill="FFFFFF"/>
        </w:rPr>
        <w:t xml:space="preserve"> </w:t>
      </w:r>
      <w:r>
        <w:rPr>
          <w:shd w:val="clear" w:color="auto" w:fill="FFFFFF"/>
        </w:rPr>
        <w:t>o 1,8 p. proc).</w:t>
      </w:r>
    </w:p>
    <w:p w:rsidR="00A06A63" w:rsidRPr="00655E7E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0A296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sierpniu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br. WWUK osiągnął wartość o </w:t>
      </w:r>
      <w:r w:rsidR="002253F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0,3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  <w:r w:rsidR="002253F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niższą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niż w analogicznym miesiącu 2017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r.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GridTableLight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0"/>
        <w:gridCol w:w="599"/>
        <w:gridCol w:w="1070"/>
        <w:gridCol w:w="1099"/>
        <w:gridCol w:w="1027"/>
        <w:gridCol w:w="1093"/>
        <w:gridCol w:w="1182"/>
        <w:gridCol w:w="1309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wej gospodarstwa dom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-1,7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12,2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4,9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6,5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B412A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-1,9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-8,3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-2,0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-3,8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-0,8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4,8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5,7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5,4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</w:tr>
      <w:tr w:rsidR="00781A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1AED" w:rsidRPr="004E61ED" w:rsidRDefault="00781A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508E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</w:tr>
      <w:tr w:rsidR="008D61B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Pr="004E61ED" w:rsidRDefault="004C5E3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4C5E3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54AB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B412A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D0D" w:rsidRPr="0093660E" w:rsidRDefault="008A1D0D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8A1D0D" w:rsidRPr="0093660E" w:rsidRDefault="008A1D0D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FD7BD2" w:rsidRDefault="00FB5906" w:rsidP="00072F74">
      <w:pPr>
        <w:pStyle w:val="tytuwykresu"/>
        <w:ind w:left="851" w:hanging="851"/>
        <w:rPr>
          <w:shd w:val="clear" w:color="auto" w:fill="FFFFFF"/>
        </w:rPr>
      </w:pPr>
      <w:r w:rsidRPr="00C15772">
        <w:lastRenderedPageBreak/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FA3782">
        <w:rPr>
          <w:shd w:val="clear" w:color="auto" w:fill="FFFFFF"/>
        </w:rPr>
        <w:t>miesięcy w</w:t>
      </w:r>
      <w:r w:rsidR="00FA3782" w:rsidRPr="00C15772">
        <w:rPr>
          <w:shd w:val="clear" w:color="auto" w:fill="FFFFFF"/>
        </w:rPr>
        <w:t xml:space="preserve"> </w:t>
      </w:r>
      <w:r w:rsidR="00FA3782">
        <w:rPr>
          <w:shd w:val="clear" w:color="auto" w:fill="FFFFFF"/>
        </w:rPr>
        <w:t>latach</w:t>
      </w:r>
      <w:r w:rsidR="00FA3782" w:rsidRPr="00C15772">
        <w:rPr>
          <w:shd w:val="clear" w:color="auto" w:fill="FFFFFF"/>
        </w:rPr>
        <w:t xml:space="preserve"> 2015–2018</w:t>
      </w:r>
    </w:p>
    <w:p w:rsidR="00053B77" w:rsidRDefault="00FA3782" w:rsidP="00FA378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59616" behindDoc="0" locked="0" layoutInCell="1" allowOverlap="1" wp14:anchorId="04217C09" wp14:editId="13A0227D">
            <wp:simplePos x="0" y="0"/>
            <wp:positionH relativeFrom="margin">
              <wp:posOffset>150495</wp:posOffset>
            </wp:positionH>
            <wp:positionV relativeFrom="margin">
              <wp:posOffset>531495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A3782" w:rsidP="00A866F2">
      <w:pPr>
        <w:tabs>
          <w:tab w:val="left" w:pos="3218"/>
        </w:tabs>
      </w:pPr>
      <w:bookmarkStart w:id="0" w:name="_GoBack"/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61664" behindDoc="0" locked="0" layoutInCell="1" allowOverlap="1" wp14:anchorId="2CA3209B" wp14:editId="09269774">
            <wp:simplePos x="0" y="0"/>
            <wp:positionH relativeFrom="margin">
              <wp:posOffset>150495</wp:posOffset>
            </wp:positionH>
            <wp:positionV relativeFrom="margin">
              <wp:posOffset>4825365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D7BD2">
        <w:tab/>
      </w:r>
    </w:p>
    <w:tbl>
      <w:tblPr>
        <w:tblStyle w:val="GridTableLight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72"/>
        <w:gridCol w:w="634"/>
        <w:gridCol w:w="1323"/>
        <w:gridCol w:w="1377"/>
        <w:gridCol w:w="1471"/>
        <w:gridCol w:w="1258"/>
        <w:gridCol w:w="1309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-4,4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</w:tr>
      <w:tr w:rsidR="00BF050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F0508" w:rsidRPr="004E61ED" w:rsidRDefault="00BF050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4E61ED" w:rsidRDefault="00BF050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F0508" w:rsidRPr="002A3665" w:rsidRDefault="006C154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E53C7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3C71" w:rsidRPr="004E61ED" w:rsidRDefault="00E53C7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E53C7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454AB8">
              <w:rPr>
                <w:rFonts w:cs="Arial"/>
                <w:sz w:val="14"/>
                <w:szCs w:val="20"/>
              </w:rPr>
              <w:t>,0</w:t>
            </w:r>
          </w:p>
        </w:tc>
      </w:tr>
      <w:tr w:rsidR="00454AB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B412A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D0D" w:rsidRPr="0093660E" w:rsidRDefault="008A1D0D" w:rsidP="0093660E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</w:t>
                            </w: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8A1D0D" w:rsidRPr="0093660E" w:rsidRDefault="008A1D0D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8A1D0D" w:rsidRPr="0093660E" w:rsidRDefault="008A1D0D" w:rsidP="0093660E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8A1D0D" w:rsidRPr="0093660E" w:rsidRDefault="008A1D0D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CF6348" w:rsidRDefault="00CF6348" w:rsidP="00C562B2">
      <w:pPr>
        <w:pStyle w:val="tytuwykresu"/>
        <w:ind w:left="851" w:hanging="851"/>
      </w:pP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A217E6" w:rsidRPr="00C15772">
        <w:rPr>
          <w:shd w:val="clear" w:color="auto" w:fill="FFFFFF"/>
        </w:rPr>
        <w:t xml:space="preserve"> 2015–2018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D0D" w:rsidRPr="003B3271" w:rsidRDefault="008A1D0D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8A1D0D" w:rsidRPr="003B3271" w:rsidRDefault="008A1D0D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chicago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FA3782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2" w:history="1">
              <w:r w:rsidR="0052620B" w:rsidRPr="00655E7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530074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530074">
              <w:rPr>
                <w:b/>
                <w:sz w:val="20"/>
                <w:lang w:val="en-US"/>
              </w:rPr>
              <w:t>faks</w:t>
            </w:r>
            <w:proofErr w:type="spellEnd"/>
            <w:r w:rsidRPr="00530074">
              <w:rPr>
                <w:b/>
                <w:sz w:val="20"/>
                <w:lang w:val="en-US"/>
              </w:rPr>
              <w:t>:</w:t>
            </w:r>
            <w:r w:rsidR="00097840" w:rsidRPr="00530074">
              <w:rPr>
                <w:sz w:val="20"/>
                <w:lang w:val="en-US"/>
              </w:rPr>
              <w:t xml:space="preserve"> 22</w:t>
            </w:r>
            <w:r w:rsidRPr="00530074">
              <w:rPr>
                <w:sz w:val="20"/>
                <w:lang w:val="en-US"/>
              </w:rPr>
              <w:t xml:space="preserve"> 608 38 86 </w:t>
            </w:r>
          </w:p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e-mail:</w:t>
            </w:r>
            <w:r w:rsidRPr="00530074">
              <w:rPr>
                <w:sz w:val="20"/>
                <w:lang w:val="en-US"/>
              </w:rPr>
              <w:t xml:space="preserve"> </w:t>
            </w:r>
            <w:hyperlink r:id="rId24" w:history="1">
              <w:r w:rsidRPr="00530074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D0D" w:rsidRDefault="008A1D0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8A1D0D" w:rsidRPr="00C51D06" w:rsidRDefault="008A1D0D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8A1D0D" w:rsidRPr="00F65B91" w:rsidRDefault="00461AAF" w:rsidP="009942D1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8A1D0D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lipcu 2018 roku</w:t>
                              </w:r>
                            </w:hyperlink>
                          </w:p>
                          <w:p w:rsidR="008A1D0D" w:rsidRPr="00C51D06" w:rsidRDefault="00461AAF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8A1D0D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6/2018</w:t>
                              </w:r>
                            </w:hyperlink>
                          </w:p>
                          <w:p w:rsidR="008A1D0D" w:rsidRPr="00C51D06" w:rsidRDefault="008A1D0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A1D0D" w:rsidRPr="00655E7E" w:rsidRDefault="008A1D0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A1D0D" w:rsidRPr="00E827EF" w:rsidRDefault="00461AA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A1D0D" w:rsidRPr="00E827E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8A1D0D" w:rsidRPr="00C267CA" w:rsidRDefault="008A1D0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029F7C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8A1D0D" w:rsidRDefault="008A1D0D" w:rsidP="00AB6D25">
                      <w:pPr>
                        <w:rPr>
                          <w:b/>
                        </w:rPr>
                      </w:pPr>
                    </w:p>
                    <w:p w:rsidR="008A1D0D" w:rsidRPr="00C51D06" w:rsidRDefault="008A1D0D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8A1D0D" w:rsidRPr="00F65B91" w:rsidRDefault="008A1D0D" w:rsidP="009942D1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 lipcu 2018 roku</w:t>
                        </w:r>
                      </w:hyperlink>
                    </w:p>
                    <w:p w:rsidR="008A1D0D" w:rsidRPr="00C51D06" w:rsidRDefault="008A1D0D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Biuletyn Statystyczny Nr 6/2018</w:t>
                        </w:r>
                      </w:hyperlink>
                    </w:p>
                    <w:p w:rsidR="008A1D0D" w:rsidRPr="00C51D06" w:rsidRDefault="008A1D0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A1D0D" w:rsidRPr="00655E7E" w:rsidRDefault="008A1D0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A1D0D" w:rsidRPr="00E827EF" w:rsidRDefault="008A1D0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Pr="00E827E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8A1D0D" w:rsidRPr="00C267CA" w:rsidRDefault="008A1D0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AF" w:rsidRDefault="00461AAF" w:rsidP="000662E2">
      <w:pPr>
        <w:spacing w:after="0" w:line="240" w:lineRule="auto"/>
      </w:pPr>
      <w:r>
        <w:separator/>
      </w:r>
    </w:p>
  </w:endnote>
  <w:endnote w:type="continuationSeparator" w:id="0">
    <w:p w:rsidR="00461AAF" w:rsidRDefault="00461AA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charset w:val="EE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410854"/>
      <w:docPartObj>
        <w:docPartGallery w:val="Page Numbers (Bottom of Page)"/>
        <w:docPartUnique/>
      </w:docPartObj>
    </w:sdtPr>
    <w:sdtEndPr/>
    <w:sdtContent>
      <w:p w:rsidR="008A1D0D" w:rsidRDefault="008A1D0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782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21397"/>
      <w:docPartObj>
        <w:docPartGallery w:val="Page Numbers (Bottom of Page)"/>
        <w:docPartUnique/>
      </w:docPartObj>
    </w:sdtPr>
    <w:sdtEndPr/>
    <w:sdtContent>
      <w:p w:rsidR="008A1D0D" w:rsidRDefault="008A1D0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78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8A1D0D" w:rsidRDefault="008A1D0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78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AF" w:rsidRDefault="00461AAF" w:rsidP="000662E2">
      <w:pPr>
        <w:spacing w:after="0" w:line="240" w:lineRule="auto"/>
      </w:pPr>
      <w:r>
        <w:separator/>
      </w:r>
    </w:p>
  </w:footnote>
  <w:footnote w:type="continuationSeparator" w:id="0">
    <w:p w:rsidR="00461AAF" w:rsidRDefault="00461AAF" w:rsidP="000662E2">
      <w:pPr>
        <w:spacing w:after="0" w:line="240" w:lineRule="auto"/>
      </w:pPr>
      <w:r>
        <w:continuationSeparator/>
      </w:r>
    </w:p>
  </w:footnote>
  <w:footnote w:id="1">
    <w:p w:rsidR="008A1D0D" w:rsidRPr="00EC6435" w:rsidRDefault="008A1D0D" w:rsidP="005B3A86">
      <w:pPr>
        <w:pStyle w:val="Default"/>
        <w:rPr>
          <w:rFonts w:ascii="Fira Sans" w:hAnsi="Fira Sans" w:cs="Fira Sans"/>
        </w:rPr>
      </w:pPr>
      <w:r>
        <w:rPr>
          <w:rStyle w:val="Odwoanieprzypisudolnego"/>
        </w:rPr>
        <w:footnoteRef/>
      </w:r>
      <w:r>
        <w:t xml:space="preserve"> </w:t>
      </w:r>
      <w:r w:rsidRPr="00210F89">
        <w:rPr>
          <w:rFonts w:ascii="Fira Sans" w:hAnsi="Fira Sans" w:cs="Fira Sans"/>
          <w:sz w:val="16"/>
          <w:szCs w:val="19"/>
        </w:rPr>
        <w:t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</w:t>
      </w:r>
      <w:r w:rsidRPr="00210F89">
        <w:rPr>
          <w:rFonts w:ascii="Fira Sans" w:hAnsi="Fira Sans" w:cs="Fira Sans"/>
          <w:sz w:val="16"/>
          <w:szCs w:val="19"/>
        </w:rPr>
        <w:t>i</w:t>
      </w:r>
      <w:r w:rsidRPr="00210F89">
        <w:rPr>
          <w:rFonts w:ascii="Fira Sans" w:hAnsi="Fira Sans" w:cs="Fira Sans"/>
          <w:sz w:val="16"/>
          <w:szCs w:val="19"/>
        </w:rPr>
        <w:t xml:space="preserve">stycznie nad konsumentami nastawionymi optymistycznie. </w:t>
      </w:r>
      <w:r w:rsidRPr="00210F89">
        <w:rPr>
          <w:rFonts w:ascii="Fira Sans" w:hAnsi="Fira Sans"/>
          <w:noProof/>
          <w:sz w:val="16"/>
        </w:rPr>
        <w:t xml:space="preserve">W </w:t>
      </w:r>
      <w:r>
        <w:rPr>
          <w:rFonts w:ascii="Fira Sans" w:hAnsi="Fira Sans"/>
          <w:noProof/>
          <w:sz w:val="16"/>
        </w:rPr>
        <w:t>sierpniu 2018 r. przeprowadzono 1232 wywiady</w:t>
      </w:r>
      <w:r w:rsidRPr="00210F89">
        <w:rPr>
          <w:rFonts w:ascii="Fira Sans" w:hAnsi="Fira Sans"/>
          <w:noProof/>
          <w:sz w:val="16"/>
        </w:rPr>
        <w:t xml:space="preserve"> w</w:t>
      </w:r>
      <w:r>
        <w:rPr>
          <w:rFonts w:ascii="Fira Sans" w:hAnsi="Fira Sans"/>
          <w:noProof/>
          <w:sz w:val="16"/>
        </w:rPr>
        <w:t> </w:t>
      </w:r>
      <w:r w:rsidRPr="00210F89">
        <w:rPr>
          <w:rFonts w:ascii="Fira Sans" w:hAnsi="Fira Sans"/>
          <w:noProof/>
          <w:sz w:val="16"/>
        </w:rPr>
        <w:t>ok</w:t>
      </w:r>
      <w:r>
        <w:rPr>
          <w:rFonts w:ascii="Fira Sans" w:hAnsi="Fira Sans"/>
          <w:noProof/>
          <w:sz w:val="16"/>
        </w:rPr>
        <w:t>resie 06-16.08.2018 r. (w tym 73</w:t>
      </w:r>
      <w:r w:rsidRPr="00210F89">
        <w:rPr>
          <w:rFonts w:ascii="Fira Sans" w:hAnsi="Fira Sans"/>
          <w:noProof/>
          <w:sz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0D" w:rsidRDefault="008A1D0D">
    <w:pPr>
      <w:pStyle w:val="Nagwek"/>
    </w:pPr>
  </w:p>
  <w:p w:rsidR="008A1D0D" w:rsidRDefault="008A1D0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0D" w:rsidRDefault="008A1D0D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A1D0D" w:rsidRPr="003C6C8D" w:rsidRDefault="008A1D0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A1D0D" w:rsidRPr="003C6C8D" w:rsidRDefault="008A1D0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8A1D0D" w:rsidRDefault="008A1D0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1D0D" w:rsidRPr="00C97596" w:rsidRDefault="008A1D0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23.08.2018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8A1D0D" w:rsidRPr="00C97596" w:rsidRDefault="008A1D0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23.08.2018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0D" w:rsidRDefault="008A1D0D">
    <w:pPr>
      <w:pStyle w:val="Nagwek"/>
    </w:pPr>
  </w:p>
  <w:p w:rsidR="008A1D0D" w:rsidRDefault="008A1D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47B35"/>
    <w:rsid w:val="00051607"/>
    <w:rsid w:val="00051E07"/>
    <w:rsid w:val="00053B77"/>
    <w:rsid w:val="00057CA1"/>
    <w:rsid w:val="000662E2"/>
    <w:rsid w:val="00066883"/>
    <w:rsid w:val="00072F74"/>
    <w:rsid w:val="00074DD8"/>
    <w:rsid w:val="000806E2"/>
    <w:rsid w:val="000806F7"/>
    <w:rsid w:val="00086288"/>
    <w:rsid w:val="00087858"/>
    <w:rsid w:val="00092223"/>
    <w:rsid w:val="00097840"/>
    <w:rsid w:val="000A296E"/>
    <w:rsid w:val="000B0727"/>
    <w:rsid w:val="000B0D27"/>
    <w:rsid w:val="000B5253"/>
    <w:rsid w:val="000C135D"/>
    <w:rsid w:val="000C5F1F"/>
    <w:rsid w:val="000D0352"/>
    <w:rsid w:val="000D1D43"/>
    <w:rsid w:val="000D225C"/>
    <w:rsid w:val="000D29F7"/>
    <w:rsid w:val="000D2A5C"/>
    <w:rsid w:val="000E0918"/>
    <w:rsid w:val="000E2680"/>
    <w:rsid w:val="000E60B4"/>
    <w:rsid w:val="000E615F"/>
    <w:rsid w:val="000F55BC"/>
    <w:rsid w:val="001011C3"/>
    <w:rsid w:val="00107A73"/>
    <w:rsid w:val="00110D87"/>
    <w:rsid w:val="00113C04"/>
    <w:rsid w:val="00114DB9"/>
    <w:rsid w:val="0011502A"/>
    <w:rsid w:val="00116087"/>
    <w:rsid w:val="001174F6"/>
    <w:rsid w:val="0012106E"/>
    <w:rsid w:val="001258BC"/>
    <w:rsid w:val="00130296"/>
    <w:rsid w:val="00131F96"/>
    <w:rsid w:val="00133BFC"/>
    <w:rsid w:val="001423B6"/>
    <w:rsid w:val="001448A7"/>
    <w:rsid w:val="00146621"/>
    <w:rsid w:val="0015506A"/>
    <w:rsid w:val="00162325"/>
    <w:rsid w:val="00162C4B"/>
    <w:rsid w:val="00181035"/>
    <w:rsid w:val="00183CE4"/>
    <w:rsid w:val="00192832"/>
    <w:rsid w:val="001951DA"/>
    <w:rsid w:val="00197987"/>
    <w:rsid w:val="00197B94"/>
    <w:rsid w:val="001C3269"/>
    <w:rsid w:val="001C42EB"/>
    <w:rsid w:val="001D1DB4"/>
    <w:rsid w:val="001D2AA0"/>
    <w:rsid w:val="001D7E17"/>
    <w:rsid w:val="001F2A20"/>
    <w:rsid w:val="00210F89"/>
    <w:rsid w:val="002253F4"/>
    <w:rsid w:val="00227C24"/>
    <w:rsid w:val="00255158"/>
    <w:rsid w:val="002574F9"/>
    <w:rsid w:val="00262B61"/>
    <w:rsid w:val="00262E7F"/>
    <w:rsid w:val="00276811"/>
    <w:rsid w:val="00282699"/>
    <w:rsid w:val="00285ED8"/>
    <w:rsid w:val="002926DF"/>
    <w:rsid w:val="0029516C"/>
    <w:rsid w:val="00296697"/>
    <w:rsid w:val="002971E7"/>
    <w:rsid w:val="002A3665"/>
    <w:rsid w:val="002B0472"/>
    <w:rsid w:val="002B2112"/>
    <w:rsid w:val="002B6B12"/>
    <w:rsid w:val="002C458A"/>
    <w:rsid w:val="002D5918"/>
    <w:rsid w:val="002D77BE"/>
    <w:rsid w:val="002E0940"/>
    <w:rsid w:val="002E14C1"/>
    <w:rsid w:val="002E6140"/>
    <w:rsid w:val="002E6985"/>
    <w:rsid w:val="002E71B6"/>
    <w:rsid w:val="002F027A"/>
    <w:rsid w:val="002F22D2"/>
    <w:rsid w:val="002F5124"/>
    <w:rsid w:val="002F77C8"/>
    <w:rsid w:val="0030476F"/>
    <w:rsid w:val="00304F22"/>
    <w:rsid w:val="00306C7C"/>
    <w:rsid w:val="00320B84"/>
    <w:rsid w:val="00322EDD"/>
    <w:rsid w:val="00332320"/>
    <w:rsid w:val="003346B1"/>
    <w:rsid w:val="003350E9"/>
    <w:rsid w:val="00341AC1"/>
    <w:rsid w:val="00345AB6"/>
    <w:rsid w:val="00347D72"/>
    <w:rsid w:val="00351316"/>
    <w:rsid w:val="0035420B"/>
    <w:rsid w:val="00357611"/>
    <w:rsid w:val="00367237"/>
    <w:rsid w:val="003701DE"/>
    <w:rsid w:val="0037077F"/>
    <w:rsid w:val="00372411"/>
    <w:rsid w:val="00373882"/>
    <w:rsid w:val="00377B67"/>
    <w:rsid w:val="00380DFD"/>
    <w:rsid w:val="003843DB"/>
    <w:rsid w:val="00393761"/>
    <w:rsid w:val="00394115"/>
    <w:rsid w:val="00396FC5"/>
    <w:rsid w:val="00397D18"/>
    <w:rsid w:val="003A0714"/>
    <w:rsid w:val="003A1B36"/>
    <w:rsid w:val="003A3169"/>
    <w:rsid w:val="003B1454"/>
    <w:rsid w:val="003B18B6"/>
    <w:rsid w:val="003B3271"/>
    <w:rsid w:val="003C019D"/>
    <w:rsid w:val="003C59E0"/>
    <w:rsid w:val="003C6C8D"/>
    <w:rsid w:val="003C78F1"/>
    <w:rsid w:val="003D01F8"/>
    <w:rsid w:val="003D4F95"/>
    <w:rsid w:val="003D57EF"/>
    <w:rsid w:val="003D5F42"/>
    <w:rsid w:val="003D60A9"/>
    <w:rsid w:val="003E5F73"/>
    <w:rsid w:val="003F153D"/>
    <w:rsid w:val="003F450F"/>
    <w:rsid w:val="003F4C97"/>
    <w:rsid w:val="003F514B"/>
    <w:rsid w:val="003F7FE6"/>
    <w:rsid w:val="00400193"/>
    <w:rsid w:val="004013C9"/>
    <w:rsid w:val="00401F1A"/>
    <w:rsid w:val="00406761"/>
    <w:rsid w:val="00407D88"/>
    <w:rsid w:val="004212E7"/>
    <w:rsid w:val="0042446D"/>
    <w:rsid w:val="004266E2"/>
    <w:rsid w:val="00427BF8"/>
    <w:rsid w:val="00431318"/>
    <w:rsid w:val="00431C02"/>
    <w:rsid w:val="00437395"/>
    <w:rsid w:val="0044211B"/>
    <w:rsid w:val="00445047"/>
    <w:rsid w:val="00454AB8"/>
    <w:rsid w:val="00460614"/>
    <w:rsid w:val="00461AAF"/>
    <w:rsid w:val="00463E39"/>
    <w:rsid w:val="004657FC"/>
    <w:rsid w:val="00465D66"/>
    <w:rsid w:val="00466732"/>
    <w:rsid w:val="004733F6"/>
    <w:rsid w:val="00474E69"/>
    <w:rsid w:val="00475BA8"/>
    <w:rsid w:val="00483BB4"/>
    <w:rsid w:val="00486E1D"/>
    <w:rsid w:val="0049621B"/>
    <w:rsid w:val="00496F49"/>
    <w:rsid w:val="0049754B"/>
    <w:rsid w:val="004B2FF7"/>
    <w:rsid w:val="004B587A"/>
    <w:rsid w:val="004B7496"/>
    <w:rsid w:val="004C1895"/>
    <w:rsid w:val="004C5E33"/>
    <w:rsid w:val="004C6D40"/>
    <w:rsid w:val="004C78A8"/>
    <w:rsid w:val="004D268C"/>
    <w:rsid w:val="004D4078"/>
    <w:rsid w:val="004E312A"/>
    <w:rsid w:val="004E464A"/>
    <w:rsid w:val="004E61ED"/>
    <w:rsid w:val="004E6889"/>
    <w:rsid w:val="004F0C3C"/>
    <w:rsid w:val="004F24C3"/>
    <w:rsid w:val="004F63FC"/>
    <w:rsid w:val="004F7BB4"/>
    <w:rsid w:val="00500308"/>
    <w:rsid w:val="00500D94"/>
    <w:rsid w:val="00505A92"/>
    <w:rsid w:val="00505EA2"/>
    <w:rsid w:val="00510D9A"/>
    <w:rsid w:val="0051777B"/>
    <w:rsid w:val="005203F1"/>
    <w:rsid w:val="00521BC3"/>
    <w:rsid w:val="0052620B"/>
    <w:rsid w:val="00526FE9"/>
    <w:rsid w:val="00527458"/>
    <w:rsid w:val="00530074"/>
    <w:rsid w:val="00533632"/>
    <w:rsid w:val="005336B5"/>
    <w:rsid w:val="00534B5E"/>
    <w:rsid w:val="005357E1"/>
    <w:rsid w:val="0053753D"/>
    <w:rsid w:val="00541E6E"/>
    <w:rsid w:val="0054251F"/>
    <w:rsid w:val="00542EAD"/>
    <w:rsid w:val="005479B1"/>
    <w:rsid w:val="005520D8"/>
    <w:rsid w:val="00555E43"/>
    <w:rsid w:val="00556CF1"/>
    <w:rsid w:val="00561BB7"/>
    <w:rsid w:val="00562F4D"/>
    <w:rsid w:val="0057036A"/>
    <w:rsid w:val="005762A7"/>
    <w:rsid w:val="00581651"/>
    <w:rsid w:val="005916D7"/>
    <w:rsid w:val="005930D9"/>
    <w:rsid w:val="005A36AA"/>
    <w:rsid w:val="005A653B"/>
    <w:rsid w:val="005A698C"/>
    <w:rsid w:val="005A730E"/>
    <w:rsid w:val="005B3A86"/>
    <w:rsid w:val="005C433F"/>
    <w:rsid w:val="005E0799"/>
    <w:rsid w:val="005E0B91"/>
    <w:rsid w:val="005F0D73"/>
    <w:rsid w:val="005F4EA6"/>
    <w:rsid w:val="005F5A80"/>
    <w:rsid w:val="00600F7B"/>
    <w:rsid w:val="006044FF"/>
    <w:rsid w:val="00607CC5"/>
    <w:rsid w:val="00617810"/>
    <w:rsid w:val="00633014"/>
    <w:rsid w:val="0063437B"/>
    <w:rsid w:val="006404CD"/>
    <w:rsid w:val="0064135C"/>
    <w:rsid w:val="006508EE"/>
    <w:rsid w:val="00651FDC"/>
    <w:rsid w:val="00655E7E"/>
    <w:rsid w:val="00656AE2"/>
    <w:rsid w:val="00661ECB"/>
    <w:rsid w:val="00663D48"/>
    <w:rsid w:val="00665EB3"/>
    <w:rsid w:val="006673CA"/>
    <w:rsid w:val="00672418"/>
    <w:rsid w:val="00673C26"/>
    <w:rsid w:val="00676474"/>
    <w:rsid w:val="006765B6"/>
    <w:rsid w:val="006812AF"/>
    <w:rsid w:val="0068327D"/>
    <w:rsid w:val="00694AF0"/>
    <w:rsid w:val="00695B50"/>
    <w:rsid w:val="006962BC"/>
    <w:rsid w:val="006A4686"/>
    <w:rsid w:val="006A745A"/>
    <w:rsid w:val="006B0E9E"/>
    <w:rsid w:val="006B5AE4"/>
    <w:rsid w:val="006C154F"/>
    <w:rsid w:val="006C4C37"/>
    <w:rsid w:val="006D1507"/>
    <w:rsid w:val="006D4054"/>
    <w:rsid w:val="006D6C0E"/>
    <w:rsid w:val="006E02EC"/>
    <w:rsid w:val="006F05D5"/>
    <w:rsid w:val="007004AD"/>
    <w:rsid w:val="00707207"/>
    <w:rsid w:val="0071553E"/>
    <w:rsid w:val="00715683"/>
    <w:rsid w:val="007211B1"/>
    <w:rsid w:val="007443DC"/>
    <w:rsid w:val="00744F8A"/>
    <w:rsid w:val="00745D81"/>
    <w:rsid w:val="00746187"/>
    <w:rsid w:val="0076254F"/>
    <w:rsid w:val="00775052"/>
    <w:rsid w:val="00776AD6"/>
    <w:rsid w:val="007801F5"/>
    <w:rsid w:val="00780EB6"/>
    <w:rsid w:val="00781AED"/>
    <w:rsid w:val="007820A2"/>
    <w:rsid w:val="00783CA4"/>
    <w:rsid w:val="007842FB"/>
    <w:rsid w:val="00785650"/>
    <w:rsid w:val="00786124"/>
    <w:rsid w:val="0079514B"/>
    <w:rsid w:val="0079706E"/>
    <w:rsid w:val="007A2DC1"/>
    <w:rsid w:val="007A7B28"/>
    <w:rsid w:val="007B7753"/>
    <w:rsid w:val="007D3319"/>
    <w:rsid w:val="007D335D"/>
    <w:rsid w:val="007D6F6F"/>
    <w:rsid w:val="007E3314"/>
    <w:rsid w:val="007E4B03"/>
    <w:rsid w:val="007F324B"/>
    <w:rsid w:val="007F4E3D"/>
    <w:rsid w:val="008024D9"/>
    <w:rsid w:val="0080553C"/>
    <w:rsid w:val="00805B46"/>
    <w:rsid w:val="00812A08"/>
    <w:rsid w:val="0082137A"/>
    <w:rsid w:val="0082262A"/>
    <w:rsid w:val="0082543E"/>
    <w:rsid w:val="00825DC2"/>
    <w:rsid w:val="00834AD3"/>
    <w:rsid w:val="00843795"/>
    <w:rsid w:val="00847F0F"/>
    <w:rsid w:val="0085237B"/>
    <w:rsid w:val="00852448"/>
    <w:rsid w:val="00866947"/>
    <w:rsid w:val="0088258A"/>
    <w:rsid w:val="00886332"/>
    <w:rsid w:val="00886CAB"/>
    <w:rsid w:val="00887A82"/>
    <w:rsid w:val="008908A3"/>
    <w:rsid w:val="00891FF7"/>
    <w:rsid w:val="00897772"/>
    <w:rsid w:val="008979AA"/>
    <w:rsid w:val="008A1D0D"/>
    <w:rsid w:val="008A26D9"/>
    <w:rsid w:val="008A2F86"/>
    <w:rsid w:val="008B77C0"/>
    <w:rsid w:val="008C0C29"/>
    <w:rsid w:val="008C2B4B"/>
    <w:rsid w:val="008D61B1"/>
    <w:rsid w:val="008E39CE"/>
    <w:rsid w:val="008F3638"/>
    <w:rsid w:val="008F4441"/>
    <w:rsid w:val="008F6F31"/>
    <w:rsid w:val="008F74DF"/>
    <w:rsid w:val="0090176A"/>
    <w:rsid w:val="00907522"/>
    <w:rsid w:val="009127BA"/>
    <w:rsid w:val="00914E6D"/>
    <w:rsid w:val="009227A6"/>
    <w:rsid w:val="00924F4C"/>
    <w:rsid w:val="00931755"/>
    <w:rsid w:val="00933EC1"/>
    <w:rsid w:val="0093660E"/>
    <w:rsid w:val="00942142"/>
    <w:rsid w:val="009508AE"/>
    <w:rsid w:val="009530DB"/>
    <w:rsid w:val="00953676"/>
    <w:rsid w:val="009601C9"/>
    <w:rsid w:val="00967DF8"/>
    <w:rsid w:val="009705EE"/>
    <w:rsid w:val="00977927"/>
    <w:rsid w:val="0098135C"/>
    <w:rsid w:val="0098156A"/>
    <w:rsid w:val="00991BAC"/>
    <w:rsid w:val="009942D1"/>
    <w:rsid w:val="00997879"/>
    <w:rsid w:val="009A5A6D"/>
    <w:rsid w:val="009A6EA0"/>
    <w:rsid w:val="009B171E"/>
    <w:rsid w:val="009C1335"/>
    <w:rsid w:val="009C1AB2"/>
    <w:rsid w:val="009C7251"/>
    <w:rsid w:val="009E2E91"/>
    <w:rsid w:val="009F096D"/>
    <w:rsid w:val="009F1339"/>
    <w:rsid w:val="009F5774"/>
    <w:rsid w:val="009F5AAF"/>
    <w:rsid w:val="009F7114"/>
    <w:rsid w:val="009F71F6"/>
    <w:rsid w:val="00A0582E"/>
    <w:rsid w:val="00A06A63"/>
    <w:rsid w:val="00A10177"/>
    <w:rsid w:val="00A139F5"/>
    <w:rsid w:val="00A201E6"/>
    <w:rsid w:val="00A217E6"/>
    <w:rsid w:val="00A2214D"/>
    <w:rsid w:val="00A33D0D"/>
    <w:rsid w:val="00A35C72"/>
    <w:rsid w:val="00A365F4"/>
    <w:rsid w:val="00A47D09"/>
    <w:rsid w:val="00A47D80"/>
    <w:rsid w:val="00A53132"/>
    <w:rsid w:val="00A563F2"/>
    <w:rsid w:val="00A566E8"/>
    <w:rsid w:val="00A6713B"/>
    <w:rsid w:val="00A77879"/>
    <w:rsid w:val="00A810F9"/>
    <w:rsid w:val="00A866F2"/>
    <w:rsid w:val="00A86ECC"/>
    <w:rsid w:val="00A86FCC"/>
    <w:rsid w:val="00AA5262"/>
    <w:rsid w:val="00AA710D"/>
    <w:rsid w:val="00AB2C3E"/>
    <w:rsid w:val="00AB6D25"/>
    <w:rsid w:val="00AC2AC4"/>
    <w:rsid w:val="00AC5371"/>
    <w:rsid w:val="00AC77DC"/>
    <w:rsid w:val="00AD7676"/>
    <w:rsid w:val="00AE06C8"/>
    <w:rsid w:val="00AE2D4B"/>
    <w:rsid w:val="00AE4F99"/>
    <w:rsid w:val="00AE6789"/>
    <w:rsid w:val="00AF2F1E"/>
    <w:rsid w:val="00B00C09"/>
    <w:rsid w:val="00B11B69"/>
    <w:rsid w:val="00B12FBA"/>
    <w:rsid w:val="00B14952"/>
    <w:rsid w:val="00B217DB"/>
    <w:rsid w:val="00B27B18"/>
    <w:rsid w:val="00B27B58"/>
    <w:rsid w:val="00B31E5A"/>
    <w:rsid w:val="00B35A63"/>
    <w:rsid w:val="00B403A1"/>
    <w:rsid w:val="00B412A3"/>
    <w:rsid w:val="00B4483E"/>
    <w:rsid w:val="00B46A9F"/>
    <w:rsid w:val="00B61924"/>
    <w:rsid w:val="00B653AB"/>
    <w:rsid w:val="00B65F9E"/>
    <w:rsid w:val="00B66B19"/>
    <w:rsid w:val="00B7120E"/>
    <w:rsid w:val="00B733EE"/>
    <w:rsid w:val="00B81262"/>
    <w:rsid w:val="00B81EBE"/>
    <w:rsid w:val="00B85DBF"/>
    <w:rsid w:val="00B86BCA"/>
    <w:rsid w:val="00B914E9"/>
    <w:rsid w:val="00B9163F"/>
    <w:rsid w:val="00B956EE"/>
    <w:rsid w:val="00BA2BA1"/>
    <w:rsid w:val="00BA3562"/>
    <w:rsid w:val="00BA6359"/>
    <w:rsid w:val="00BA76A2"/>
    <w:rsid w:val="00BB1D75"/>
    <w:rsid w:val="00BB4F09"/>
    <w:rsid w:val="00BC2DDB"/>
    <w:rsid w:val="00BC44E4"/>
    <w:rsid w:val="00BD1E7E"/>
    <w:rsid w:val="00BD4E33"/>
    <w:rsid w:val="00BF0508"/>
    <w:rsid w:val="00BF61D5"/>
    <w:rsid w:val="00C030DE"/>
    <w:rsid w:val="00C074FD"/>
    <w:rsid w:val="00C15772"/>
    <w:rsid w:val="00C22105"/>
    <w:rsid w:val="00C244B6"/>
    <w:rsid w:val="00C25087"/>
    <w:rsid w:val="00C267CA"/>
    <w:rsid w:val="00C3702F"/>
    <w:rsid w:val="00C4500A"/>
    <w:rsid w:val="00C51D06"/>
    <w:rsid w:val="00C558C4"/>
    <w:rsid w:val="00C562B2"/>
    <w:rsid w:val="00C60D38"/>
    <w:rsid w:val="00C62895"/>
    <w:rsid w:val="00C63004"/>
    <w:rsid w:val="00C63B7B"/>
    <w:rsid w:val="00C64240"/>
    <w:rsid w:val="00C64A37"/>
    <w:rsid w:val="00C7158E"/>
    <w:rsid w:val="00C717C9"/>
    <w:rsid w:val="00C7250B"/>
    <w:rsid w:val="00C7346B"/>
    <w:rsid w:val="00C77050"/>
    <w:rsid w:val="00C77C0E"/>
    <w:rsid w:val="00C81487"/>
    <w:rsid w:val="00C91687"/>
    <w:rsid w:val="00C924A8"/>
    <w:rsid w:val="00C945FE"/>
    <w:rsid w:val="00C96FAA"/>
    <w:rsid w:val="00C97A04"/>
    <w:rsid w:val="00CA107B"/>
    <w:rsid w:val="00CA484D"/>
    <w:rsid w:val="00CA495C"/>
    <w:rsid w:val="00CA4FB6"/>
    <w:rsid w:val="00CB1737"/>
    <w:rsid w:val="00CB1BA1"/>
    <w:rsid w:val="00CC28D0"/>
    <w:rsid w:val="00CC72A6"/>
    <w:rsid w:val="00CC739E"/>
    <w:rsid w:val="00CD178A"/>
    <w:rsid w:val="00CD217B"/>
    <w:rsid w:val="00CD49BB"/>
    <w:rsid w:val="00CD58B7"/>
    <w:rsid w:val="00CE5EF2"/>
    <w:rsid w:val="00CF4099"/>
    <w:rsid w:val="00CF6348"/>
    <w:rsid w:val="00D00796"/>
    <w:rsid w:val="00D029DF"/>
    <w:rsid w:val="00D052C7"/>
    <w:rsid w:val="00D24390"/>
    <w:rsid w:val="00D24C05"/>
    <w:rsid w:val="00D261A2"/>
    <w:rsid w:val="00D54347"/>
    <w:rsid w:val="00D60211"/>
    <w:rsid w:val="00D616D2"/>
    <w:rsid w:val="00D62602"/>
    <w:rsid w:val="00D63B5F"/>
    <w:rsid w:val="00D70EF7"/>
    <w:rsid w:val="00D8397C"/>
    <w:rsid w:val="00D90CB4"/>
    <w:rsid w:val="00D94EED"/>
    <w:rsid w:val="00D96026"/>
    <w:rsid w:val="00DA0438"/>
    <w:rsid w:val="00DA70BC"/>
    <w:rsid w:val="00DA7C1C"/>
    <w:rsid w:val="00DB147A"/>
    <w:rsid w:val="00DB1B7A"/>
    <w:rsid w:val="00DC0BD7"/>
    <w:rsid w:val="00DC6708"/>
    <w:rsid w:val="00DD01DA"/>
    <w:rsid w:val="00DD7916"/>
    <w:rsid w:val="00E01436"/>
    <w:rsid w:val="00E045BD"/>
    <w:rsid w:val="00E135B1"/>
    <w:rsid w:val="00E165BE"/>
    <w:rsid w:val="00E17B77"/>
    <w:rsid w:val="00E22C11"/>
    <w:rsid w:val="00E23337"/>
    <w:rsid w:val="00E2483C"/>
    <w:rsid w:val="00E259EA"/>
    <w:rsid w:val="00E32061"/>
    <w:rsid w:val="00E37334"/>
    <w:rsid w:val="00E41497"/>
    <w:rsid w:val="00E42FF9"/>
    <w:rsid w:val="00E4714C"/>
    <w:rsid w:val="00E51AEB"/>
    <w:rsid w:val="00E522A7"/>
    <w:rsid w:val="00E53C71"/>
    <w:rsid w:val="00E54452"/>
    <w:rsid w:val="00E57ABD"/>
    <w:rsid w:val="00E64BE7"/>
    <w:rsid w:val="00E664C5"/>
    <w:rsid w:val="00E671A2"/>
    <w:rsid w:val="00E76D26"/>
    <w:rsid w:val="00E77E1D"/>
    <w:rsid w:val="00E827EF"/>
    <w:rsid w:val="00E832ED"/>
    <w:rsid w:val="00EB1390"/>
    <w:rsid w:val="00EB2C71"/>
    <w:rsid w:val="00EB4340"/>
    <w:rsid w:val="00EB556D"/>
    <w:rsid w:val="00EB5A7D"/>
    <w:rsid w:val="00EC6435"/>
    <w:rsid w:val="00EC76B9"/>
    <w:rsid w:val="00ED55C0"/>
    <w:rsid w:val="00ED682B"/>
    <w:rsid w:val="00EE41D5"/>
    <w:rsid w:val="00EE5223"/>
    <w:rsid w:val="00EF6C6B"/>
    <w:rsid w:val="00F0121F"/>
    <w:rsid w:val="00F037A4"/>
    <w:rsid w:val="00F154DB"/>
    <w:rsid w:val="00F15F6E"/>
    <w:rsid w:val="00F27C8F"/>
    <w:rsid w:val="00F32323"/>
    <w:rsid w:val="00F32749"/>
    <w:rsid w:val="00F327B3"/>
    <w:rsid w:val="00F359FA"/>
    <w:rsid w:val="00F37172"/>
    <w:rsid w:val="00F4477E"/>
    <w:rsid w:val="00F45AD8"/>
    <w:rsid w:val="00F46013"/>
    <w:rsid w:val="00F478EF"/>
    <w:rsid w:val="00F65B91"/>
    <w:rsid w:val="00F6684A"/>
    <w:rsid w:val="00F6773E"/>
    <w:rsid w:val="00F67D8F"/>
    <w:rsid w:val="00F726A7"/>
    <w:rsid w:val="00F729F3"/>
    <w:rsid w:val="00F802BE"/>
    <w:rsid w:val="00F80E93"/>
    <w:rsid w:val="00F86024"/>
    <w:rsid w:val="00F8611A"/>
    <w:rsid w:val="00F87A89"/>
    <w:rsid w:val="00FA0634"/>
    <w:rsid w:val="00FA3782"/>
    <w:rsid w:val="00FA5128"/>
    <w:rsid w:val="00FA5F62"/>
    <w:rsid w:val="00FB42D4"/>
    <w:rsid w:val="00FB451B"/>
    <w:rsid w:val="00FB5906"/>
    <w:rsid w:val="00FB762F"/>
    <w:rsid w:val="00FC0725"/>
    <w:rsid w:val="00FC0EC4"/>
    <w:rsid w:val="00FC2AED"/>
    <w:rsid w:val="00FC64E0"/>
    <w:rsid w:val="00FD4F5A"/>
    <w:rsid w:val="00FD5EA7"/>
    <w:rsid w:val="00FD69E9"/>
    <w:rsid w:val="00FD7BD2"/>
    <w:rsid w:val="00FE6DF6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header" Target="header1.xm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4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SitePagesDBW/WarunkiZyciaLudnosci.aspx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header" Target="header2.xml"/><Relationship Id="rId29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obszary-tematyczne/koniunktura/koniunktura/koniunktura-w-przemysle-budownictwie-handlu-i-uslugach-lipiec-2018-r-,3,68.html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koniunktura/koniunktura/koniunktura-w-przemysle-budownictwie-handlu-i-uslugach-lipiec-2018-r-,3,68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yperlink" Target="mailto:i.ulanowska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waid.stat.gov.pl/SitePagesDBW/WarunkiZyciaLudnosci.aspx" TargetMode="Externa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37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 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37"/>
                <c:pt idx="0">
                  <c:v>-7.9</c:v>
                </c:pt>
                <c:pt idx="1">
                  <c:v>-9.9</c:v>
                </c:pt>
                <c:pt idx="2">
                  <c:v>-9.4</c:v>
                </c:pt>
                <c:pt idx="3">
                  <c:v>-3.9</c:v>
                </c:pt>
                <c:pt idx="4">
                  <c:v>-9.3000000000000007</c:v>
                </c:pt>
                <c:pt idx="5">
                  <c:v>-7</c:v>
                </c:pt>
                <c:pt idx="6">
                  <c:v>-6.2</c:v>
                </c:pt>
                <c:pt idx="7">
                  <c:v>-9.3000000000000007</c:v>
                </c:pt>
                <c:pt idx="8">
                  <c:v>-4.7</c:v>
                </c:pt>
                <c:pt idx="9">
                  <c:v>-6.7</c:v>
                </c:pt>
                <c:pt idx="10">
                  <c:v>-6.5</c:v>
                </c:pt>
                <c:pt idx="11">
                  <c:v>-5.6</c:v>
                </c:pt>
                <c:pt idx="12">
                  <c:v>-3.8</c:v>
                </c:pt>
                <c:pt idx="13">
                  <c:v>-2.4</c:v>
                </c:pt>
                <c:pt idx="14">
                  <c:v>-3.7</c:v>
                </c:pt>
                <c:pt idx="15">
                  <c:v>-2.4</c:v>
                </c:pt>
                <c:pt idx="16">
                  <c:v>-3.7</c:v>
                </c:pt>
                <c:pt idx="17">
                  <c:v>-1.2</c:v>
                </c:pt>
                <c:pt idx="18">
                  <c:v>-1.9</c:v>
                </c:pt>
                <c:pt idx="19">
                  <c:v>-2</c:v>
                </c:pt>
                <c:pt idx="20">
                  <c:v>-0.8</c:v>
                </c:pt>
                <c:pt idx="21">
                  <c:v>3.1</c:v>
                </c:pt>
                <c:pt idx="22">
                  <c:v>4.8</c:v>
                </c:pt>
                <c:pt idx="23">
                  <c:v>4</c:v>
                </c:pt>
                <c:pt idx="24">
                  <c:v>5.7</c:v>
                </c:pt>
                <c:pt idx="25">
                  <c:v>5</c:v>
                </c:pt>
                <c:pt idx="26">
                  <c:v>4.5999999999999996</c:v>
                </c:pt>
                <c:pt idx="27">
                  <c:v>5.4</c:v>
                </c:pt>
                <c:pt idx="28">
                  <c:v>2.1</c:v>
                </c:pt>
                <c:pt idx="29">
                  <c:v>6.2</c:v>
                </c:pt>
                <c:pt idx="30">
                  <c:v>6.2</c:v>
                </c:pt>
                <c:pt idx="31" formatCode="0.0_)">
                  <c:v>5.4</c:v>
                </c:pt>
                <c:pt idx="32" formatCode="0.0_)">
                  <c:v>7.8</c:v>
                </c:pt>
                <c:pt idx="33">
                  <c:v>5.9</c:v>
                </c:pt>
                <c:pt idx="34">
                  <c:v>6.1</c:v>
                </c:pt>
                <c:pt idx="35">
                  <c:v>5.2</c:v>
                </c:pt>
                <c:pt idx="36">
                  <c:v>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0344960"/>
        <c:axId val="230355328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 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37"/>
                <c:pt idx="0">
                  <c:v>-8.1999999999999993</c:v>
                </c:pt>
                <c:pt idx="1">
                  <c:v>-10.6</c:v>
                </c:pt>
                <c:pt idx="2">
                  <c:v>-9.1999999999999993</c:v>
                </c:pt>
                <c:pt idx="3">
                  <c:v>-6.9</c:v>
                </c:pt>
                <c:pt idx="4">
                  <c:v>-8.1</c:v>
                </c:pt>
                <c:pt idx="5">
                  <c:v>-6.2</c:v>
                </c:pt>
                <c:pt idx="6">
                  <c:v>-5</c:v>
                </c:pt>
                <c:pt idx="7">
                  <c:v>-7.5</c:v>
                </c:pt>
                <c:pt idx="8">
                  <c:v>-5.6</c:v>
                </c:pt>
                <c:pt idx="9">
                  <c:v>-5</c:v>
                </c:pt>
                <c:pt idx="10">
                  <c:v>-2.4</c:v>
                </c:pt>
                <c:pt idx="11">
                  <c:v>-3.8</c:v>
                </c:pt>
                <c:pt idx="12">
                  <c:v>-4</c:v>
                </c:pt>
                <c:pt idx="13">
                  <c:v>-1.8</c:v>
                </c:pt>
                <c:pt idx="14">
                  <c:v>-2.7</c:v>
                </c:pt>
                <c:pt idx="15">
                  <c:v>0.4</c:v>
                </c:pt>
                <c:pt idx="16">
                  <c:v>-3.1</c:v>
                </c:pt>
                <c:pt idx="17">
                  <c:v>-1.2</c:v>
                </c:pt>
                <c:pt idx="18">
                  <c:v>-0.9</c:v>
                </c:pt>
                <c:pt idx="19">
                  <c:v>-0.2</c:v>
                </c:pt>
                <c:pt idx="20">
                  <c:v>0.5</c:v>
                </c:pt>
                <c:pt idx="21">
                  <c:v>0.8</c:v>
                </c:pt>
                <c:pt idx="22">
                  <c:v>2.2999999999999998</c:v>
                </c:pt>
                <c:pt idx="23">
                  <c:v>-0.3</c:v>
                </c:pt>
                <c:pt idx="24">
                  <c:v>2</c:v>
                </c:pt>
                <c:pt idx="25">
                  <c:v>0.6</c:v>
                </c:pt>
                <c:pt idx="26">
                  <c:v>-0.3</c:v>
                </c:pt>
                <c:pt idx="27">
                  <c:v>0.2</c:v>
                </c:pt>
                <c:pt idx="28">
                  <c:v>-2.4</c:v>
                </c:pt>
                <c:pt idx="29">
                  <c:v>1.5</c:v>
                </c:pt>
                <c:pt idx="30">
                  <c:v>0.1</c:v>
                </c:pt>
                <c:pt idx="31" formatCode="0.0_)">
                  <c:v>-2.9</c:v>
                </c:pt>
                <c:pt idx="32" formatCode="0.0_)">
                  <c:v>2.4</c:v>
                </c:pt>
                <c:pt idx="33">
                  <c:v>0.7</c:v>
                </c:pt>
                <c:pt idx="34">
                  <c:v>-0.6</c:v>
                </c:pt>
                <c:pt idx="35">
                  <c:v>1</c:v>
                </c:pt>
                <c:pt idx="36">
                  <c:v>2.9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 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37"/>
                <c:pt idx="0">
                  <c:v>-0.6</c:v>
                </c:pt>
                <c:pt idx="1">
                  <c:v>-3.9</c:v>
                </c:pt>
                <c:pt idx="2">
                  <c:v>-3.9</c:v>
                </c:pt>
                <c:pt idx="3">
                  <c:v>2.6</c:v>
                </c:pt>
                <c:pt idx="4">
                  <c:v>-2.6</c:v>
                </c:pt>
                <c:pt idx="5">
                  <c:v>0.6</c:v>
                </c:pt>
                <c:pt idx="6">
                  <c:v>2.2999999999999998</c:v>
                </c:pt>
                <c:pt idx="7">
                  <c:v>-0.5</c:v>
                </c:pt>
                <c:pt idx="8">
                  <c:v>3.4</c:v>
                </c:pt>
                <c:pt idx="9">
                  <c:v>0.4</c:v>
                </c:pt>
                <c:pt idx="10">
                  <c:v>0.1</c:v>
                </c:pt>
                <c:pt idx="11">
                  <c:v>-0.2</c:v>
                </c:pt>
                <c:pt idx="12">
                  <c:v>0.8</c:v>
                </c:pt>
                <c:pt idx="13">
                  <c:v>1.6</c:v>
                </c:pt>
                <c:pt idx="14">
                  <c:v>-0.6</c:v>
                </c:pt>
                <c:pt idx="15">
                  <c:v>1.8</c:v>
                </c:pt>
                <c:pt idx="16">
                  <c:v>1.6</c:v>
                </c:pt>
                <c:pt idx="17">
                  <c:v>2.9</c:v>
                </c:pt>
                <c:pt idx="18">
                  <c:v>2.2000000000000002</c:v>
                </c:pt>
                <c:pt idx="19">
                  <c:v>1.6</c:v>
                </c:pt>
                <c:pt idx="20">
                  <c:v>2</c:v>
                </c:pt>
                <c:pt idx="21">
                  <c:v>2.8</c:v>
                </c:pt>
                <c:pt idx="22">
                  <c:v>2.9</c:v>
                </c:pt>
                <c:pt idx="23">
                  <c:v>3.6</c:v>
                </c:pt>
                <c:pt idx="24">
                  <c:v>4.3</c:v>
                </c:pt>
                <c:pt idx="25">
                  <c:v>4</c:v>
                </c:pt>
                <c:pt idx="26">
                  <c:v>1.6</c:v>
                </c:pt>
                <c:pt idx="27">
                  <c:v>5</c:v>
                </c:pt>
                <c:pt idx="28">
                  <c:v>0.2</c:v>
                </c:pt>
                <c:pt idx="29">
                  <c:v>5.2</c:v>
                </c:pt>
                <c:pt idx="30">
                  <c:v>2.8</c:v>
                </c:pt>
                <c:pt idx="31" formatCode="0.0_)">
                  <c:v>4.2</c:v>
                </c:pt>
                <c:pt idx="32" formatCode="0.0_)">
                  <c:v>5.7</c:v>
                </c:pt>
                <c:pt idx="33">
                  <c:v>3.5</c:v>
                </c:pt>
                <c:pt idx="34">
                  <c:v>3.8</c:v>
                </c:pt>
                <c:pt idx="35">
                  <c:v>3.6</c:v>
                </c:pt>
                <c:pt idx="36">
                  <c:v>4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 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37"/>
                <c:pt idx="0">
                  <c:v>-17.8</c:v>
                </c:pt>
                <c:pt idx="1">
                  <c:v>-18.8</c:v>
                </c:pt>
                <c:pt idx="2">
                  <c:v>-19.100000000000001</c:v>
                </c:pt>
                <c:pt idx="3">
                  <c:v>-10.4</c:v>
                </c:pt>
                <c:pt idx="4">
                  <c:v>-15.6</c:v>
                </c:pt>
                <c:pt idx="5">
                  <c:v>-14.4</c:v>
                </c:pt>
                <c:pt idx="6">
                  <c:v>-14.9</c:v>
                </c:pt>
                <c:pt idx="7">
                  <c:v>-16.7</c:v>
                </c:pt>
                <c:pt idx="8">
                  <c:v>-11.2</c:v>
                </c:pt>
                <c:pt idx="9">
                  <c:v>-15.4</c:v>
                </c:pt>
                <c:pt idx="10">
                  <c:v>-11.7</c:v>
                </c:pt>
                <c:pt idx="11">
                  <c:v>-9.6</c:v>
                </c:pt>
                <c:pt idx="12">
                  <c:v>-8.4</c:v>
                </c:pt>
                <c:pt idx="13">
                  <c:v>-5.9</c:v>
                </c:pt>
                <c:pt idx="14">
                  <c:v>-7.9</c:v>
                </c:pt>
                <c:pt idx="15">
                  <c:v>-6.9</c:v>
                </c:pt>
                <c:pt idx="16">
                  <c:v>-8.8000000000000007</c:v>
                </c:pt>
                <c:pt idx="17">
                  <c:v>-4.2</c:v>
                </c:pt>
                <c:pt idx="18">
                  <c:v>-4.8</c:v>
                </c:pt>
                <c:pt idx="19">
                  <c:v>-6.4</c:v>
                </c:pt>
                <c:pt idx="20">
                  <c:v>-3.8</c:v>
                </c:pt>
                <c:pt idx="21">
                  <c:v>0.2</c:v>
                </c:pt>
                <c:pt idx="22">
                  <c:v>3.8</c:v>
                </c:pt>
                <c:pt idx="23">
                  <c:v>4.5999999999999996</c:v>
                </c:pt>
                <c:pt idx="24">
                  <c:v>6.3</c:v>
                </c:pt>
                <c:pt idx="25">
                  <c:v>6.2</c:v>
                </c:pt>
                <c:pt idx="26">
                  <c:v>8.5</c:v>
                </c:pt>
                <c:pt idx="27">
                  <c:v>6.9</c:v>
                </c:pt>
                <c:pt idx="28">
                  <c:v>4</c:v>
                </c:pt>
                <c:pt idx="29">
                  <c:v>8.9</c:v>
                </c:pt>
                <c:pt idx="30">
                  <c:v>9</c:v>
                </c:pt>
                <c:pt idx="31" formatCode="0.0_)">
                  <c:v>9.5</c:v>
                </c:pt>
                <c:pt idx="32" formatCode="0.0_)">
                  <c:v>13.2</c:v>
                </c:pt>
                <c:pt idx="33">
                  <c:v>6.7</c:v>
                </c:pt>
                <c:pt idx="34">
                  <c:v>9.5</c:v>
                </c:pt>
                <c:pt idx="35">
                  <c:v>9.8000000000000007</c:v>
                </c:pt>
                <c:pt idx="36">
                  <c:v>8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 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37"/>
                <c:pt idx="0">
                  <c:v>-4.8</c:v>
                </c:pt>
                <c:pt idx="1">
                  <c:v>-12.5</c:v>
                </c:pt>
                <c:pt idx="2">
                  <c:v>-11.4</c:v>
                </c:pt>
                <c:pt idx="3">
                  <c:v>-0.7</c:v>
                </c:pt>
                <c:pt idx="4">
                  <c:v>-14.6</c:v>
                </c:pt>
                <c:pt idx="5">
                  <c:v>-9.4</c:v>
                </c:pt>
                <c:pt idx="6">
                  <c:v>-7.7</c:v>
                </c:pt>
                <c:pt idx="7">
                  <c:v>-13.4</c:v>
                </c:pt>
                <c:pt idx="8">
                  <c:v>-5.8</c:v>
                </c:pt>
                <c:pt idx="9">
                  <c:v>-11</c:v>
                </c:pt>
                <c:pt idx="10">
                  <c:v>-13.2</c:v>
                </c:pt>
                <c:pt idx="11">
                  <c:v>-9.3000000000000007</c:v>
                </c:pt>
                <c:pt idx="12">
                  <c:v>-7.2</c:v>
                </c:pt>
                <c:pt idx="13">
                  <c:v>-8.1</c:v>
                </c:pt>
                <c:pt idx="14">
                  <c:v>-9.9</c:v>
                </c:pt>
                <c:pt idx="15">
                  <c:v>-8.5</c:v>
                </c:pt>
                <c:pt idx="16">
                  <c:v>-9.6</c:v>
                </c:pt>
                <c:pt idx="17">
                  <c:v>-10.1</c:v>
                </c:pt>
                <c:pt idx="18">
                  <c:v>-9.1999999999999993</c:v>
                </c:pt>
                <c:pt idx="19">
                  <c:v>-8.3000000000000007</c:v>
                </c:pt>
                <c:pt idx="20">
                  <c:v>-7.2</c:v>
                </c:pt>
                <c:pt idx="21">
                  <c:v>-1.4</c:v>
                </c:pt>
                <c:pt idx="22">
                  <c:v>1.8</c:v>
                </c:pt>
                <c:pt idx="23">
                  <c:v>1.9</c:v>
                </c:pt>
                <c:pt idx="24">
                  <c:v>2.7</c:v>
                </c:pt>
                <c:pt idx="25">
                  <c:v>0.8</c:v>
                </c:pt>
                <c:pt idx="26">
                  <c:v>3.4</c:v>
                </c:pt>
                <c:pt idx="27">
                  <c:v>3.8</c:v>
                </c:pt>
                <c:pt idx="28">
                  <c:v>0.3</c:v>
                </c:pt>
                <c:pt idx="29">
                  <c:v>4</c:v>
                </c:pt>
                <c:pt idx="30">
                  <c:v>6.3</c:v>
                </c:pt>
                <c:pt idx="31" formatCode="0.0_)">
                  <c:v>3.2</c:v>
                </c:pt>
                <c:pt idx="32" formatCode="0.0_)">
                  <c:v>6</c:v>
                </c:pt>
                <c:pt idx="33">
                  <c:v>3.8</c:v>
                </c:pt>
                <c:pt idx="34">
                  <c:v>3.8</c:v>
                </c:pt>
                <c:pt idx="35">
                  <c:v>1.2</c:v>
                </c:pt>
                <c:pt idx="36">
                  <c:v>1.9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 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37"/>
                <c:pt idx="0">
                  <c:v>-8.1999999999999993</c:v>
                </c:pt>
                <c:pt idx="1">
                  <c:v>-3.9</c:v>
                </c:pt>
                <c:pt idx="2">
                  <c:v>-3.3</c:v>
                </c:pt>
                <c:pt idx="3">
                  <c:v>-4</c:v>
                </c:pt>
                <c:pt idx="4">
                  <c:v>-5.4</c:v>
                </c:pt>
                <c:pt idx="5">
                  <c:v>-5.7</c:v>
                </c:pt>
                <c:pt idx="6">
                  <c:v>-5.9</c:v>
                </c:pt>
                <c:pt idx="7">
                  <c:v>-8.6</c:v>
                </c:pt>
                <c:pt idx="8">
                  <c:v>-4.5</c:v>
                </c:pt>
                <c:pt idx="9">
                  <c:v>-2.6</c:v>
                </c:pt>
                <c:pt idx="10">
                  <c:v>-5.6</c:v>
                </c:pt>
                <c:pt idx="11">
                  <c:v>-5.0999999999999996</c:v>
                </c:pt>
                <c:pt idx="12">
                  <c:v>-0.3</c:v>
                </c:pt>
                <c:pt idx="13">
                  <c:v>2.2999999999999998</c:v>
                </c:pt>
                <c:pt idx="14">
                  <c:v>2.7</c:v>
                </c:pt>
                <c:pt idx="15">
                  <c:v>1.3</c:v>
                </c:pt>
                <c:pt idx="16">
                  <c:v>1.5</c:v>
                </c:pt>
                <c:pt idx="17">
                  <c:v>6.6</c:v>
                </c:pt>
                <c:pt idx="18">
                  <c:v>3.4</c:v>
                </c:pt>
                <c:pt idx="19">
                  <c:v>3.3</c:v>
                </c:pt>
                <c:pt idx="20">
                  <c:v>4.7</c:v>
                </c:pt>
                <c:pt idx="21">
                  <c:v>12.9</c:v>
                </c:pt>
                <c:pt idx="22">
                  <c:v>13.2</c:v>
                </c:pt>
                <c:pt idx="23">
                  <c:v>10.3</c:v>
                </c:pt>
                <c:pt idx="24">
                  <c:v>13</c:v>
                </c:pt>
                <c:pt idx="25">
                  <c:v>13.2</c:v>
                </c:pt>
                <c:pt idx="26">
                  <c:v>10</c:v>
                </c:pt>
                <c:pt idx="27">
                  <c:v>11</c:v>
                </c:pt>
                <c:pt idx="28">
                  <c:v>8.4</c:v>
                </c:pt>
                <c:pt idx="29">
                  <c:v>11.4</c:v>
                </c:pt>
                <c:pt idx="30">
                  <c:v>13</c:v>
                </c:pt>
                <c:pt idx="31">
                  <c:v>12.7</c:v>
                </c:pt>
                <c:pt idx="32">
                  <c:v>11.9</c:v>
                </c:pt>
                <c:pt idx="33">
                  <c:v>14.9</c:v>
                </c:pt>
                <c:pt idx="34">
                  <c:v>14.2</c:v>
                </c:pt>
                <c:pt idx="35">
                  <c:v>10.3</c:v>
                </c:pt>
                <c:pt idx="36">
                  <c:v>14.2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0344960"/>
        <c:axId val="230355328"/>
      </c:lineChart>
      <c:catAx>
        <c:axId val="23034496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30355328"/>
        <c:crossesAt val="0"/>
        <c:auto val="1"/>
        <c:lblAlgn val="ctr"/>
        <c:lblOffset val="100"/>
        <c:tickLblSkip val="1"/>
        <c:noMultiLvlLbl val="0"/>
      </c:catAx>
      <c:valAx>
        <c:axId val="23035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3034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1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848704"/>
        <c:axId val="223867264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1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1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1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3848704"/>
        <c:axId val="223867264"/>
      </c:lineChart>
      <c:catAx>
        <c:axId val="22384870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3867264"/>
        <c:crossesAt val="0"/>
        <c:auto val="0"/>
        <c:lblAlgn val="ctr"/>
        <c:lblOffset val="100"/>
        <c:tickLblSkip val="1"/>
        <c:noMultiLvlLbl val="0"/>
      </c:catAx>
      <c:valAx>
        <c:axId val="22386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384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E-2"/>
          <c:y val="3.514376996805111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37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 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37"/>
                <c:pt idx="0">
                  <c:v>-13.2</c:v>
                </c:pt>
                <c:pt idx="1">
                  <c:v>-15.3</c:v>
                </c:pt>
                <c:pt idx="2">
                  <c:v>-15</c:v>
                </c:pt>
                <c:pt idx="3">
                  <c:v>-8.3000000000000007</c:v>
                </c:pt>
                <c:pt idx="4">
                  <c:v>-13.7</c:v>
                </c:pt>
                <c:pt idx="5">
                  <c:v>-10.9</c:v>
                </c:pt>
                <c:pt idx="6">
                  <c:v>-8.1999999999999993</c:v>
                </c:pt>
                <c:pt idx="7">
                  <c:v>-11.5</c:v>
                </c:pt>
                <c:pt idx="8">
                  <c:v>-7.2</c:v>
                </c:pt>
                <c:pt idx="9">
                  <c:v>-7.7</c:v>
                </c:pt>
                <c:pt idx="10">
                  <c:v>-9.6999999999999993</c:v>
                </c:pt>
                <c:pt idx="11">
                  <c:v>-10.6</c:v>
                </c:pt>
                <c:pt idx="12">
                  <c:v>-7.3</c:v>
                </c:pt>
                <c:pt idx="13">
                  <c:v>-7.5</c:v>
                </c:pt>
                <c:pt idx="14">
                  <c:v>-10.3</c:v>
                </c:pt>
                <c:pt idx="15">
                  <c:v>-5.4</c:v>
                </c:pt>
                <c:pt idx="16">
                  <c:v>-6.7</c:v>
                </c:pt>
                <c:pt idx="17">
                  <c:v>-4.4000000000000004</c:v>
                </c:pt>
                <c:pt idx="18">
                  <c:v>-3.6</c:v>
                </c:pt>
                <c:pt idx="19">
                  <c:v>-4.2</c:v>
                </c:pt>
                <c:pt idx="20">
                  <c:v>-3.1</c:v>
                </c:pt>
                <c:pt idx="21">
                  <c:v>0.6</c:v>
                </c:pt>
                <c:pt idx="22">
                  <c:v>1.8</c:v>
                </c:pt>
                <c:pt idx="23">
                  <c:v>1.3</c:v>
                </c:pt>
                <c:pt idx="24">
                  <c:v>2.7</c:v>
                </c:pt>
                <c:pt idx="25">
                  <c:v>0.8</c:v>
                </c:pt>
                <c:pt idx="26">
                  <c:v>1.6</c:v>
                </c:pt>
                <c:pt idx="27">
                  <c:v>3.4</c:v>
                </c:pt>
                <c:pt idx="28">
                  <c:v>-0.2</c:v>
                </c:pt>
                <c:pt idx="29">
                  <c:v>4.3</c:v>
                </c:pt>
                <c:pt idx="30">
                  <c:v>4.2</c:v>
                </c:pt>
                <c:pt idx="31">
                  <c:v>2.9</c:v>
                </c:pt>
                <c:pt idx="32">
                  <c:v>5.7</c:v>
                </c:pt>
                <c:pt idx="33">
                  <c:v>2.8</c:v>
                </c:pt>
                <c:pt idx="34">
                  <c:v>4</c:v>
                </c:pt>
                <c:pt idx="35">
                  <c:v>2.4</c:v>
                </c:pt>
                <c:pt idx="36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680704"/>
        <c:axId val="278682624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 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37"/>
                <c:pt idx="0">
                  <c:v>-0.6</c:v>
                </c:pt>
                <c:pt idx="1">
                  <c:v>-3.9</c:v>
                </c:pt>
                <c:pt idx="2">
                  <c:v>-3.9</c:v>
                </c:pt>
                <c:pt idx="3">
                  <c:v>2.6</c:v>
                </c:pt>
                <c:pt idx="4">
                  <c:v>-2.6</c:v>
                </c:pt>
                <c:pt idx="5">
                  <c:v>0.6</c:v>
                </c:pt>
                <c:pt idx="6">
                  <c:v>2.2999999999999998</c:v>
                </c:pt>
                <c:pt idx="7">
                  <c:v>-0.5</c:v>
                </c:pt>
                <c:pt idx="8">
                  <c:v>3.4</c:v>
                </c:pt>
                <c:pt idx="9">
                  <c:v>0.4</c:v>
                </c:pt>
                <c:pt idx="10">
                  <c:v>0.1</c:v>
                </c:pt>
                <c:pt idx="11">
                  <c:v>-0.2</c:v>
                </c:pt>
                <c:pt idx="12">
                  <c:v>0.8</c:v>
                </c:pt>
                <c:pt idx="13">
                  <c:v>1.6</c:v>
                </c:pt>
                <c:pt idx="14">
                  <c:v>-0.6</c:v>
                </c:pt>
                <c:pt idx="15">
                  <c:v>1.8</c:v>
                </c:pt>
                <c:pt idx="16">
                  <c:v>1.6</c:v>
                </c:pt>
                <c:pt idx="17">
                  <c:v>2.9</c:v>
                </c:pt>
                <c:pt idx="18">
                  <c:v>2.2000000000000002</c:v>
                </c:pt>
                <c:pt idx="19">
                  <c:v>1.6</c:v>
                </c:pt>
                <c:pt idx="20">
                  <c:v>2</c:v>
                </c:pt>
                <c:pt idx="21">
                  <c:v>2.8</c:v>
                </c:pt>
                <c:pt idx="22">
                  <c:v>2.9</c:v>
                </c:pt>
                <c:pt idx="23">
                  <c:v>3.6</c:v>
                </c:pt>
                <c:pt idx="24">
                  <c:v>4.3</c:v>
                </c:pt>
                <c:pt idx="25">
                  <c:v>4</c:v>
                </c:pt>
                <c:pt idx="26">
                  <c:v>1.6</c:v>
                </c:pt>
                <c:pt idx="27">
                  <c:v>5</c:v>
                </c:pt>
                <c:pt idx="28">
                  <c:v>0.2</c:v>
                </c:pt>
                <c:pt idx="29">
                  <c:v>5.2</c:v>
                </c:pt>
                <c:pt idx="30">
                  <c:v>2.8</c:v>
                </c:pt>
                <c:pt idx="31">
                  <c:v>4.2</c:v>
                </c:pt>
                <c:pt idx="32">
                  <c:v>5.7</c:v>
                </c:pt>
                <c:pt idx="33">
                  <c:v>3.5</c:v>
                </c:pt>
                <c:pt idx="34">
                  <c:v>3.8</c:v>
                </c:pt>
                <c:pt idx="35">
                  <c:v>3.6</c:v>
                </c:pt>
                <c:pt idx="36">
                  <c:v>4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 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37"/>
                <c:pt idx="0">
                  <c:v>-4.8</c:v>
                </c:pt>
                <c:pt idx="1">
                  <c:v>-12.5</c:v>
                </c:pt>
                <c:pt idx="2">
                  <c:v>-11.4</c:v>
                </c:pt>
                <c:pt idx="3">
                  <c:v>-0.7</c:v>
                </c:pt>
                <c:pt idx="4">
                  <c:v>-14.6</c:v>
                </c:pt>
                <c:pt idx="5">
                  <c:v>-9.4</c:v>
                </c:pt>
                <c:pt idx="6">
                  <c:v>-7.7</c:v>
                </c:pt>
                <c:pt idx="7">
                  <c:v>-13.4</c:v>
                </c:pt>
                <c:pt idx="8">
                  <c:v>-5.8</c:v>
                </c:pt>
                <c:pt idx="9">
                  <c:v>-11</c:v>
                </c:pt>
                <c:pt idx="10">
                  <c:v>-13.2</c:v>
                </c:pt>
                <c:pt idx="11">
                  <c:v>-9.3000000000000007</c:v>
                </c:pt>
                <c:pt idx="12">
                  <c:v>-7.2</c:v>
                </c:pt>
                <c:pt idx="13">
                  <c:v>-8.1</c:v>
                </c:pt>
                <c:pt idx="14">
                  <c:v>-9.9</c:v>
                </c:pt>
                <c:pt idx="15">
                  <c:v>-8.5</c:v>
                </c:pt>
                <c:pt idx="16">
                  <c:v>-9.6</c:v>
                </c:pt>
                <c:pt idx="17">
                  <c:v>-10.1</c:v>
                </c:pt>
                <c:pt idx="18">
                  <c:v>-9.1999999999999993</c:v>
                </c:pt>
                <c:pt idx="19">
                  <c:v>-8.3000000000000007</c:v>
                </c:pt>
                <c:pt idx="20">
                  <c:v>-7.2</c:v>
                </c:pt>
                <c:pt idx="21">
                  <c:v>-1.4</c:v>
                </c:pt>
                <c:pt idx="22">
                  <c:v>1.8</c:v>
                </c:pt>
                <c:pt idx="23">
                  <c:v>1.9</c:v>
                </c:pt>
                <c:pt idx="24">
                  <c:v>2.7</c:v>
                </c:pt>
                <c:pt idx="25">
                  <c:v>0.8</c:v>
                </c:pt>
                <c:pt idx="26">
                  <c:v>3.4</c:v>
                </c:pt>
                <c:pt idx="27">
                  <c:v>3.8</c:v>
                </c:pt>
                <c:pt idx="28">
                  <c:v>0.3</c:v>
                </c:pt>
                <c:pt idx="29">
                  <c:v>4</c:v>
                </c:pt>
                <c:pt idx="30">
                  <c:v>6.3</c:v>
                </c:pt>
                <c:pt idx="31">
                  <c:v>3.2</c:v>
                </c:pt>
                <c:pt idx="32">
                  <c:v>6</c:v>
                </c:pt>
                <c:pt idx="33">
                  <c:v>3.8</c:v>
                </c:pt>
                <c:pt idx="34">
                  <c:v>3.8</c:v>
                </c:pt>
                <c:pt idx="35">
                  <c:v>1.2</c:v>
                </c:pt>
                <c:pt idx="36">
                  <c:v>1.9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 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37"/>
                <c:pt idx="0">
                  <c:v>-20.100000000000001</c:v>
                </c:pt>
                <c:pt idx="1">
                  <c:v>-20.3</c:v>
                </c:pt>
                <c:pt idx="2">
                  <c:v>-20.100000000000001</c:v>
                </c:pt>
                <c:pt idx="3">
                  <c:v>-10</c:v>
                </c:pt>
                <c:pt idx="4">
                  <c:v>-16</c:v>
                </c:pt>
                <c:pt idx="5">
                  <c:v>-13.9</c:v>
                </c:pt>
                <c:pt idx="6">
                  <c:v>-9.6</c:v>
                </c:pt>
                <c:pt idx="7">
                  <c:v>-9.1</c:v>
                </c:pt>
                <c:pt idx="8">
                  <c:v>-7.7</c:v>
                </c:pt>
                <c:pt idx="9">
                  <c:v>-3.9</c:v>
                </c:pt>
                <c:pt idx="10">
                  <c:v>-5.3</c:v>
                </c:pt>
                <c:pt idx="11">
                  <c:v>-13.5</c:v>
                </c:pt>
                <c:pt idx="12">
                  <c:v>-7.1</c:v>
                </c:pt>
                <c:pt idx="13">
                  <c:v>-6.6</c:v>
                </c:pt>
                <c:pt idx="14">
                  <c:v>-11.7</c:v>
                </c:pt>
                <c:pt idx="15">
                  <c:v>-1.1000000000000001</c:v>
                </c:pt>
                <c:pt idx="16">
                  <c:v>-4.0999999999999996</c:v>
                </c:pt>
                <c:pt idx="17">
                  <c:v>-0.1</c:v>
                </c:pt>
                <c:pt idx="18">
                  <c:v>4.4000000000000004</c:v>
                </c:pt>
                <c:pt idx="19">
                  <c:v>4.9000000000000004</c:v>
                </c:pt>
                <c:pt idx="20">
                  <c:v>5.9</c:v>
                </c:pt>
                <c:pt idx="21">
                  <c:v>11</c:v>
                </c:pt>
                <c:pt idx="22">
                  <c:v>11.7</c:v>
                </c:pt>
                <c:pt idx="23">
                  <c:v>10.1</c:v>
                </c:pt>
                <c:pt idx="24">
                  <c:v>11</c:v>
                </c:pt>
                <c:pt idx="25">
                  <c:v>10.199999999999999</c:v>
                </c:pt>
                <c:pt idx="26">
                  <c:v>9.1999999999999993</c:v>
                </c:pt>
                <c:pt idx="27">
                  <c:v>13.5</c:v>
                </c:pt>
                <c:pt idx="28">
                  <c:v>10.8</c:v>
                </c:pt>
                <c:pt idx="29">
                  <c:v>13.6</c:v>
                </c:pt>
                <c:pt idx="30">
                  <c:v>14.1</c:v>
                </c:pt>
                <c:pt idx="31">
                  <c:v>13.4</c:v>
                </c:pt>
                <c:pt idx="32">
                  <c:v>18</c:v>
                </c:pt>
                <c:pt idx="33">
                  <c:v>14.2</c:v>
                </c:pt>
                <c:pt idx="34">
                  <c:v>13.7</c:v>
                </c:pt>
                <c:pt idx="35">
                  <c:v>14.1</c:v>
                </c:pt>
                <c:pt idx="36">
                  <c:v>12.3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7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 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37"/>
                <c:pt idx="0">
                  <c:v>-27.4</c:v>
                </c:pt>
                <c:pt idx="1">
                  <c:v>-24.3</c:v>
                </c:pt>
                <c:pt idx="2">
                  <c:v>-24.7</c:v>
                </c:pt>
                <c:pt idx="3">
                  <c:v>-25</c:v>
                </c:pt>
                <c:pt idx="4">
                  <c:v>-21.6</c:v>
                </c:pt>
                <c:pt idx="5">
                  <c:v>-20.8</c:v>
                </c:pt>
                <c:pt idx="6">
                  <c:v>-17.7</c:v>
                </c:pt>
                <c:pt idx="7">
                  <c:v>-22.9</c:v>
                </c:pt>
                <c:pt idx="8">
                  <c:v>-18.5</c:v>
                </c:pt>
                <c:pt idx="9">
                  <c:v>-16.399999999999999</c:v>
                </c:pt>
                <c:pt idx="10">
                  <c:v>-20.2</c:v>
                </c:pt>
                <c:pt idx="11">
                  <c:v>-19.2</c:v>
                </c:pt>
                <c:pt idx="12">
                  <c:v>-15.6</c:v>
                </c:pt>
                <c:pt idx="13">
                  <c:v>-16.8</c:v>
                </c:pt>
                <c:pt idx="14">
                  <c:v>-18.8</c:v>
                </c:pt>
                <c:pt idx="15">
                  <c:v>-13.8</c:v>
                </c:pt>
                <c:pt idx="16">
                  <c:v>-14.6</c:v>
                </c:pt>
                <c:pt idx="17">
                  <c:v>-10.1</c:v>
                </c:pt>
                <c:pt idx="18">
                  <c:v>-11.8</c:v>
                </c:pt>
                <c:pt idx="19">
                  <c:v>-15</c:v>
                </c:pt>
                <c:pt idx="20">
                  <c:v>-12.9</c:v>
                </c:pt>
                <c:pt idx="21">
                  <c:v>-10</c:v>
                </c:pt>
                <c:pt idx="22">
                  <c:v>-9.4</c:v>
                </c:pt>
                <c:pt idx="23">
                  <c:v>-10.5</c:v>
                </c:pt>
                <c:pt idx="24">
                  <c:v>-7.3</c:v>
                </c:pt>
                <c:pt idx="25">
                  <c:v>-11.7</c:v>
                </c:pt>
                <c:pt idx="26">
                  <c:v>-8</c:v>
                </c:pt>
                <c:pt idx="27">
                  <c:v>-8.8000000000000007</c:v>
                </c:pt>
                <c:pt idx="28">
                  <c:v>-12</c:v>
                </c:pt>
                <c:pt idx="29">
                  <c:v>-5.8</c:v>
                </c:pt>
                <c:pt idx="30">
                  <c:v>-6.4</c:v>
                </c:pt>
                <c:pt idx="31">
                  <c:v>-9.1999999999999993</c:v>
                </c:pt>
                <c:pt idx="32">
                  <c:v>-6.9</c:v>
                </c:pt>
                <c:pt idx="33">
                  <c:v>-10.199999999999999</c:v>
                </c:pt>
                <c:pt idx="34">
                  <c:v>-5.2</c:v>
                </c:pt>
                <c:pt idx="35">
                  <c:v>-9.4</c:v>
                </c:pt>
                <c:pt idx="36">
                  <c:v>-8.6999999999999993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8680704"/>
        <c:axId val="278682624"/>
      </c:lineChart>
      <c:catAx>
        <c:axId val="27868070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78682624"/>
        <c:crossesAt val="0"/>
        <c:auto val="1"/>
        <c:lblAlgn val="ctr"/>
        <c:lblOffset val="100"/>
        <c:tickLblSkip val="1"/>
        <c:noMultiLvlLbl val="0"/>
      </c:catAx>
      <c:valAx>
        <c:axId val="278682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7868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3.182981166293733E-2"/>
          <c:w val="0.91936996161087892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1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712704"/>
        <c:axId val="278714624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1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1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8712704"/>
        <c:axId val="278714624"/>
      </c:lineChart>
      <c:catAx>
        <c:axId val="27871270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78714624"/>
        <c:crossesAt val="0"/>
        <c:auto val="0"/>
        <c:lblAlgn val="ctr"/>
        <c:lblOffset val="100"/>
        <c:noMultiLvlLbl val="0"/>
      </c:catAx>
      <c:valAx>
        <c:axId val="27871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78712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AD9901-1F52-48A2-95A4-9EEF5D2D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konsumencka. Sierpień 2018 roku</dc:title>
  <dc:subject>Koniunktura konsumencka. Sierpień 2018 roku</dc:subject>
  <dc:creator>Główny Urząd Statystyczny</dc:creator>
  <cp:keywords>koniunktura konsumencka; badanie koniunktury konsumenckiej; nastroje konsumenckie; badanie kondycji gospodarstw domowych; wskaźnik ufności konsumenckiej</cp:keywords>
  <dc:description>Koniunktura konsumencka. Sierpień 2018 roku</dc:description>
  <cp:lastModifiedBy>Dariusz Mazurek</cp:lastModifiedBy>
  <cp:revision>3</cp:revision>
  <cp:lastPrinted>2018-08-21T07:59:00Z</cp:lastPrinted>
  <dcterms:created xsi:type="dcterms:W3CDTF">2018-08-23T06:20:00Z</dcterms:created>
  <dcterms:modified xsi:type="dcterms:W3CDTF">2018-08-23T06:24:00Z</dcterms:modified>
  <cp:category>Koniunktura; Koniunktura konsumencka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