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emf" ContentType="image/x-emf"/>
  <Override PartName="/word/drawings/drawing6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C" w:rsidRPr="0038669A" w:rsidRDefault="0038669A" w:rsidP="00074DD8">
      <w:pPr>
        <w:pStyle w:val="tytuinformacji"/>
        <w:rPr>
          <w:shd w:val="clear" w:color="auto" w:fill="FFFFFF"/>
        </w:rPr>
      </w:pPr>
      <w:r w:rsidRPr="0038669A">
        <w:rPr>
          <w:shd w:val="clear" w:color="auto" w:fill="FFFFFF"/>
        </w:rPr>
        <w:t>Koniunktura w gospodarstw</w:t>
      </w:r>
      <w:r>
        <w:rPr>
          <w:shd w:val="clear" w:color="auto" w:fill="FFFFFF"/>
        </w:rPr>
        <w:t>a</w:t>
      </w:r>
      <w:r w:rsidRPr="0038669A">
        <w:rPr>
          <w:shd w:val="clear" w:color="auto" w:fill="FFFFFF"/>
        </w:rPr>
        <w:t>ch rolny</w:t>
      </w:r>
      <w:r>
        <w:rPr>
          <w:shd w:val="clear" w:color="auto" w:fill="FFFFFF"/>
        </w:rPr>
        <w:t xml:space="preserve">ch </w:t>
      </w:r>
      <w:r>
        <w:rPr>
          <w:shd w:val="clear" w:color="auto" w:fill="FFFFFF"/>
        </w:rPr>
        <w:br/>
        <w:t xml:space="preserve">w II półroczu 2017 r. </w:t>
      </w:r>
    </w:p>
    <w:p w:rsidR="00393761" w:rsidRPr="0038669A" w:rsidRDefault="00393761" w:rsidP="00074DD8">
      <w:pPr>
        <w:pStyle w:val="tytuinformacji"/>
        <w:rPr>
          <w:sz w:val="32"/>
        </w:rPr>
      </w:pPr>
    </w:p>
    <w:p w:rsidR="003337C0" w:rsidRPr="003337C0" w:rsidRDefault="003337C0" w:rsidP="003337C0">
      <w:pPr>
        <w:jc w:val="both"/>
        <w:rPr>
          <w:b/>
          <w:szCs w:val="24"/>
        </w:rPr>
      </w:pPr>
      <w:r w:rsidRPr="003337C0">
        <w:rPr>
          <w:b/>
          <w:szCs w:val="24"/>
        </w:rPr>
        <w:t xml:space="preserve">W ocenie rolników zmiany </w:t>
      </w:r>
      <w:r w:rsidR="003E1DB9">
        <w:rPr>
          <w:b/>
          <w:szCs w:val="24"/>
        </w:rPr>
        <w:t xml:space="preserve">koniunktury w gospodarstwach rolnych </w:t>
      </w:r>
      <w:r w:rsidRPr="003337C0">
        <w:rPr>
          <w:b/>
          <w:szCs w:val="24"/>
        </w:rPr>
        <w:t>jak</w:t>
      </w:r>
      <w:r w:rsidR="00A365EB">
        <w:rPr>
          <w:b/>
          <w:szCs w:val="24"/>
        </w:rPr>
        <w:t>ie miały miejsce</w:t>
      </w:r>
      <w:r w:rsidR="002A516B">
        <w:rPr>
          <w:b/>
          <w:szCs w:val="24"/>
        </w:rPr>
        <w:br/>
      </w:r>
      <w:r w:rsidR="00A365EB">
        <w:rPr>
          <w:b/>
          <w:szCs w:val="24"/>
        </w:rPr>
        <w:t>w II półroczu ub.</w:t>
      </w:r>
      <w:r w:rsidR="00110AE5">
        <w:rPr>
          <w:b/>
          <w:szCs w:val="24"/>
        </w:rPr>
        <w:t xml:space="preserve"> </w:t>
      </w:r>
      <w:r w:rsidRPr="003337C0">
        <w:rPr>
          <w:b/>
          <w:szCs w:val="24"/>
        </w:rPr>
        <w:t>r. kształtowały się niekorzystnie</w:t>
      </w:r>
      <w:r w:rsidR="00616B18">
        <w:rPr>
          <w:b/>
          <w:szCs w:val="24"/>
        </w:rPr>
        <w:t xml:space="preserve">. </w:t>
      </w:r>
      <w:r w:rsidRPr="003337C0">
        <w:rPr>
          <w:b/>
          <w:szCs w:val="24"/>
        </w:rPr>
        <w:t>Pesymistyczne były również p</w:t>
      </w:r>
      <w:r>
        <w:rPr>
          <w:b/>
          <w:szCs w:val="24"/>
        </w:rPr>
        <w:t xml:space="preserve">rognozy na </w:t>
      </w:r>
      <w:r w:rsidR="002358C8">
        <w:rPr>
          <w:b/>
          <w:szCs w:val="24"/>
        </w:rPr>
        <w:br/>
      </w:r>
      <w:r>
        <w:rPr>
          <w:b/>
          <w:szCs w:val="24"/>
        </w:rPr>
        <w:t>I</w:t>
      </w:r>
      <w:r w:rsidRPr="003337C0">
        <w:rPr>
          <w:b/>
          <w:szCs w:val="24"/>
        </w:rPr>
        <w:t xml:space="preserve"> półrocze 2018 r. </w:t>
      </w:r>
      <w:r w:rsidR="005429D3">
        <w:rPr>
          <w:b/>
          <w:szCs w:val="24"/>
        </w:rPr>
        <w:t>O</w:t>
      </w:r>
      <w:r w:rsidRPr="003337C0">
        <w:rPr>
          <w:b/>
          <w:szCs w:val="24"/>
        </w:rPr>
        <w:t>pinie rolników o bieżącej (grudzień 2017 r.) sytuacji ogólnej gospodarstw</w:t>
      </w:r>
      <w:r w:rsidR="009C2F0C">
        <w:rPr>
          <w:b/>
          <w:szCs w:val="24"/>
        </w:rPr>
        <w:t xml:space="preserve"> rolnych</w:t>
      </w:r>
      <w:r w:rsidR="002358C8">
        <w:rPr>
          <w:b/>
          <w:szCs w:val="24"/>
        </w:rPr>
        <w:t xml:space="preserve"> i </w:t>
      </w:r>
      <w:r w:rsidRPr="003337C0">
        <w:rPr>
          <w:b/>
          <w:szCs w:val="24"/>
        </w:rPr>
        <w:t>opłacalności produkcji rolniczej były pozytywne, przy jednoczesnej negatywnej ocenie popytu na produkty rolne wytwarzane w badanych gospodarstwach rolnych.</w:t>
      </w:r>
    </w:p>
    <w:p w:rsidR="00003437" w:rsidRDefault="00003437" w:rsidP="00BF4781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010573" w:rsidRPr="00347D61" w:rsidRDefault="00CD5ECD" w:rsidP="00347D61">
      <w:pPr>
        <w:pStyle w:val="Nagwek1"/>
        <w:spacing w:before="120" w:line="240" w:lineRule="exact"/>
        <w:jc w:val="both"/>
        <w:rPr>
          <w:rFonts w:ascii="Fira Sans" w:eastAsia="Calibri" w:hAnsi="Fira Sans"/>
          <w:color w:val="auto"/>
          <w:szCs w:val="19"/>
        </w:rPr>
      </w:pPr>
      <w:r w:rsidRPr="00CD5ECD">
        <w:rPr>
          <w:rFonts w:ascii="Fira Sans" w:hAnsi="Fira Sans"/>
          <w:color w:val="auto"/>
          <w:szCs w:val="19"/>
        </w:rPr>
        <w:t xml:space="preserve">Ogólnie pesymistyczne opinie rolników dotyczące koniunktury w gospodarstwach rolnych </w:t>
      </w:r>
      <w:r w:rsidR="00941CE3">
        <w:rPr>
          <w:rFonts w:ascii="Fira Sans" w:hAnsi="Fira Sans"/>
          <w:color w:val="auto"/>
          <w:szCs w:val="19"/>
        </w:rPr>
        <w:t>różniły się</w:t>
      </w:r>
      <w:r w:rsidRPr="00CD5ECD">
        <w:rPr>
          <w:rFonts w:ascii="Fira Sans" w:hAnsi="Fira Sans"/>
          <w:color w:val="auto"/>
          <w:szCs w:val="19"/>
        </w:rPr>
        <w:t xml:space="preserve"> w zależności od </w:t>
      </w:r>
      <w:r w:rsidRPr="00CD5ECD">
        <w:rPr>
          <w:rFonts w:ascii="Fira Sans" w:eastAsia="Calibri" w:hAnsi="Fira Sans"/>
          <w:color w:val="auto"/>
          <w:szCs w:val="19"/>
        </w:rPr>
        <w:t>formy prawnej gospodarstwa rolnego, powierzchni użytków ro</w:t>
      </w:r>
      <w:r w:rsidRPr="00CD5ECD">
        <w:rPr>
          <w:rFonts w:ascii="Fira Sans" w:eastAsia="Calibri" w:hAnsi="Fira Sans"/>
          <w:color w:val="auto"/>
          <w:szCs w:val="19"/>
        </w:rPr>
        <w:t>l</w:t>
      </w:r>
      <w:r w:rsidRPr="00CD5ECD">
        <w:rPr>
          <w:rFonts w:ascii="Fira Sans" w:eastAsia="Calibri" w:hAnsi="Fira Sans"/>
          <w:color w:val="auto"/>
          <w:szCs w:val="19"/>
        </w:rPr>
        <w:t>nych, ukierunkowania produkcyjnego gospodarstw rolnych, rodzaju prowadzonych upraw i gatunków/grup użytkowych utrzymywanych zwierząt gospodarskich, a także od wieku i wykształcenia osoby kierującej gospodarstwem rolnym.</w:t>
      </w:r>
    </w:p>
    <w:p w:rsidR="00CD5ECD" w:rsidRPr="00CD5ECD" w:rsidRDefault="00CD5ECD" w:rsidP="00CD5ECD">
      <w:pPr>
        <w:jc w:val="both"/>
        <w:rPr>
          <w:rFonts w:eastAsia="Calibri"/>
          <w:szCs w:val="19"/>
        </w:rPr>
      </w:pPr>
      <w:r w:rsidRPr="00CD5ECD">
        <w:rPr>
          <w:rFonts w:eastAsia="Calibri"/>
          <w:szCs w:val="19"/>
        </w:rPr>
        <w:t xml:space="preserve">Analiza sald odpowiedzi pokazuje, że: </w:t>
      </w:r>
    </w:p>
    <w:p w:rsidR="00CD5ECD" w:rsidRPr="00CD5ECD" w:rsidRDefault="003D724F" w:rsidP="00CD5ECD">
      <w:pPr>
        <w:pStyle w:val="Akapitzlist"/>
        <w:numPr>
          <w:ilvl w:val="0"/>
          <w:numId w:val="5"/>
        </w:numPr>
        <w:tabs>
          <w:tab w:val="left" w:pos="426"/>
        </w:tabs>
        <w:jc w:val="both"/>
        <w:rPr>
          <w:szCs w:val="19"/>
        </w:rPr>
      </w:pPr>
      <w:r w:rsidRPr="003D724F">
        <w:rPr>
          <w:b/>
          <w:noProof/>
          <w:color w:val="212492"/>
          <w:spacing w:val="-2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415.9pt;margin-top:62.25pt;width:135.85pt;height:66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Pole tekstowe 2">
              <w:txbxContent>
                <w:p w:rsidR="00F25E25" w:rsidRPr="005429D3" w:rsidRDefault="00AC2E14" w:rsidP="00074DD8">
                  <w:pPr>
                    <w:pStyle w:val="tekstzboku"/>
                  </w:pPr>
                  <w:r>
                    <w:t>Naj</w:t>
                  </w:r>
                  <w:r w:rsidR="00E36402">
                    <w:t>bardziej pesymistyczni w swoich ocenach byli</w:t>
                  </w:r>
                  <w:r>
                    <w:t xml:space="preserve"> rolnicy specjalizujący się w produkcji roślinnej</w:t>
                  </w:r>
                </w:p>
              </w:txbxContent>
            </v:textbox>
            <w10:wrap type="tight"/>
          </v:shape>
        </w:pict>
      </w:r>
      <w:r w:rsidR="00CD5ECD" w:rsidRPr="00CD5ECD">
        <w:rPr>
          <w:szCs w:val="19"/>
        </w:rPr>
        <w:t>osoby kierujące gospodarstwami rolnymi osób prawnych i jednostek organizacyjnych niemających osobowości prawnej były bardziej pesymistyczne w ocenie zmian jakie mi</w:t>
      </w:r>
      <w:r w:rsidR="00CD5ECD" w:rsidRPr="00CD5ECD">
        <w:rPr>
          <w:szCs w:val="19"/>
        </w:rPr>
        <w:t>a</w:t>
      </w:r>
      <w:r w:rsidR="00CD5ECD" w:rsidRPr="00CD5ECD">
        <w:rPr>
          <w:szCs w:val="19"/>
        </w:rPr>
        <w:t xml:space="preserve">ły miejsce w II półroczu 2017 r., </w:t>
      </w:r>
      <w:r w:rsidR="00A365EB">
        <w:rPr>
          <w:szCs w:val="19"/>
        </w:rPr>
        <w:t>jak również prognoz</w:t>
      </w:r>
      <w:r w:rsidR="00CD5ECD" w:rsidRPr="00CD5ECD">
        <w:rPr>
          <w:szCs w:val="19"/>
        </w:rPr>
        <w:t xml:space="preserve"> na I półrocze 2018 r. W przeciwie</w:t>
      </w:r>
      <w:r w:rsidR="00CD5ECD" w:rsidRPr="00CD5ECD">
        <w:rPr>
          <w:szCs w:val="19"/>
        </w:rPr>
        <w:t>ń</w:t>
      </w:r>
      <w:r w:rsidR="00CD5ECD" w:rsidRPr="00CD5ECD">
        <w:rPr>
          <w:szCs w:val="19"/>
        </w:rPr>
        <w:t xml:space="preserve">stwie do użytkowników gospodarstw indywidualnych były bardziej optymistyczne przy ocenie bieżącej </w:t>
      </w:r>
      <w:r w:rsidR="002358C8">
        <w:rPr>
          <w:szCs w:val="19"/>
        </w:rPr>
        <w:t>(grudniowej)</w:t>
      </w:r>
      <w:r w:rsidR="00CD5ECD" w:rsidRPr="00CD5ECD">
        <w:rPr>
          <w:szCs w:val="19"/>
        </w:rPr>
        <w:t xml:space="preserve"> sytuacji ogólnej gospodarstw rolnych</w:t>
      </w:r>
      <w:r w:rsidR="00A365EB">
        <w:rPr>
          <w:szCs w:val="19"/>
        </w:rPr>
        <w:t>,</w:t>
      </w:r>
      <w:r w:rsidR="00CD5ECD" w:rsidRPr="00CD5ECD">
        <w:rPr>
          <w:szCs w:val="19"/>
        </w:rPr>
        <w:t xml:space="preserve"> jak również opłaca</w:t>
      </w:r>
      <w:r w:rsidR="00CD5ECD" w:rsidRPr="00CD5ECD">
        <w:rPr>
          <w:szCs w:val="19"/>
        </w:rPr>
        <w:t>l</w:t>
      </w:r>
      <w:r w:rsidR="00CD5ECD" w:rsidRPr="00CD5ECD">
        <w:rPr>
          <w:szCs w:val="19"/>
        </w:rPr>
        <w:t>no</w:t>
      </w:r>
      <w:r w:rsidR="0027341F">
        <w:rPr>
          <w:szCs w:val="19"/>
        </w:rPr>
        <w:t>ści produkcji rolniczej,</w:t>
      </w:r>
      <w:r w:rsidR="00CD5ECD" w:rsidRPr="00CD5ECD">
        <w:rPr>
          <w:szCs w:val="19"/>
        </w:rPr>
        <w:t xml:space="preserve"> </w:t>
      </w:r>
    </w:p>
    <w:p w:rsidR="00CD5ECD" w:rsidRPr="00CD5ECD" w:rsidRDefault="003D724F" w:rsidP="00CD5ECD">
      <w:pPr>
        <w:pStyle w:val="Akapitzlist"/>
        <w:numPr>
          <w:ilvl w:val="0"/>
          <w:numId w:val="5"/>
        </w:numPr>
        <w:tabs>
          <w:tab w:val="left" w:pos="426"/>
        </w:tabs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58" type="#_x0000_t202" style="position:absolute;left:0;text-align:left;margin-left:415.9pt;margin-top:60pt;width:135.85pt;height:86.6pt;z-index:-25154252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_x0000_s1058">
              <w:txbxContent>
                <w:p w:rsidR="00AC2E14" w:rsidRPr="005429D3" w:rsidRDefault="00AC2E14" w:rsidP="00AC2E14">
                  <w:pPr>
                    <w:pStyle w:val="tekstzboku"/>
                  </w:pPr>
                  <w:r>
                    <w:t xml:space="preserve">Najbardziej optymistyczni w ocenach byli użytkownicy gospodarstw o powierzchni </w:t>
                  </w:r>
                  <w:r w:rsidR="003367CB">
                    <w:t>20-50 ha użytków rolnych i młodzi rolnicy</w:t>
                  </w:r>
                </w:p>
              </w:txbxContent>
            </v:textbox>
            <w10:wrap type="tight"/>
          </v:shape>
        </w:pict>
      </w:r>
      <w:r w:rsidR="00CD5ECD" w:rsidRPr="00CD5ECD">
        <w:rPr>
          <w:szCs w:val="19"/>
        </w:rPr>
        <w:t>biorąc pod uwagę ukierunkowanie produkcyjne</w:t>
      </w:r>
      <w:r w:rsidR="002358C8">
        <w:rPr>
          <w:szCs w:val="19"/>
        </w:rPr>
        <w:t>,</w:t>
      </w:r>
      <w:r w:rsidR="00CD5ECD" w:rsidRPr="00CD5ECD">
        <w:rPr>
          <w:szCs w:val="19"/>
        </w:rPr>
        <w:t xml:space="preserve"> najgorzej koniunkturę w grudniu ub. r., jak również zmiany jakie zaszły w II półroczu 2017 r.  ocenili użytkownicy gospodarstw specjalizujących się w produkcji roślinnej. Wśród użytkowników gospodarstw specjaliz</w:t>
      </w:r>
      <w:r w:rsidR="00CD5ECD" w:rsidRPr="00CD5ECD">
        <w:rPr>
          <w:szCs w:val="19"/>
        </w:rPr>
        <w:t>u</w:t>
      </w:r>
      <w:r w:rsidR="00CD5ECD" w:rsidRPr="00CD5ECD">
        <w:rPr>
          <w:szCs w:val="19"/>
        </w:rPr>
        <w:t>jących się w produkcji zwierzęcej przeważały opinie pozytywne o przeszłej i obecnej s</w:t>
      </w:r>
      <w:r w:rsidR="00CD5ECD" w:rsidRPr="00CD5ECD">
        <w:rPr>
          <w:szCs w:val="19"/>
        </w:rPr>
        <w:t>y</w:t>
      </w:r>
      <w:r w:rsidR="00CD5ECD" w:rsidRPr="00CD5ECD">
        <w:rPr>
          <w:szCs w:val="19"/>
        </w:rPr>
        <w:t>tuacji ogólnej gospodarstw i opłacalności produkcji. Niezależnie od ukierunkowania pr</w:t>
      </w:r>
      <w:r w:rsidR="00CD5ECD" w:rsidRPr="00CD5ECD">
        <w:rPr>
          <w:szCs w:val="19"/>
        </w:rPr>
        <w:t>o</w:t>
      </w:r>
      <w:r w:rsidR="00CD5ECD" w:rsidRPr="00CD5ECD">
        <w:rPr>
          <w:szCs w:val="19"/>
        </w:rPr>
        <w:t>dukcyjnego, użytkownicy wszystkich gospodarstw negatywnie ocenili prognozowane zmiany w I półroczu 2018 r.</w:t>
      </w:r>
      <w:r w:rsidR="0027341F">
        <w:rPr>
          <w:szCs w:val="19"/>
        </w:rPr>
        <w:t>,</w:t>
      </w:r>
    </w:p>
    <w:p w:rsidR="00CD5ECD" w:rsidRPr="00CD5ECD" w:rsidRDefault="00CD5ECD" w:rsidP="00CD5ECD">
      <w:pPr>
        <w:pStyle w:val="Akapitzlist"/>
        <w:numPr>
          <w:ilvl w:val="0"/>
          <w:numId w:val="5"/>
        </w:numPr>
        <w:tabs>
          <w:tab w:val="left" w:pos="426"/>
        </w:tabs>
        <w:jc w:val="both"/>
        <w:rPr>
          <w:szCs w:val="19"/>
        </w:rPr>
      </w:pPr>
      <w:r w:rsidRPr="00CD5ECD">
        <w:rPr>
          <w:szCs w:val="19"/>
        </w:rPr>
        <w:t>najbardziej optymistyczni w swoich ocenach byli użytkownicy gospodarstw rolnych o powierzchni od 20 do 50 ha użytków rolnych,</w:t>
      </w:r>
    </w:p>
    <w:p w:rsidR="00CD5ECD" w:rsidRDefault="00CD5ECD" w:rsidP="00CD5ECD">
      <w:pPr>
        <w:pStyle w:val="Akapitzlist"/>
        <w:numPr>
          <w:ilvl w:val="0"/>
          <w:numId w:val="5"/>
        </w:numPr>
        <w:tabs>
          <w:tab w:val="left" w:pos="426"/>
        </w:tabs>
        <w:jc w:val="both"/>
        <w:rPr>
          <w:szCs w:val="19"/>
        </w:rPr>
      </w:pPr>
      <w:r w:rsidRPr="00CD5ECD">
        <w:rPr>
          <w:szCs w:val="19"/>
        </w:rPr>
        <w:t>najwięcej optymistycznych opinii wyrażali młodzi rolnicy (do 35 lat) oraz osoby prow</w:t>
      </w:r>
      <w:r w:rsidRPr="00CD5ECD">
        <w:rPr>
          <w:szCs w:val="19"/>
        </w:rPr>
        <w:t>a</w:t>
      </w:r>
      <w:r w:rsidRPr="00CD5ECD">
        <w:rPr>
          <w:szCs w:val="19"/>
        </w:rPr>
        <w:t>dzące gospodarstwo rolne nie dłużej niż 5 lat.</w:t>
      </w:r>
    </w:p>
    <w:p w:rsidR="004B0DC7" w:rsidRDefault="004B0DC7" w:rsidP="004B0DC7">
      <w:pPr>
        <w:pStyle w:val="Akapitzlist"/>
        <w:tabs>
          <w:tab w:val="left" w:pos="426"/>
        </w:tabs>
        <w:ind w:left="360"/>
        <w:jc w:val="both"/>
        <w:rPr>
          <w:szCs w:val="19"/>
        </w:rPr>
      </w:pPr>
    </w:p>
    <w:p w:rsidR="00A7224C" w:rsidRPr="00347D61" w:rsidRDefault="00347D61" w:rsidP="00EC54C6">
      <w:pPr>
        <w:pStyle w:val="tytuwykresu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409575</wp:posOffset>
            </wp:positionV>
            <wp:extent cx="5257800" cy="268605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A7224C" w:rsidRPr="00347D61">
        <w:t>Wykres 1</w:t>
      </w:r>
      <w:r w:rsidR="000232CF">
        <w:t xml:space="preserve">. </w:t>
      </w:r>
      <w:r w:rsidR="00A7224C" w:rsidRPr="00347D61">
        <w:rPr>
          <w:shd w:val="clear" w:color="auto" w:fill="FFFFFF"/>
        </w:rPr>
        <w:t xml:space="preserve"> </w:t>
      </w:r>
      <w:r w:rsidRPr="00347D61">
        <w:rPr>
          <w:shd w:val="clear" w:color="auto" w:fill="FFFFFF"/>
        </w:rPr>
        <w:t>Salda odpowiedzi dla b</w:t>
      </w:r>
      <w:r>
        <w:rPr>
          <w:shd w:val="clear" w:color="auto" w:fill="FFFFFF"/>
        </w:rPr>
        <w:t>ieżącej i prognozowanej sytuacji gospodarstw rolnych według</w:t>
      </w:r>
      <w:r w:rsidR="00EC54C6">
        <w:rPr>
          <w:shd w:val="clear" w:color="auto" w:fill="FFFFFF"/>
        </w:rPr>
        <w:t xml:space="preserve"> grup obszarowych użytków rolnych</w:t>
      </w:r>
    </w:p>
    <w:p w:rsidR="00010573" w:rsidRDefault="005343E5" w:rsidP="00553DB9">
      <w:pPr>
        <w:pStyle w:val="tytuwykresu"/>
        <w:ind w:left="737" w:hanging="737"/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124450" cy="274320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53DB9" w:rsidRPr="00553DB9">
        <w:t>Wykres 2</w:t>
      </w:r>
      <w:r w:rsidR="00CD5ECD" w:rsidRPr="00553DB9">
        <w:t>.</w:t>
      </w:r>
      <w:r w:rsidR="00CD5ECD" w:rsidRPr="00553DB9">
        <w:rPr>
          <w:shd w:val="clear" w:color="auto" w:fill="FFFFFF"/>
        </w:rPr>
        <w:t xml:space="preserve"> </w:t>
      </w:r>
      <w:r w:rsidR="00553DB9">
        <w:rPr>
          <w:shd w:val="clear" w:color="auto" w:fill="FFFFFF"/>
        </w:rPr>
        <w:t>Salda</w:t>
      </w:r>
      <w:r w:rsidR="00553DB9" w:rsidRPr="00553DB9">
        <w:rPr>
          <w:shd w:val="clear" w:color="auto" w:fill="FFFFFF"/>
        </w:rPr>
        <w:t xml:space="preserve"> odpowiedzi dla bieżącej (XII 2017 r.) i prognozowanej (I pół. 2018 r.) sytuacji gosp</w:t>
      </w:r>
      <w:r w:rsidR="00553DB9" w:rsidRPr="00553DB9">
        <w:rPr>
          <w:shd w:val="clear" w:color="auto" w:fill="FFFFFF"/>
        </w:rPr>
        <w:t>o</w:t>
      </w:r>
      <w:r w:rsidR="00553DB9" w:rsidRPr="00553DB9">
        <w:rPr>
          <w:shd w:val="clear" w:color="auto" w:fill="FFFFFF"/>
        </w:rPr>
        <w:t xml:space="preserve">darstw rolnych według wieku osoby kierującej gospodarstwem rolnym </w:t>
      </w:r>
    </w:p>
    <w:p w:rsidR="00010573" w:rsidRPr="00CD5ECD" w:rsidRDefault="00010573" w:rsidP="00CD5ECD">
      <w:pPr>
        <w:rPr>
          <w:lang w:eastAsia="pl-PL"/>
        </w:rPr>
      </w:pPr>
    </w:p>
    <w:p w:rsidR="00C22105" w:rsidRPr="00616B18" w:rsidRDefault="003D724F" w:rsidP="00074DD8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pict>
          <v:shape id="_x0000_s1028" type="#_x0000_t202" style="position:absolute;margin-left:412.05pt;margin-top:6pt;width:135.85pt;height:65.5pt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>
              <w:txbxContent>
                <w:p w:rsidR="00F25E25" w:rsidRPr="00332E9B" w:rsidRDefault="00F25E25" w:rsidP="00074DD8">
                  <w:pPr>
                    <w:pStyle w:val="tekstzboku"/>
                  </w:pPr>
                  <w:r w:rsidRPr="00332E9B">
                    <w:t>Niekorzystne zmiany w k</w:t>
                  </w:r>
                  <w:r w:rsidRPr="00332E9B">
                    <w:t>o</w:t>
                  </w:r>
                  <w:r w:rsidRPr="00332E9B">
                    <w:t>niunkturze w</w:t>
                  </w:r>
                  <w:r>
                    <w:t xml:space="preserve"> gospoda</w:t>
                  </w:r>
                  <w:r>
                    <w:t>r</w:t>
                  </w:r>
                  <w:r>
                    <w:t>stwach rolnych w II półroczu 2017 r.</w:t>
                  </w:r>
                </w:p>
                <w:p w:rsidR="00F25E25" w:rsidRPr="00D616D2" w:rsidRDefault="00F25E25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5429D3">
        <w:rPr>
          <w:shd w:val="clear" w:color="auto" w:fill="FFFFFF"/>
        </w:rPr>
        <w:t>Z</w:t>
      </w:r>
      <w:r w:rsidR="005429D3" w:rsidRPr="005429D3">
        <w:rPr>
          <w:shd w:val="clear" w:color="auto" w:fill="FFFFFF"/>
        </w:rPr>
        <w:t>miany w koniunkturze w I</w:t>
      </w:r>
      <w:r w:rsidR="005429D3">
        <w:rPr>
          <w:shd w:val="clear" w:color="auto" w:fill="FFFFFF"/>
        </w:rPr>
        <w:t xml:space="preserve">I półroczu 2017 r. </w:t>
      </w:r>
    </w:p>
    <w:p w:rsidR="005429D3" w:rsidRDefault="00A24C89" w:rsidP="005429D3">
      <w:pPr>
        <w:jc w:val="both"/>
      </w:pPr>
      <w:r>
        <w:rPr>
          <w:szCs w:val="19"/>
        </w:rPr>
        <w:t xml:space="preserve">W </w:t>
      </w:r>
      <w:r w:rsidR="00E658D5">
        <w:rPr>
          <w:szCs w:val="19"/>
        </w:rPr>
        <w:t>porównaniu z wynikami</w:t>
      </w:r>
      <w:r w:rsidR="005429D3" w:rsidRPr="005429D3">
        <w:rPr>
          <w:szCs w:val="19"/>
        </w:rPr>
        <w:t xml:space="preserve"> poprzedniej edycji badania, rolnicy w II półroczu 2017 r. bardziej pesymistycznie ocenili zarówno ogólną sytuację prowadzonych przez siebie gospodarstw rolnych, op</w:t>
      </w:r>
      <w:r w:rsidR="00CA3976">
        <w:rPr>
          <w:szCs w:val="19"/>
        </w:rPr>
        <w:t>łacalność produkcji rolni</w:t>
      </w:r>
      <w:r w:rsidR="00FF29E0">
        <w:rPr>
          <w:szCs w:val="19"/>
        </w:rPr>
        <w:t>czej</w:t>
      </w:r>
      <w:r w:rsidR="00E658D5">
        <w:rPr>
          <w:szCs w:val="19"/>
        </w:rPr>
        <w:t>, jak</w:t>
      </w:r>
      <w:r w:rsidR="00FF29E0">
        <w:rPr>
          <w:szCs w:val="19"/>
        </w:rPr>
        <w:t xml:space="preserve"> i</w:t>
      </w:r>
      <w:r w:rsidR="005429D3" w:rsidRPr="005429D3">
        <w:rPr>
          <w:szCs w:val="19"/>
        </w:rPr>
        <w:t xml:space="preserve"> zapotrzebowani</w:t>
      </w:r>
      <w:r w:rsidR="00FF29E0">
        <w:rPr>
          <w:szCs w:val="19"/>
        </w:rPr>
        <w:t>e</w:t>
      </w:r>
      <w:r w:rsidR="005429D3" w:rsidRPr="005429D3">
        <w:rPr>
          <w:szCs w:val="19"/>
        </w:rPr>
        <w:t xml:space="preserve"> na produkty rolne.</w:t>
      </w:r>
      <w:r w:rsidR="00896B33" w:rsidRPr="00896B33">
        <w:t xml:space="preserve"> </w:t>
      </w:r>
    </w:p>
    <w:p w:rsidR="003367CB" w:rsidRDefault="003D724F" w:rsidP="00606FFC">
      <w:pPr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59" type="#_x0000_t202" style="position:absolute;left:0;text-align:left;margin-left:412.05pt;margin-top:6.1pt;width:135.85pt;height:77.75pt;z-index:-2515415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>
              <w:txbxContent>
                <w:p w:rsidR="003367CB" w:rsidRPr="00332E9B" w:rsidRDefault="003367CB" w:rsidP="003367CB">
                  <w:pPr>
                    <w:pStyle w:val="tekstzboku"/>
                  </w:pPr>
                  <w:r w:rsidRPr="00332E9B">
                    <w:t>N</w:t>
                  </w:r>
                  <w:r w:rsidR="00321A9D">
                    <w:t>ajbardziej pesymistyczni w ocenach byli rolnicy prow</w:t>
                  </w:r>
                  <w:r w:rsidR="00321A9D">
                    <w:t>a</w:t>
                  </w:r>
                  <w:r w:rsidR="00321A9D">
                    <w:t>dzący plantacje drzew i krz</w:t>
                  </w:r>
                  <w:r w:rsidR="00321A9D">
                    <w:t>e</w:t>
                  </w:r>
                  <w:r w:rsidR="00321A9D">
                    <w:t>wów owocowych oraz chów świń</w:t>
                  </w:r>
                </w:p>
                <w:p w:rsidR="003367CB" w:rsidRPr="00D616D2" w:rsidRDefault="003367CB" w:rsidP="003367CB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</w:p>
    <w:p w:rsidR="00606FFC" w:rsidRDefault="00606FFC" w:rsidP="005429D3">
      <w:pPr>
        <w:jc w:val="both"/>
        <w:rPr>
          <w:szCs w:val="19"/>
        </w:rPr>
      </w:pPr>
      <w:r w:rsidRPr="00896B33">
        <w:rPr>
          <w:szCs w:val="19"/>
        </w:rPr>
        <w:t xml:space="preserve">Jedynie użytkownicy gospodarstw </w:t>
      </w:r>
      <w:r w:rsidR="00531F0E">
        <w:rPr>
          <w:szCs w:val="19"/>
        </w:rPr>
        <w:t>prowadzących chów</w:t>
      </w:r>
      <w:r w:rsidRPr="00896B33">
        <w:rPr>
          <w:szCs w:val="19"/>
        </w:rPr>
        <w:t xml:space="preserve"> bydła mlecznego korzystnie ocenili zmiany ko</w:t>
      </w:r>
      <w:r w:rsidR="00A24C89">
        <w:rPr>
          <w:szCs w:val="19"/>
        </w:rPr>
        <w:t>niunktury w II półroczu 2017 r. W</w:t>
      </w:r>
      <w:r w:rsidRPr="00896B33">
        <w:rPr>
          <w:szCs w:val="19"/>
        </w:rPr>
        <w:t>śród gospodarstw ukierunkowanych na produkcj</w:t>
      </w:r>
      <w:r w:rsidR="00A24C89">
        <w:rPr>
          <w:szCs w:val="19"/>
        </w:rPr>
        <w:t>ę rośliną najmniej pesymistyczn</w:t>
      </w:r>
      <w:r w:rsidRPr="00896B33">
        <w:rPr>
          <w:szCs w:val="19"/>
        </w:rPr>
        <w:t>e opinie wyrażali rolnicy prowadzący uprawy pod osłonami. Najwięcej negatywnych opinii wyrażali producenci prowadzący plantacje drzew i krzewów owocowych, uprawy warzyw gruntowych, a także hodowcy świń i drobiu rzeźnego.</w:t>
      </w:r>
    </w:p>
    <w:p w:rsidR="003367CB" w:rsidRPr="005429D3" w:rsidRDefault="003367CB" w:rsidP="005429D3">
      <w:pPr>
        <w:jc w:val="both"/>
        <w:rPr>
          <w:szCs w:val="19"/>
        </w:rPr>
      </w:pPr>
    </w:p>
    <w:p w:rsidR="00E9674F" w:rsidRDefault="00E9674F" w:rsidP="00E9674F">
      <w:pPr>
        <w:pStyle w:val="tytuwykresu"/>
        <w:ind w:left="737" w:hanging="737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521970</wp:posOffset>
            </wp:positionV>
            <wp:extent cx="5124450" cy="3009900"/>
            <wp:effectExtent l="0" t="0" r="0" b="0"/>
            <wp:wrapSquare wrapText="bothSides"/>
            <wp:docPr id="18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8135C1">
        <w:t>Wykres 3</w:t>
      </w:r>
      <w:r w:rsidRPr="00496AD4">
        <w:t>.</w:t>
      </w:r>
      <w:r w:rsidRPr="00496AD4">
        <w:rPr>
          <w:shd w:val="clear" w:color="auto" w:fill="FFFFFF"/>
        </w:rPr>
        <w:t xml:space="preserve"> </w:t>
      </w:r>
      <w:r w:rsidRPr="00196B8E">
        <w:rPr>
          <w:shd w:val="clear" w:color="auto" w:fill="FFFFFF"/>
        </w:rPr>
        <w:t>Salda odpowiedzi dotyczące zmian w II półroczu 2017 r. sytuacji ogólnej gospodarstw rolnych, opłacalności produkcji rolni</w:t>
      </w:r>
      <w:r>
        <w:rPr>
          <w:shd w:val="clear" w:color="auto" w:fill="FFFFFF"/>
        </w:rPr>
        <w:t>czej i popytu na produkty rolne</w:t>
      </w:r>
    </w:p>
    <w:p w:rsidR="00047EAA" w:rsidRDefault="00047EAA" w:rsidP="00047EAA">
      <w:pPr>
        <w:ind w:left="907" w:hanging="907"/>
        <w:jc w:val="both"/>
        <w:rPr>
          <w:b/>
          <w:sz w:val="18"/>
          <w:szCs w:val="18"/>
        </w:rPr>
      </w:pPr>
    </w:p>
    <w:p w:rsidR="00606FFC" w:rsidRDefault="00606FFC" w:rsidP="00047EAA">
      <w:pPr>
        <w:ind w:left="907" w:hanging="907"/>
        <w:jc w:val="both"/>
        <w:rPr>
          <w:b/>
          <w:sz w:val="18"/>
          <w:szCs w:val="18"/>
        </w:rPr>
      </w:pPr>
    </w:p>
    <w:p w:rsidR="00047EAA" w:rsidRPr="0014690A" w:rsidRDefault="00047EAA" w:rsidP="0014690A">
      <w:pPr>
        <w:ind w:left="851" w:hanging="851"/>
        <w:jc w:val="both"/>
        <w:rPr>
          <w:b/>
          <w:sz w:val="18"/>
          <w:szCs w:val="18"/>
        </w:rPr>
      </w:pPr>
      <w:r w:rsidRPr="00ED5B39">
        <w:rPr>
          <w:b/>
          <w:sz w:val="18"/>
          <w:szCs w:val="18"/>
        </w:rPr>
        <w:lastRenderedPageBreak/>
        <w:t xml:space="preserve">Tablica 1. Salda </w:t>
      </w:r>
      <w:r w:rsidR="008A3C0D">
        <w:rPr>
          <w:b/>
          <w:sz w:val="18"/>
          <w:szCs w:val="18"/>
        </w:rPr>
        <w:t xml:space="preserve">odpowiedzi dotyczące </w:t>
      </w:r>
      <w:r w:rsidRPr="00ED5B39">
        <w:rPr>
          <w:b/>
          <w:sz w:val="18"/>
          <w:szCs w:val="18"/>
        </w:rPr>
        <w:t>ocen zmian: sytuacji ogólnej gospodarstwa rolnego, opł</w:t>
      </w:r>
      <w:r w:rsidRPr="00ED5B39">
        <w:rPr>
          <w:b/>
          <w:sz w:val="18"/>
          <w:szCs w:val="18"/>
        </w:rPr>
        <w:t>a</w:t>
      </w:r>
      <w:r w:rsidRPr="00ED5B39">
        <w:rPr>
          <w:b/>
          <w:sz w:val="18"/>
          <w:szCs w:val="18"/>
        </w:rPr>
        <w:t>calności produkcji rolniczej oraz</w:t>
      </w:r>
      <w:r>
        <w:rPr>
          <w:b/>
          <w:sz w:val="18"/>
          <w:szCs w:val="18"/>
        </w:rPr>
        <w:t xml:space="preserve"> popytu na produkty rolne</w:t>
      </w:r>
    </w:p>
    <w:tbl>
      <w:tblPr>
        <w:tblW w:w="8172" w:type="dxa"/>
        <w:jc w:val="center"/>
        <w:tblInd w:w="25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368"/>
        <w:gridCol w:w="1134"/>
        <w:gridCol w:w="1134"/>
        <w:gridCol w:w="1134"/>
        <w:gridCol w:w="1134"/>
        <w:gridCol w:w="1134"/>
        <w:gridCol w:w="1134"/>
      </w:tblGrid>
      <w:tr w:rsidR="00047EAA" w:rsidRPr="00ED5B39" w:rsidTr="00632C30">
        <w:trPr>
          <w:trHeight w:val="315"/>
          <w:jc w:val="center"/>
        </w:trPr>
        <w:tc>
          <w:tcPr>
            <w:tcW w:w="1368" w:type="dxa"/>
            <w:vMerge w:val="restart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 xml:space="preserve">Okres badania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sytuacji ogólnej gospodarstwa rolnego w:</w:t>
            </w:r>
          </w:p>
        </w:tc>
        <w:tc>
          <w:tcPr>
            <w:tcW w:w="2268" w:type="dxa"/>
            <w:gridSpan w:val="2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opłacalności pr</w:t>
            </w:r>
            <w:r w:rsidRPr="00ED5B39">
              <w:rPr>
                <w:bCs/>
                <w:sz w:val="16"/>
                <w:szCs w:val="16"/>
              </w:rPr>
              <w:t>o</w:t>
            </w:r>
            <w:r w:rsidRPr="00ED5B39">
              <w:rPr>
                <w:bCs/>
                <w:sz w:val="16"/>
                <w:szCs w:val="16"/>
              </w:rPr>
              <w:t>dukcji rolniczej w:</w:t>
            </w:r>
          </w:p>
        </w:tc>
        <w:tc>
          <w:tcPr>
            <w:tcW w:w="2268" w:type="dxa"/>
            <w:gridSpan w:val="2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Zmiana popytu na produkty rolne w:</w:t>
            </w:r>
          </w:p>
        </w:tc>
      </w:tr>
      <w:tr w:rsidR="00047EAA" w:rsidRPr="00ED5B39" w:rsidTr="00632C30">
        <w:trPr>
          <w:trHeight w:val="315"/>
          <w:jc w:val="center"/>
        </w:trPr>
        <w:tc>
          <w:tcPr>
            <w:tcW w:w="1368" w:type="dxa"/>
            <w:vMerge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ostatnim półroczu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center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najbliższym półroczu</w:t>
            </w:r>
          </w:p>
        </w:tc>
      </w:tr>
      <w:tr w:rsidR="00047EAA" w:rsidRPr="00ED5B39" w:rsidTr="00632C30">
        <w:trPr>
          <w:trHeight w:val="315"/>
          <w:jc w:val="center"/>
        </w:trPr>
        <w:tc>
          <w:tcPr>
            <w:tcW w:w="1368" w:type="dxa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</w:p>
        </w:tc>
        <w:tc>
          <w:tcPr>
            <w:tcW w:w="6804" w:type="dxa"/>
            <w:gridSpan w:val="6"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center"/>
              <w:rPr>
                <w:bCs/>
                <w:i/>
                <w:sz w:val="16"/>
                <w:szCs w:val="16"/>
              </w:rPr>
            </w:pPr>
            <w:r w:rsidRPr="00ED5B39">
              <w:rPr>
                <w:bCs/>
                <w:i/>
                <w:sz w:val="16"/>
                <w:szCs w:val="16"/>
              </w:rPr>
              <w:t>saldo odpowiedzi w p. proc.</w:t>
            </w:r>
          </w:p>
        </w:tc>
      </w:tr>
      <w:tr w:rsidR="00047EAA" w:rsidRPr="00ED5B39" w:rsidTr="00632C30">
        <w:trPr>
          <w:trHeight w:val="562"/>
          <w:jc w:val="center"/>
        </w:trPr>
        <w:tc>
          <w:tcPr>
            <w:tcW w:w="136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2013 r.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-17,3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-11,9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-35,7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-19,1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-9,9</w:t>
            </w:r>
          </w:p>
        </w:tc>
        <w:tc>
          <w:tcPr>
            <w:tcW w:w="113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-5,1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2013 r.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-16,4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-4,1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-29,8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-9,7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-6,7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-1,0</w:t>
            </w:r>
          </w:p>
        </w:tc>
      </w:tr>
      <w:tr w:rsidR="00047EAA" w:rsidRPr="00ED5B39" w:rsidTr="00632C30">
        <w:trPr>
          <w:trHeight w:val="562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2014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-4,4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-30,6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-11,0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-3,7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2014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-31,6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-15,9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-51,4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-21,2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-28,1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-12,3</w:t>
            </w:r>
          </w:p>
        </w:tc>
      </w:tr>
      <w:tr w:rsidR="00047EAA" w:rsidRPr="00ED5B39" w:rsidTr="00632C30">
        <w:trPr>
          <w:trHeight w:val="562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2015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-40,5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-21,4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-59,2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-27,8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-24,8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-13,2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2015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-10,5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-53,5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-15,6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-20,8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-6,8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2016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-29,0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-10,4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-46,6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-16,3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-16,1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-7,6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Grudzień 2016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2,9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-23,4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-1,2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-5,8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2,8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Czerwiec 2017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-7,8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-1,1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-12,8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-3,9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2,5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Cs/>
                <w:sz w:val="16"/>
                <w:szCs w:val="16"/>
              </w:rPr>
            </w:pPr>
            <w:r w:rsidRPr="00ED5B39">
              <w:rPr>
                <w:bCs/>
                <w:sz w:val="16"/>
                <w:szCs w:val="16"/>
              </w:rPr>
              <w:t>2,2</w:t>
            </w:r>
          </w:p>
        </w:tc>
      </w:tr>
      <w:tr w:rsidR="00047EAA" w:rsidRPr="00ED5B39" w:rsidTr="00632C30">
        <w:trPr>
          <w:trHeight w:val="567"/>
          <w:jc w:val="center"/>
        </w:trPr>
        <w:tc>
          <w:tcPr>
            <w:tcW w:w="1368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Grudzień 2017 r.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-10,1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-3,0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-17,5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-6,5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-2,7</w:t>
            </w:r>
          </w:p>
        </w:tc>
        <w:tc>
          <w:tcPr>
            <w:tcW w:w="1134" w:type="dxa"/>
            <w:vAlign w:val="center"/>
          </w:tcPr>
          <w:p w:rsidR="00047EAA" w:rsidRPr="00ED5B39" w:rsidRDefault="00047EAA" w:rsidP="00BF4781">
            <w:pPr>
              <w:jc w:val="right"/>
              <w:rPr>
                <w:b/>
                <w:bCs/>
                <w:sz w:val="16"/>
                <w:szCs w:val="16"/>
              </w:rPr>
            </w:pPr>
            <w:r w:rsidRPr="00ED5B39">
              <w:rPr>
                <w:b/>
                <w:bCs/>
                <w:sz w:val="16"/>
                <w:szCs w:val="16"/>
              </w:rPr>
              <w:t>-0,1</w:t>
            </w:r>
          </w:p>
        </w:tc>
      </w:tr>
    </w:tbl>
    <w:p w:rsidR="00B05570" w:rsidRPr="00616B18" w:rsidRDefault="003D724F" w:rsidP="00B05570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pict>
          <v:shape id="_x0000_s1052" type="#_x0000_t202" style="position:absolute;margin-left:412.05pt;margin-top:10.75pt;width:135.85pt;height:69.95pt;z-index:-251544576;visibility:visible;mso-wrap-distance-top:3.6pt;mso-wrap-distance-bottom:3.6pt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52">
              <w:txbxContent>
                <w:p w:rsidR="00F25E25" w:rsidRPr="00332E9B" w:rsidRDefault="00F25E25" w:rsidP="00B05570">
                  <w:pPr>
                    <w:pStyle w:val="tekstzboku"/>
                  </w:pPr>
                  <w:r>
                    <w:t>Pozytywna ocena bieżącej sytuacji ogólnej gospodarstw rolnych</w:t>
                  </w:r>
                </w:p>
                <w:p w:rsidR="00F25E25" w:rsidRPr="00D616D2" w:rsidRDefault="00F25E25" w:rsidP="00B05570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B05570">
        <w:rPr>
          <w:shd w:val="clear" w:color="auto" w:fill="FFFFFF"/>
        </w:rPr>
        <w:t>Ocena sytuacji ogólnej gospodarstw rolnych</w:t>
      </w:r>
    </w:p>
    <w:p w:rsidR="0094233E" w:rsidRPr="00B05570" w:rsidRDefault="00B05570" w:rsidP="0094233E">
      <w:pPr>
        <w:spacing w:after="240"/>
        <w:jc w:val="both"/>
        <w:rPr>
          <w:szCs w:val="19"/>
        </w:rPr>
      </w:pPr>
      <w:r w:rsidRPr="00496AD4">
        <w:rPr>
          <w:szCs w:val="19"/>
        </w:rPr>
        <w:t xml:space="preserve">Ponad 87% rolników uznało bieżącą (grudzień 2017 r.) </w:t>
      </w:r>
      <w:r>
        <w:rPr>
          <w:szCs w:val="19"/>
        </w:rPr>
        <w:t>sytuację</w:t>
      </w:r>
      <w:r w:rsidRPr="00496AD4">
        <w:rPr>
          <w:szCs w:val="19"/>
        </w:rPr>
        <w:t xml:space="preserve"> </w:t>
      </w:r>
      <w:r w:rsidR="00F4546F">
        <w:rPr>
          <w:szCs w:val="19"/>
        </w:rPr>
        <w:t xml:space="preserve">ogólną </w:t>
      </w:r>
      <w:r w:rsidRPr="00496AD4">
        <w:rPr>
          <w:szCs w:val="19"/>
        </w:rPr>
        <w:t>swoich go</w:t>
      </w:r>
      <w:r w:rsidR="00E658D5">
        <w:rPr>
          <w:szCs w:val="19"/>
        </w:rPr>
        <w:t xml:space="preserve">spodarstw rolnych jako normalną </w:t>
      </w:r>
      <w:r w:rsidRPr="00496AD4">
        <w:rPr>
          <w:szCs w:val="19"/>
        </w:rPr>
        <w:t>jak na tę porę roku lub dobrą. Opinia o dobrej sytuacji gospodarstw rolnych przeważała nad opiniami p</w:t>
      </w:r>
      <w:r w:rsidR="009D0204">
        <w:rPr>
          <w:szCs w:val="19"/>
        </w:rPr>
        <w:t>rzeciwnymi o 1,0 p. procentowy</w:t>
      </w:r>
      <w:r w:rsidRPr="00496AD4">
        <w:rPr>
          <w:szCs w:val="19"/>
        </w:rPr>
        <w:t xml:space="preserve">. </w:t>
      </w:r>
    </w:p>
    <w:p w:rsidR="00196B8E" w:rsidRDefault="0094233E" w:rsidP="001C5701">
      <w:pPr>
        <w:pStyle w:val="tytuwykresu"/>
        <w:ind w:left="737" w:hanging="737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523240</wp:posOffset>
            </wp:positionV>
            <wp:extent cx="5124450" cy="2581275"/>
            <wp:effectExtent l="0" t="0" r="0" b="0"/>
            <wp:wrapSquare wrapText="bothSides"/>
            <wp:docPr id="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BF24E9">
        <w:t>Wykres 4</w:t>
      </w:r>
      <w:r w:rsidR="00196B8E" w:rsidRPr="00496AD4">
        <w:t>.</w:t>
      </w:r>
      <w:r w:rsidR="00196B8E" w:rsidRPr="00496AD4">
        <w:rPr>
          <w:shd w:val="clear" w:color="auto" w:fill="FFFFFF"/>
        </w:rPr>
        <w:t xml:space="preserve"> </w:t>
      </w:r>
      <w:r w:rsidR="00B05570">
        <w:rPr>
          <w:shd w:val="clear" w:color="auto" w:fill="FFFFFF"/>
        </w:rPr>
        <w:t xml:space="preserve">Salda odpowiedzi dotyczące bieżącej </w:t>
      </w:r>
      <w:r w:rsidR="00196B8E" w:rsidRPr="00196B8E">
        <w:rPr>
          <w:shd w:val="clear" w:color="auto" w:fill="FFFFFF"/>
        </w:rPr>
        <w:t xml:space="preserve"> sytuacji ogólnej gospodarstw rolnych, opłacalności produkcji rolni</w:t>
      </w:r>
      <w:r w:rsidR="00196B8E">
        <w:rPr>
          <w:shd w:val="clear" w:color="auto" w:fill="FFFFFF"/>
        </w:rPr>
        <w:t>czej i popytu na produkty rolne</w:t>
      </w:r>
    </w:p>
    <w:p w:rsidR="00BF4781" w:rsidRDefault="003D724F" w:rsidP="007B21D4">
      <w:pPr>
        <w:jc w:val="both"/>
        <w:rPr>
          <w:szCs w:val="19"/>
        </w:rPr>
      </w:pPr>
      <w:r>
        <w:rPr>
          <w:noProof/>
          <w:szCs w:val="19"/>
          <w:lang w:eastAsia="pl-PL"/>
        </w:rPr>
        <w:lastRenderedPageBreak/>
        <w:pict>
          <v:shape id="_x0000_s1061" type="#_x0000_t202" style="position:absolute;left:0;text-align:left;margin-left:417.75pt;margin-top:-12.25pt;width:130.5pt;height:75.75pt;z-index:251776000" fillcolor="#f8f8f8" stroked="f">
            <v:textbox>
              <w:txbxContent>
                <w:p w:rsidR="00332F68" w:rsidRPr="004A01C6" w:rsidRDefault="004A77B7">
                  <w:pPr>
                    <w:rPr>
                      <w:color w:val="001D77"/>
                      <w:sz w:val="18"/>
                      <w:szCs w:val="18"/>
                    </w:rPr>
                  </w:pPr>
                  <w:r>
                    <w:rPr>
                      <w:color w:val="001D77"/>
                      <w:sz w:val="18"/>
                      <w:szCs w:val="18"/>
                    </w:rPr>
                    <w:t xml:space="preserve">Najbardziej optymistyczni w ocenach byli </w:t>
                  </w:r>
                  <w:r w:rsidR="004A01C6">
                    <w:rPr>
                      <w:color w:val="001D77"/>
                      <w:sz w:val="18"/>
                      <w:szCs w:val="18"/>
                    </w:rPr>
                    <w:t>rolnicy prow</w:t>
                  </w:r>
                  <w:r w:rsidR="004A01C6">
                    <w:rPr>
                      <w:color w:val="001D77"/>
                      <w:sz w:val="18"/>
                      <w:szCs w:val="18"/>
                    </w:rPr>
                    <w:t>a</w:t>
                  </w:r>
                  <w:r w:rsidR="004A01C6">
                    <w:rPr>
                      <w:color w:val="001D77"/>
                      <w:sz w:val="18"/>
                      <w:szCs w:val="18"/>
                    </w:rPr>
                    <w:t>dzący chów bydła mleczn</w:t>
                  </w:r>
                  <w:r w:rsidR="004A01C6">
                    <w:rPr>
                      <w:color w:val="001D77"/>
                      <w:sz w:val="18"/>
                      <w:szCs w:val="18"/>
                    </w:rPr>
                    <w:t>e</w:t>
                  </w:r>
                  <w:r w:rsidR="004A01C6">
                    <w:rPr>
                      <w:color w:val="001D77"/>
                      <w:sz w:val="18"/>
                      <w:szCs w:val="18"/>
                    </w:rPr>
                    <w:t>go i rzeźnego oraz drobiu nieśnego</w:t>
                  </w:r>
                </w:p>
              </w:txbxContent>
            </v:textbox>
          </v:shape>
        </w:pict>
      </w:r>
      <w:r w:rsidR="00F37BC8" w:rsidRPr="007B21D4">
        <w:rPr>
          <w:szCs w:val="19"/>
        </w:rPr>
        <w:t>Optymistyczne opinie wyrażali użytkow</w:t>
      </w:r>
      <w:r w:rsidR="00F37BC8">
        <w:rPr>
          <w:szCs w:val="19"/>
        </w:rPr>
        <w:t xml:space="preserve">nicy gospodarstw o powierzchni </w:t>
      </w:r>
      <w:r w:rsidR="00F37BC8" w:rsidRPr="007B21D4">
        <w:rPr>
          <w:szCs w:val="19"/>
        </w:rPr>
        <w:t>powyżej 15 ha uży</w:t>
      </w:r>
      <w:r w:rsidR="00F37BC8" w:rsidRPr="007B21D4">
        <w:rPr>
          <w:szCs w:val="19"/>
        </w:rPr>
        <w:t>t</w:t>
      </w:r>
      <w:r w:rsidR="00F37BC8" w:rsidRPr="007B21D4">
        <w:rPr>
          <w:szCs w:val="19"/>
        </w:rPr>
        <w:t>ków rolny</w:t>
      </w:r>
      <w:r w:rsidR="00F4452E">
        <w:rPr>
          <w:szCs w:val="19"/>
        </w:rPr>
        <w:t>ch,</w:t>
      </w:r>
      <w:r w:rsidR="00F37BC8" w:rsidRPr="007B21D4">
        <w:rPr>
          <w:szCs w:val="19"/>
        </w:rPr>
        <w:t xml:space="preserve"> użytkownicy p</w:t>
      </w:r>
      <w:r w:rsidR="00F37BC8">
        <w:rPr>
          <w:szCs w:val="19"/>
        </w:rPr>
        <w:t xml:space="preserve">rowadzący chów bydła mlecznego </w:t>
      </w:r>
      <w:r w:rsidR="00F37BC8" w:rsidRPr="007B21D4">
        <w:rPr>
          <w:szCs w:val="19"/>
        </w:rPr>
        <w:t>i rzeźnego oraz drobiu nieśn</w:t>
      </w:r>
      <w:r w:rsidR="00F37BC8" w:rsidRPr="007B21D4">
        <w:rPr>
          <w:szCs w:val="19"/>
        </w:rPr>
        <w:t>e</w:t>
      </w:r>
      <w:r w:rsidR="00F37BC8" w:rsidRPr="007B21D4">
        <w:rPr>
          <w:szCs w:val="19"/>
        </w:rPr>
        <w:t>go. Dodatnie saldo odpowiedzi (przewaga opinii pozytywnych nad negatywnymi) odnotowano również w przypadku gospodarstw prowadzących uprawy przemysłowe tj. buraki cukrowe, rzepak i rzepik jak równie</w:t>
      </w:r>
      <w:r w:rsidR="00F37BC8">
        <w:rPr>
          <w:szCs w:val="19"/>
        </w:rPr>
        <w:t xml:space="preserve">ż zboża i uprawy pod osłonami. </w:t>
      </w:r>
      <w:r w:rsidR="00F37BC8" w:rsidRPr="007B21D4">
        <w:rPr>
          <w:szCs w:val="19"/>
        </w:rPr>
        <w:t>Z analizy odpowiedzi wynika, że najgorzej swoją sytuację (ujemne saldo odpowiedzi) oceniali rolnicy prowadzący plantacje drzew i krzewów owocowych oraz chów świń, mniej pesymistyczni byli rolnicy prowad</w:t>
      </w:r>
      <w:r w:rsidR="00935C0A">
        <w:rPr>
          <w:szCs w:val="19"/>
        </w:rPr>
        <w:t>zący uprawy ziemniaków</w:t>
      </w:r>
      <w:r w:rsidR="00F4452E">
        <w:rPr>
          <w:szCs w:val="19"/>
        </w:rPr>
        <w:t>.</w:t>
      </w:r>
    </w:p>
    <w:p w:rsidR="00935C0A" w:rsidRDefault="00935C0A" w:rsidP="007B21D4">
      <w:pPr>
        <w:jc w:val="both"/>
        <w:rPr>
          <w:szCs w:val="19"/>
        </w:rPr>
      </w:pPr>
    </w:p>
    <w:p w:rsidR="00935C0A" w:rsidRDefault="00C21167" w:rsidP="00504DAB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415925</wp:posOffset>
            </wp:positionV>
            <wp:extent cx="5124450" cy="2276475"/>
            <wp:effectExtent l="19050" t="0" r="0" b="0"/>
            <wp:wrapSquare wrapText="bothSides"/>
            <wp:docPr id="6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935C0A" w:rsidRPr="00496AD4">
        <w:t xml:space="preserve">Wykres </w:t>
      </w:r>
      <w:r w:rsidR="00935C0A">
        <w:t>5</w:t>
      </w:r>
      <w:r w:rsidR="00935C0A" w:rsidRPr="00496AD4">
        <w:t>.</w:t>
      </w:r>
      <w:r w:rsidR="00935C0A" w:rsidRPr="00496AD4">
        <w:rPr>
          <w:shd w:val="clear" w:color="auto" w:fill="FFFFFF"/>
        </w:rPr>
        <w:t xml:space="preserve"> </w:t>
      </w:r>
      <w:r w:rsidR="00935C0A" w:rsidRPr="00935C0A">
        <w:rPr>
          <w:shd w:val="clear" w:color="auto" w:fill="FFFFFF"/>
        </w:rPr>
        <w:t>Salda odpowiedzi dla bieżącej sytuacji ogólnej gospodarstw rolnych,  opłacalności pr</w:t>
      </w:r>
      <w:r w:rsidR="00935C0A" w:rsidRPr="00935C0A">
        <w:rPr>
          <w:shd w:val="clear" w:color="auto" w:fill="FFFFFF"/>
        </w:rPr>
        <w:t>o</w:t>
      </w:r>
      <w:r w:rsidR="003A28A5">
        <w:rPr>
          <w:shd w:val="clear" w:color="auto" w:fill="FFFFFF"/>
        </w:rPr>
        <w:t xml:space="preserve">dukcji rolniczej i </w:t>
      </w:r>
      <w:r w:rsidR="00935C0A">
        <w:rPr>
          <w:shd w:val="clear" w:color="auto" w:fill="FFFFFF"/>
        </w:rPr>
        <w:t xml:space="preserve"> popytu na produkty rolne</w:t>
      </w:r>
    </w:p>
    <w:p w:rsidR="00FA0071" w:rsidRDefault="00FA0071" w:rsidP="00AB00B2">
      <w:pPr>
        <w:ind w:left="851" w:hanging="851"/>
        <w:jc w:val="both"/>
        <w:rPr>
          <w:b/>
          <w:sz w:val="18"/>
          <w:szCs w:val="18"/>
        </w:rPr>
      </w:pPr>
    </w:p>
    <w:p w:rsidR="004859EB" w:rsidRPr="00AB00B2" w:rsidRDefault="005E1CE8" w:rsidP="00AB00B2">
      <w:pPr>
        <w:ind w:left="851" w:hanging="85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Tablica 2</w:t>
      </w:r>
      <w:r w:rsidR="00AB00B2">
        <w:rPr>
          <w:b/>
          <w:sz w:val="18"/>
          <w:szCs w:val="18"/>
        </w:rPr>
        <w:t>. Ocena sytuacji ogólnej gospodarstw rolnych</w:t>
      </w:r>
    </w:p>
    <w:tbl>
      <w:tblPr>
        <w:tblW w:w="8080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268"/>
        <w:gridCol w:w="1465"/>
        <w:gridCol w:w="1465"/>
        <w:gridCol w:w="1465"/>
        <w:gridCol w:w="1417"/>
      </w:tblGrid>
      <w:tr w:rsidR="00537C37" w:rsidRPr="00B2001F" w:rsidTr="007B21D4">
        <w:trPr>
          <w:trHeight w:val="624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Wyszczególnienie</w:t>
            </w:r>
          </w:p>
          <w:p w:rsidR="00537C37" w:rsidRPr="00B2001F" w:rsidRDefault="00537C37" w:rsidP="00B2001F">
            <w:pPr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 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Gospodarstwa rolne, których bieżąca sytuacja ogólna była:</w:t>
            </w:r>
          </w:p>
        </w:tc>
        <w:tc>
          <w:tcPr>
            <w:tcW w:w="1417" w:type="dxa"/>
            <w:vMerge w:val="restart"/>
            <w:vAlign w:val="center"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Saldo</w:t>
            </w:r>
          </w:p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odpowiedzi</w:t>
            </w:r>
          </w:p>
          <w:p w:rsidR="00537C37" w:rsidRPr="00B2001F" w:rsidRDefault="00537C37" w:rsidP="00B2001F">
            <w:pPr>
              <w:jc w:val="center"/>
              <w:rPr>
                <w:i/>
                <w:sz w:val="16"/>
                <w:szCs w:val="16"/>
              </w:rPr>
            </w:pPr>
            <w:r w:rsidRPr="00B2001F">
              <w:rPr>
                <w:i/>
                <w:sz w:val="16"/>
                <w:szCs w:val="16"/>
              </w:rPr>
              <w:t>w p. proc.</w:t>
            </w:r>
          </w:p>
        </w:tc>
      </w:tr>
      <w:tr w:rsidR="00537C37" w:rsidRPr="00B2001F" w:rsidTr="007B21D4">
        <w:trPr>
          <w:trHeight w:val="397"/>
        </w:trPr>
        <w:tc>
          <w:tcPr>
            <w:tcW w:w="2268" w:type="dxa"/>
            <w:vMerge/>
            <w:vAlign w:val="center"/>
            <w:hideMark/>
          </w:tcPr>
          <w:p w:rsidR="00537C37" w:rsidRPr="00B2001F" w:rsidRDefault="00537C37" w:rsidP="00B2001F">
            <w:pPr>
              <w:rPr>
                <w:sz w:val="16"/>
                <w:szCs w:val="16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dobra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FA0071" w:rsidRDefault="00FA0071" w:rsidP="00B2001F">
            <w:pPr>
              <w:jc w:val="center"/>
              <w:rPr>
                <w:sz w:val="16"/>
                <w:szCs w:val="16"/>
                <w:vertAlign w:val="superscript"/>
              </w:rPr>
            </w:pPr>
            <w:r>
              <w:rPr>
                <w:sz w:val="16"/>
                <w:szCs w:val="16"/>
              </w:rPr>
              <w:t>n</w:t>
            </w:r>
            <w:r w:rsidR="00537C37" w:rsidRPr="00B2001F">
              <w:rPr>
                <w:sz w:val="16"/>
                <w:szCs w:val="16"/>
              </w:rPr>
              <w:t>ormalna</w:t>
            </w:r>
            <w:r>
              <w:rPr>
                <w:sz w:val="16"/>
                <w:szCs w:val="16"/>
              </w:rPr>
              <w:t xml:space="preserve"> </w:t>
            </w:r>
            <w:r w:rsidRPr="00FA0071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  <w:r w:rsidRPr="00B2001F">
              <w:rPr>
                <w:sz w:val="16"/>
                <w:szCs w:val="16"/>
              </w:rPr>
              <w:t>zła</w:t>
            </w:r>
          </w:p>
        </w:tc>
        <w:tc>
          <w:tcPr>
            <w:tcW w:w="1417" w:type="dxa"/>
            <w:vMerge/>
            <w:vAlign w:val="center"/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sz w:val="16"/>
                <w:szCs w:val="16"/>
              </w:rPr>
            </w:pPr>
          </w:p>
        </w:tc>
        <w:tc>
          <w:tcPr>
            <w:tcW w:w="4395" w:type="dxa"/>
            <w:gridSpan w:val="3"/>
            <w:tcBorders>
              <w:bottom w:val="single" w:sz="12" w:space="0" w:color="001D77"/>
            </w:tcBorders>
            <w:shd w:val="clear" w:color="auto" w:fill="auto"/>
            <w:hideMark/>
          </w:tcPr>
          <w:p w:rsidR="00537C37" w:rsidRPr="00B2001F" w:rsidRDefault="00537C37" w:rsidP="00B2001F">
            <w:pPr>
              <w:jc w:val="center"/>
              <w:rPr>
                <w:i/>
                <w:sz w:val="16"/>
                <w:szCs w:val="16"/>
              </w:rPr>
            </w:pPr>
            <w:r w:rsidRPr="00B2001F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417" w:type="dxa"/>
            <w:vMerge/>
            <w:tcBorders>
              <w:bottom w:val="single" w:sz="12" w:space="0" w:color="001D77"/>
            </w:tcBorders>
          </w:tcPr>
          <w:p w:rsidR="00537C37" w:rsidRPr="00B2001F" w:rsidRDefault="00537C37" w:rsidP="00B2001F">
            <w:pPr>
              <w:jc w:val="center"/>
              <w:rPr>
                <w:sz w:val="16"/>
                <w:szCs w:val="16"/>
              </w:rPr>
            </w:pP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Czerwiec 2013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19,3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58,3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22,4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-3,1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Grudzień 2013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19,6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61,4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19,0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0,6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20,7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62,7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16,6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4,1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Grudzień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15,7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56,7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27,6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-11,9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9,0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56,5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34,5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-25,5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Grudzień 2015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7,6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66,0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26,4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-18,8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Czerwiec 2016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11,5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65,4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23,1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-11,6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Grudzień 2016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11,8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75,7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12,5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-0,7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</w:tcPr>
          <w:p w:rsidR="00537C37" w:rsidRPr="00B2001F" w:rsidRDefault="00537C37" w:rsidP="00B2001F">
            <w:pPr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 xml:space="preserve">  Czerwiec 2017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15,9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69,4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14,7</w:t>
            </w:r>
          </w:p>
        </w:tc>
        <w:tc>
          <w:tcPr>
            <w:tcW w:w="1417" w:type="dxa"/>
            <w:vAlign w:val="center"/>
          </w:tcPr>
          <w:p w:rsidR="00537C37" w:rsidRPr="00B2001F" w:rsidRDefault="00537C37" w:rsidP="00B2001F">
            <w:pPr>
              <w:jc w:val="right"/>
              <w:rPr>
                <w:bCs/>
                <w:sz w:val="16"/>
                <w:szCs w:val="16"/>
              </w:rPr>
            </w:pPr>
            <w:r w:rsidRPr="00B2001F">
              <w:rPr>
                <w:bCs/>
                <w:sz w:val="16"/>
                <w:szCs w:val="16"/>
              </w:rPr>
              <w:t>1,2</w:t>
            </w:r>
          </w:p>
        </w:tc>
      </w:tr>
      <w:tr w:rsidR="00537C37" w:rsidRPr="00B2001F" w:rsidTr="007B21D4">
        <w:trPr>
          <w:trHeight w:val="315"/>
        </w:trPr>
        <w:tc>
          <w:tcPr>
            <w:tcW w:w="2268" w:type="dxa"/>
            <w:shd w:val="clear" w:color="auto" w:fill="auto"/>
            <w:vAlign w:val="center"/>
          </w:tcPr>
          <w:p w:rsidR="00537C37" w:rsidRPr="00B2001F" w:rsidRDefault="00537C37" w:rsidP="00B2001F">
            <w:pPr>
              <w:rPr>
                <w:b/>
                <w:bCs/>
                <w:sz w:val="16"/>
                <w:szCs w:val="16"/>
              </w:rPr>
            </w:pPr>
            <w:r w:rsidRPr="00B2001F">
              <w:rPr>
                <w:b/>
                <w:bCs/>
                <w:sz w:val="16"/>
                <w:szCs w:val="16"/>
              </w:rPr>
              <w:t xml:space="preserve">  Grudzień 2017 r.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537C37" w:rsidRPr="00B2001F" w:rsidRDefault="00537C37" w:rsidP="00B2001F">
            <w:pPr>
              <w:jc w:val="right"/>
              <w:rPr>
                <w:b/>
                <w:bCs/>
                <w:sz w:val="16"/>
                <w:szCs w:val="16"/>
              </w:rPr>
            </w:pPr>
            <w:r w:rsidRPr="00B2001F">
              <w:rPr>
                <w:b/>
                <w:bCs/>
                <w:sz w:val="16"/>
                <w:szCs w:val="16"/>
              </w:rPr>
              <w:t>13,7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537C37" w:rsidRPr="00B2001F" w:rsidRDefault="00537C37" w:rsidP="00B2001F">
            <w:pPr>
              <w:jc w:val="right"/>
              <w:rPr>
                <w:b/>
                <w:bCs/>
                <w:sz w:val="16"/>
                <w:szCs w:val="16"/>
              </w:rPr>
            </w:pPr>
            <w:r w:rsidRPr="00B2001F">
              <w:rPr>
                <w:b/>
                <w:bCs/>
                <w:sz w:val="16"/>
                <w:szCs w:val="16"/>
              </w:rPr>
              <w:t>73,6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537C37" w:rsidRPr="00B2001F" w:rsidRDefault="00537C37" w:rsidP="00B2001F">
            <w:pPr>
              <w:jc w:val="right"/>
              <w:rPr>
                <w:b/>
                <w:bCs/>
                <w:sz w:val="16"/>
                <w:szCs w:val="16"/>
              </w:rPr>
            </w:pPr>
            <w:r w:rsidRPr="00B2001F">
              <w:rPr>
                <w:b/>
                <w:bCs/>
                <w:sz w:val="16"/>
                <w:szCs w:val="16"/>
              </w:rPr>
              <w:t>12,7</w:t>
            </w:r>
          </w:p>
        </w:tc>
        <w:tc>
          <w:tcPr>
            <w:tcW w:w="1417" w:type="dxa"/>
            <w:vAlign w:val="bottom"/>
          </w:tcPr>
          <w:p w:rsidR="00537C37" w:rsidRPr="00B2001F" w:rsidRDefault="00537C37" w:rsidP="00B2001F">
            <w:pPr>
              <w:jc w:val="right"/>
              <w:rPr>
                <w:b/>
                <w:bCs/>
                <w:sz w:val="16"/>
                <w:szCs w:val="16"/>
              </w:rPr>
            </w:pPr>
            <w:r w:rsidRPr="00B2001F">
              <w:rPr>
                <w:b/>
                <w:bCs/>
                <w:sz w:val="16"/>
                <w:szCs w:val="16"/>
              </w:rPr>
              <w:t>1,0</w:t>
            </w:r>
          </w:p>
        </w:tc>
      </w:tr>
    </w:tbl>
    <w:p w:rsidR="007B21D4" w:rsidRDefault="007B21D4" w:rsidP="00074DD8">
      <w:pPr>
        <w:pStyle w:val="tytuwykresu"/>
      </w:pPr>
    </w:p>
    <w:p w:rsidR="00F4452E" w:rsidRPr="00FA0071" w:rsidRDefault="00FA0071" w:rsidP="00FA0071">
      <w:pPr>
        <w:pStyle w:val="tytuwykresu"/>
        <w:rPr>
          <w:b w:val="0"/>
        </w:rPr>
      </w:pPr>
      <w:r w:rsidRPr="00FA0071">
        <w:rPr>
          <w:b w:val="0"/>
          <w:sz w:val="20"/>
          <w:szCs w:val="20"/>
          <w:vertAlign w:val="superscript"/>
        </w:rPr>
        <w:t>a</w:t>
      </w:r>
      <w:r w:rsidRPr="00FA0071">
        <w:rPr>
          <w:b w:val="0"/>
          <w:sz w:val="20"/>
          <w:szCs w:val="20"/>
        </w:rPr>
        <w:t xml:space="preserve"> –</w:t>
      </w:r>
      <w:r w:rsidRPr="00FA0071">
        <w:rPr>
          <w:b w:val="0"/>
        </w:rPr>
        <w:t xml:space="preserve"> </w:t>
      </w:r>
      <w:r w:rsidRPr="00FA0071">
        <w:rPr>
          <w:b w:val="0"/>
          <w:sz w:val="16"/>
          <w:szCs w:val="16"/>
        </w:rPr>
        <w:t>normalna,</w:t>
      </w:r>
      <w:r>
        <w:rPr>
          <w:b w:val="0"/>
        </w:rPr>
        <w:t xml:space="preserve"> </w:t>
      </w:r>
      <w:r w:rsidRPr="00FA0071">
        <w:rPr>
          <w:b w:val="0"/>
          <w:sz w:val="16"/>
          <w:szCs w:val="16"/>
        </w:rPr>
        <w:t>jak na tę porę roku</w:t>
      </w:r>
    </w:p>
    <w:p w:rsidR="00FA0071" w:rsidRDefault="00FA0071" w:rsidP="00074DD8">
      <w:pPr>
        <w:pStyle w:val="tytuwykresu"/>
      </w:pPr>
    </w:p>
    <w:p w:rsidR="00496AD4" w:rsidRDefault="00FB5906" w:rsidP="00074DD8">
      <w:pPr>
        <w:pStyle w:val="tytuwykresu"/>
        <w:rPr>
          <w:shd w:val="clear" w:color="auto" w:fill="FFFFFF"/>
        </w:rPr>
      </w:pPr>
      <w:r w:rsidRPr="00496AD4">
        <w:lastRenderedPageBreak/>
        <w:t xml:space="preserve">Wykres </w:t>
      </w:r>
      <w:r w:rsidR="00E11D99">
        <w:t>6</w:t>
      </w:r>
      <w:r w:rsidR="008F4441" w:rsidRPr="00496AD4">
        <w:t>.</w:t>
      </w:r>
      <w:r w:rsidR="00074DD8" w:rsidRPr="00496AD4">
        <w:rPr>
          <w:shd w:val="clear" w:color="auto" w:fill="FFFFFF"/>
        </w:rPr>
        <w:t xml:space="preserve"> </w:t>
      </w:r>
      <w:r w:rsidR="00B173BE">
        <w:rPr>
          <w:shd w:val="clear" w:color="auto" w:fill="FFFFFF"/>
        </w:rPr>
        <w:t>S</w:t>
      </w:r>
      <w:r w:rsidR="00496AD4" w:rsidRPr="00496AD4">
        <w:rPr>
          <w:shd w:val="clear" w:color="auto" w:fill="FFFFFF"/>
        </w:rPr>
        <w:t>ytuacj</w:t>
      </w:r>
      <w:r w:rsidR="00017C3E">
        <w:rPr>
          <w:shd w:val="clear" w:color="auto" w:fill="FFFFFF"/>
        </w:rPr>
        <w:t>a</w:t>
      </w:r>
      <w:r w:rsidR="00496AD4" w:rsidRPr="00496AD4">
        <w:rPr>
          <w:shd w:val="clear" w:color="auto" w:fill="FFFFFF"/>
        </w:rPr>
        <w:t xml:space="preserve"> ogóln</w:t>
      </w:r>
      <w:r w:rsidR="00B173BE">
        <w:rPr>
          <w:shd w:val="clear" w:color="auto" w:fill="FFFFFF"/>
        </w:rPr>
        <w:t>a</w:t>
      </w:r>
      <w:r w:rsidR="00496AD4" w:rsidRPr="00496AD4">
        <w:rPr>
          <w:shd w:val="clear" w:color="auto" w:fill="FFFFFF"/>
        </w:rPr>
        <w:t xml:space="preserve"> g</w:t>
      </w:r>
      <w:r w:rsidR="00496AD4">
        <w:rPr>
          <w:shd w:val="clear" w:color="auto" w:fill="FFFFFF"/>
        </w:rPr>
        <w:t>ospodarstwa rolnego</w:t>
      </w:r>
      <w:r w:rsidR="001E31B1">
        <w:rPr>
          <w:shd w:val="clear" w:color="auto" w:fill="FFFFFF"/>
        </w:rPr>
        <w:t xml:space="preserve"> –zmiany w ostatnim półroczu</w:t>
      </w:r>
      <w:r w:rsidR="00E27753">
        <w:rPr>
          <w:shd w:val="clear" w:color="auto" w:fill="FFFFFF"/>
        </w:rPr>
        <w:t xml:space="preserve"> </w:t>
      </w:r>
    </w:p>
    <w:p w:rsidR="00297D51" w:rsidRDefault="00E27753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43180</wp:posOffset>
            </wp:positionV>
            <wp:extent cx="4705350" cy="2362200"/>
            <wp:effectExtent l="0" t="0" r="0" b="0"/>
            <wp:wrapSquare wrapText="bothSides"/>
            <wp:docPr id="19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297D51" w:rsidRDefault="00297D51" w:rsidP="00074DD8">
      <w:pPr>
        <w:pStyle w:val="tytuwykresu"/>
        <w:rPr>
          <w:shd w:val="clear" w:color="auto" w:fill="FFFFFF"/>
        </w:rPr>
      </w:pPr>
    </w:p>
    <w:p w:rsidR="00F802BE" w:rsidRDefault="00F802BE" w:rsidP="00F802BE">
      <w:pPr>
        <w:pStyle w:val="Nagwek1"/>
        <w:rPr>
          <w:noProof/>
        </w:rPr>
      </w:pPr>
    </w:p>
    <w:p w:rsidR="006E0F41" w:rsidRPr="006E0F41" w:rsidRDefault="006E0F41" w:rsidP="006E0F41">
      <w:pPr>
        <w:rPr>
          <w:lang w:eastAsia="pl-PL"/>
        </w:rPr>
      </w:pPr>
    </w:p>
    <w:p w:rsidR="001E31B1" w:rsidRDefault="001E31B1" w:rsidP="001E31B1">
      <w:pPr>
        <w:rPr>
          <w:lang w:eastAsia="pl-PL"/>
        </w:rPr>
      </w:pPr>
    </w:p>
    <w:p w:rsidR="00014F19" w:rsidRPr="006D19C3" w:rsidRDefault="00DC6D5D" w:rsidP="006D19C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394335</wp:posOffset>
            </wp:positionV>
            <wp:extent cx="4810125" cy="2562225"/>
            <wp:effectExtent l="0" t="0" r="0" b="0"/>
            <wp:wrapSquare wrapText="bothSides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14F19" w:rsidRPr="00496AD4">
        <w:t xml:space="preserve">Wykres </w:t>
      </w:r>
      <w:r w:rsidR="00E11D99">
        <w:t>7</w:t>
      </w:r>
      <w:r w:rsidR="00014F19" w:rsidRPr="00496AD4">
        <w:t>.</w:t>
      </w:r>
      <w:r w:rsidR="00014F19" w:rsidRPr="00496AD4">
        <w:rPr>
          <w:shd w:val="clear" w:color="auto" w:fill="FFFFFF"/>
        </w:rPr>
        <w:t xml:space="preserve"> </w:t>
      </w:r>
      <w:r w:rsidR="00B173BE">
        <w:rPr>
          <w:shd w:val="clear" w:color="auto" w:fill="FFFFFF"/>
        </w:rPr>
        <w:t>S</w:t>
      </w:r>
      <w:r w:rsidR="00014F19" w:rsidRPr="00496AD4">
        <w:rPr>
          <w:shd w:val="clear" w:color="auto" w:fill="FFFFFF"/>
        </w:rPr>
        <w:t>ytuacj</w:t>
      </w:r>
      <w:r w:rsidR="00B173BE">
        <w:rPr>
          <w:shd w:val="clear" w:color="auto" w:fill="FFFFFF"/>
        </w:rPr>
        <w:t>a</w:t>
      </w:r>
      <w:r w:rsidR="00014F19" w:rsidRPr="00496AD4">
        <w:rPr>
          <w:shd w:val="clear" w:color="auto" w:fill="FFFFFF"/>
        </w:rPr>
        <w:t xml:space="preserve"> ogóln</w:t>
      </w:r>
      <w:r w:rsidR="00B173BE">
        <w:rPr>
          <w:shd w:val="clear" w:color="auto" w:fill="FFFFFF"/>
        </w:rPr>
        <w:t>a</w:t>
      </w:r>
      <w:r w:rsidR="00014F19" w:rsidRPr="00496AD4">
        <w:rPr>
          <w:shd w:val="clear" w:color="auto" w:fill="FFFFFF"/>
        </w:rPr>
        <w:t xml:space="preserve"> g</w:t>
      </w:r>
      <w:r w:rsidR="00014F19">
        <w:rPr>
          <w:shd w:val="clear" w:color="auto" w:fill="FFFFFF"/>
        </w:rPr>
        <w:t>ospodarstwa rolnego –sytuacja bieżąca</w:t>
      </w:r>
    </w:p>
    <w:p w:rsidR="009130C6" w:rsidRDefault="009130C6" w:rsidP="001E31B1">
      <w:pPr>
        <w:rPr>
          <w:lang w:eastAsia="pl-PL"/>
        </w:rPr>
      </w:pPr>
    </w:p>
    <w:p w:rsidR="009130C6" w:rsidRPr="006D19C3" w:rsidRDefault="009130C6" w:rsidP="006D19C3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304800</wp:posOffset>
            </wp:positionV>
            <wp:extent cx="4791075" cy="2619375"/>
            <wp:effectExtent l="0" t="0" r="0" b="0"/>
            <wp:wrapSquare wrapText="bothSides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6D19C3" w:rsidRPr="00496AD4">
        <w:t xml:space="preserve">Wykres </w:t>
      </w:r>
      <w:r w:rsidR="00E11D99">
        <w:t>8</w:t>
      </w:r>
      <w:r w:rsidR="006D19C3" w:rsidRPr="00496AD4">
        <w:t>.</w:t>
      </w:r>
      <w:r w:rsidR="006D19C3" w:rsidRPr="00496AD4">
        <w:rPr>
          <w:shd w:val="clear" w:color="auto" w:fill="FFFFFF"/>
        </w:rPr>
        <w:t xml:space="preserve"> </w:t>
      </w:r>
      <w:r w:rsidR="006D19C3">
        <w:rPr>
          <w:shd w:val="clear" w:color="auto" w:fill="FFFFFF"/>
        </w:rPr>
        <w:t>S</w:t>
      </w:r>
      <w:r w:rsidR="006D19C3" w:rsidRPr="00496AD4">
        <w:rPr>
          <w:shd w:val="clear" w:color="auto" w:fill="FFFFFF"/>
        </w:rPr>
        <w:t>ytuacj</w:t>
      </w:r>
      <w:r w:rsidR="006D19C3">
        <w:rPr>
          <w:shd w:val="clear" w:color="auto" w:fill="FFFFFF"/>
        </w:rPr>
        <w:t>a</w:t>
      </w:r>
      <w:r w:rsidR="006D19C3" w:rsidRPr="00496AD4">
        <w:rPr>
          <w:shd w:val="clear" w:color="auto" w:fill="FFFFFF"/>
        </w:rPr>
        <w:t xml:space="preserve"> ogóln</w:t>
      </w:r>
      <w:r w:rsidR="006D19C3">
        <w:rPr>
          <w:shd w:val="clear" w:color="auto" w:fill="FFFFFF"/>
        </w:rPr>
        <w:t>a</w:t>
      </w:r>
      <w:r w:rsidR="006D19C3" w:rsidRPr="00496AD4">
        <w:rPr>
          <w:shd w:val="clear" w:color="auto" w:fill="FFFFFF"/>
        </w:rPr>
        <w:t xml:space="preserve"> g</w:t>
      </w:r>
      <w:r w:rsidR="006D19C3">
        <w:rPr>
          <w:shd w:val="clear" w:color="auto" w:fill="FFFFFF"/>
        </w:rPr>
        <w:t>ospodarstwa rolnego –zmiany w najbliższym półroczu</w:t>
      </w:r>
    </w:p>
    <w:p w:rsidR="009B5F4B" w:rsidRDefault="009B5F4B" w:rsidP="00725C27">
      <w:pPr>
        <w:pStyle w:val="Nagwek1"/>
        <w:rPr>
          <w:shd w:val="clear" w:color="auto" w:fill="FFFFFF"/>
        </w:rPr>
      </w:pPr>
    </w:p>
    <w:p w:rsidR="00725C27" w:rsidRPr="00616B18" w:rsidRDefault="003D724F" w:rsidP="00725C27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pict>
          <v:shape id="_x0000_s1038" type="#_x0000_t202" style="position:absolute;margin-left:417.3pt;margin-top:13.1pt;width:135.85pt;height:51.75pt;z-index:-25157529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38">
              <w:txbxContent>
                <w:p w:rsidR="00F25E25" w:rsidRPr="00332E9B" w:rsidRDefault="00F25E25" w:rsidP="00725C27">
                  <w:pPr>
                    <w:pStyle w:val="tekstzboku"/>
                  </w:pPr>
                  <w:r>
                    <w:t>Pozytywna ocena bieżącej produkcji rolniczej</w:t>
                  </w:r>
                </w:p>
                <w:p w:rsidR="00F25E25" w:rsidRPr="00D616D2" w:rsidRDefault="00F25E25" w:rsidP="00725C27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725C27">
        <w:rPr>
          <w:shd w:val="clear" w:color="auto" w:fill="FFFFFF"/>
        </w:rPr>
        <w:t>Ocena opłacalności produkcji rolniczej</w:t>
      </w:r>
    </w:p>
    <w:p w:rsidR="0073435A" w:rsidRDefault="003D724F" w:rsidP="00AB489B">
      <w:pPr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62" type="#_x0000_t202" style="position:absolute;left:0;text-align:left;margin-left:417.3pt;margin-top:33.2pt;width:135.85pt;height:87pt;z-index:-2515394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62">
              <w:txbxContent>
                <w:p w:rsidR="004A77B7" w:rsidRPr="00D616D2" w:rsidRDefault="004A77B7" w:rsidP="004A77B7">
                  <w:pPr>
                    <w:pStyle w:val="tekstzboku"/>
                    <w:rPr>
                      <w:bCs w:val="0"/>
                    </w:rPr>
                  </w:pPr>
                  <w:r>
                    <w:t xml:space="preserve">Najwięcej pozytywnych opinii o opłacalności produkcji rolniczej odnotowano wśród rolników prowadzących chów  bydła </w:t>
                  </w:r>
                  <w:r w:rsidR="008202F7">
                    <w:t xml:space="preserve">mlecznego i rzeźnego </w:t>
                  </w:r>
                  <w:r>
                    <w:t xml:space="preserve">oraz uprawy pod osłonami </w:t>
                  </w:r>
                </w:p>
              </w:txbxContent>
            </v:textbox>
            <w10:wrap type="tight"/>
          </v:shape>
        </w:pict>
      </w:r>
      <w:r w:rsidR="00AB489B" w:rsidRPr="00725C27">
        <w:rPr>
          <w:szCs w:val="19"/>
        </w:rPr>
        <w:t>Rolnicy pozytywnie ocenili bieżącą (grudzień 2017 r.) op</w:t>
      </w:r>
      <w:r w:rsidR="00AB489B">
        <w:rPr>
          <w:szCs w:val="19"/>
        </w:rPr>
        <w:t>łacalność produkcji rolniczej. Jednak p</w:t>
      </w:r>
      <w:r w:rsidR="00AB489B" w:rsidRPr="00725C27">
        <w:rPr>
          <w:szCs w:val="19"/>
        </w:rPr>
        <w:t xml:space="preserve">rzewaga opinii pozytywnych nad negatywnymi </w:t>
      </w:r>
      <w:r w:rsidR="00AB489B">
        <w:rPr>
          <w:szCs w:val="19"/>
        </w:rPr>
        <w:t>zmniejszyła się z 5,3 pkt. proc. w czerwcu do 2,5 pkt. proc. w grudniu 2017 r.</w:t>
      </w:r>
    </w:p>
    <w:p w:rsidR="0073435A" w:rsidRPr="00725C27" w:rsidRDefault="0073435A" w:rsidP="0073435A">
      <w:pPr>
        <w:jc w:val="both"/>
        <w:rPr>
          <w:rFonts w:ascii="Times New Roman" w:hAnsi="Times New Roman"/>
          <w:sz w:val="24"/>
          <w:szCs w:val="24"/>
        </w:rPr>
      </w:pPr>
      <w:r w:rsidRPr="00AB00B2">
        <w:rPr>
          <w:szCs w:val="19"/>
        </w:rPr>
        <w:t>Najbardziej optymistyczni</w:t>
      </w:r>
      <w:r>
        <w:rPr>
          <w:szCs w:val="19"/>
        </w:rPr>
        <w:t xml:space="preserve"> w ocenie opłacalności </w:t>
      </w:r>
      <w:r w:rsidR="009D0204">
        <w:rPr>
          <w:szCs w:val="19"/>
        </w:rPr>
        <w:t xml:space="preserve">produkcji </w:t>
      </w:r>
      <w:r>
        <w:rPr>
          <w:szCs w:val="19"/>
        </w:rPr>
        <w:t>rolniczej</w:t>
      </w:r>
      <w:r w:rsidRPr="00AB00B2">
        <w:rPr>
          <w:szCs w:val="19"/>
        </w:rPr>
        <w:t xml:space="preserve">, podobnie jak w ocenie sytuacji ogólnej, byli użytkownicy gospodarstw ukierunkowanych na produkcję zwierzęcą. </w:t>
      </w:r>
      <w:r w:rsidR="009D0204">
        <w:rPr>
          <w:szCs w:val="19"/>
        </w:rPr>
        <w:br/>
        <w:t xml:space="preserve">W grudniu ub. r. </w:t>
      </w:r>
      <w:r w:rsidRPr="00AB00B2">
        <w:rPr>
          <w:szCs w:val="19"/>
        </w:rPr>
        <w:t>22% respondentów stwierdziło, że prowadzenie produkcji rolniczej jest opł</w:t>
      </w:r>
      <w:r w:rsidRPr="00AB00B2">
        <w:rPr>
          <w:szCs w:val="19"/>
        </w:rPr>
        <w:t>a</w:t>
      </w:r>
      <w:r w:rsidRPr="00AB00B2">
        <w:rPr>
          <w:szCs w:val="19"/>
        </w:rPr>
        <w:t>calne. Byli to użytkownicy gospodarstw rolnych o powierzchni powyżej 10 ha użytków rolnych, prowadzący produkcję zwierzęcą, w szczególności specjalizujący się w chowie bydła mleczn</w:t>
      </w:r>
      <w:r w:rsidRPr="00AB00B2">
        <w:rPr>
          <w:szCs w:val="19"/>
        </w:rPr>
        <w:t>e</w:t>
      </w:r>
      <w:r w:rsidRPr="00AB00B2">
        <w:rPr>
          <w:szCs w:val="19"/>
        </w:rPr>
        <w:t>go i rzeźnego oraz drobiu rzeźnego. Pozytywne opinie o opłacalności produkcji rolniczej przeważały również u rolników prowadzących uprawy pod osłonami oraz uprawy przemysł</w:t>
      </w:r>
      <w:r w:rsidRPr="00AB00B2">
        <w:rPr>
          <w:szCs w:val="19"/>
        </w:rPr>
        <w:t>o</w:t>
      </w:r>
      <w:r w:rsidRPr="00AB00B2">
        <w:rPr>
          <w:szCs w:val="19"/>
        </w:rPr>
        <w:t>we takie jak buraki cukrowe oraz rzepak i rzepik. Najbardziej pesymistyczni w swoich ocenach byli rolnicy prowadzący plantacje drzew i krzewów owocowych oraz prowadzący chów świń.</w:t>
      </w:r>
    </w:p>
    <w:p w:rsidR="0073435A" w:rsidRPr="00725C27" w:rsidRDefault="0073435A" w:rsidP="00AB489B">
      <w:pPr>
        <w:jc w:val="both"/>
        <w:rPr>
          <w:rFonts w:ascii="Times New Roman" w:hAnsi="Times New Roman"/>
          <w:sz w:val="24"/>
          <w:szCs w:val="24"/>
        </w:rPr>
      </w:pPr>
    </w:p>
    <w:p w:rsidR="00F449E3" w:rsidRPr="00AB00B2" w:rsidRDefault="005E1CE8" w:rsidP="00F449E3">
      <w:pPr>
        <w:ind w:left="851" w:hanging="85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Tablica 3</w:t>
      </w:r>
      <w:r w:rsidR="00804F03">
        <w:rPr>
          <w:b/>
          <w:sz w:val="18"/>
          <w:szCs w:val="18"/>
        </w:rPr>
        <w:t>. Ocena opłacalności produkcji rolniczej</w:t>
      </w:r>
    </w:p>
    <w:tbl>
      <w:tblPr>
        <w:tblW w:w="8080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268"/>
        <w:gridCol w:w="1465"/>
        <w:gridCol w:w="1465"/>
        <w:gridCol w:w="1465"/>
        <w:gridCol w:w="1417"/>
      </w:tblGrid>
      <w:tr w:rsidR="00F449E3" w:rsidRPr="00F449E3" w:rsidTr="00F449E3">
        <w:trPr>
          <w:trHeight w:val="567"/>
        </w:trPr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Wyszczególnienie</w:t>
            </w:r>
          </w:p>
          <w:p w:rsidR="00804F03" w:rsidRPr="00F449E3" w:rsidRDefault="00804F03" w:rsidP="00F449E3">
            <w:pPr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 </w:t>
            </w:r>
          </w:p>
        </w:tc>
        <w:tc>
          <w:tcPr>
            <w:tcW w:w="4395" w:type="dxa"/>
            <w:gridSpan w:val="3"/>
            <w:shd w:val="clear" w:color="auto" w:fill="auto"/>
            <w:vAlign w:val="center"/>
            <w:hideMark/>
          </w:tcPr>
          <w:p w:rsidR="00804F03" w:rsidRPr="00F449E3" w:rsidRDefault="00804F03" w:rsidP="00FA0C2B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Gospodarstwa rolne, w których bieżąca produkcja </w:t>
            </w:r>
            <w:r w:rsidR="00FA0C2B">
              <w:rPr>
                <w:sz w:val="16"/>
                <w:szCs w:val="16"/>
              </w:rPr>
              <w:t xml:space="preserve">rolnicza </w:t>
            </w:r>
            <w:r w:rsidRPr="00F449E3">
              <w:rPr>
                <w:sz w:val="16"/>
                <w:szCs w:val="16"/>
              </w:rPr>
              <w:t>była:</w:t>
            </w:r>
          </w:p>
        </w:tc>
        <w:tc>
          <w:tcPr>
            <w:tcW w:w="1417" w:type="dxa"/>
            <w:vMerge w:val="restart"/>
            <w:vAlign w:val="center"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Saldo</w:t>
            </w:r>
          </w:p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odpowiedzi</w:t>
            </w:r>
          </w:p>
          <w:p w:rsidR="00804F03" w:rsidRPr="00F449E3" w:rsidRDefault="00804F03" w:rsidP="00F449E3">
            <w:pPr>
              <w:jc w:val="center"/>
              <w:rPr>
                <w:i/>
                <w:sz w:val="16"/>
                <w:szCs w:val="16"/>
              </w:rPr>
            </w:pPr>
            <w:r w:rsidRPr="00F449E3">
              <w:rPr>
                <w:i/>
                <w:sz w:val="16"/>
                <w:szCs w:val="16"/>
              </w:rPr>
              <w:t>w p. proc.</w:t>
            </w:r>
          </w:p>
        </w:tc>
      </w:tr>
      <w:tr w:rsidR="00F449E3" w:rsidRPr="00F449E3" w:rsidTr="00F449E3">
        <w:trPr>
          <w:trHeight w:val="600"/>
        </w:trPr>
        <w:tc>
          <w:tcPr>
            <w:tcW w:w="2268" w:type="dxa"/>
            <w:vMerge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rPr>
                <w:sz w:val="16"/>
                <w:szCs w:val="16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opłacalna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brak</w:t>
            </w:r>
          </w:p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zdecydowanej opinii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>nieopłacalna</w:t>
            </w:r>
          </w:p>
        </w:tc>
        <w:tc>
          <w:tcPr>
            <w:tcW w:w="1417" w:type="dxa"/>
            <w:vMerge/>
            <w:vAlign w:val="center"/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rPr>
                <w:sz w:val="16"/>
                <w:szCs w:val="16"/>
              </w:rPr>
            </w:pPr>
          </w:p>
        </w:tc>
        <w:tc>
          <w:tcPr>
            <w:tcW w:w="4395" w:type="dxa"/>
            <w:gridSpan w:val="3"/>
            <w:tcBorders>
              <w:bottom w:val="single" w:sz="12" w:space="0" w:color="001D77"/>
            </w:tcBorders>
            <w:shd w:val="clear" w:color="auto" w:fill="auto"/>
            <w:hideMark/>
          </w:tcPr>
          <w:p w:rsidR="00804F03" w:rsidRPr="00F449E3" w:rsidRDefault="00804F03" w:rsidP="00F449E3">
            <w:pPr>
              <w:jc w:val="center"/>
              <w:rPr>
                <w:i/>
                <w:sz w:val="16"/>
                <w:szCs w:val="16"/>
              </w:rPr>
            </w:pPr>
            <w:r w:rsidRPr="00F449E3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417" w:type="dxa"/>
            <w:vMerge/>
            <w:tcBorders>
              <w:bottom w:val="single" w:sz="12" w:space="0" w:color="001D77"/>
            </w:tcBorders>
          </w:tcPr>
          <w:p w:rsidR="00804F03" w:rsidRPr="00F449E3" w:rsidRDefault="00804F03" w:rsidP="00F449E3">
            <w:pPr>
              <w:jc w:val="center"/>
              <w:rPr>
                <w:sz w:val="16"/>
                <w:szCs w:val="16"/>
              </w:rPr>
            </w:pP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 xml:space="preserve">  Czerwiec 2013 r.</w:t>
            </w:r>
          </w:p>
        </w:tc>
        <w:tc>
          <w:tcPr>
            <w:tcW w:w="146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17,2</w:t>
            </w:r>
          </w:p>
        </w:tc>
        <w:tc>
          <w:tcPr>
            <w:tcW w:w="146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56,1</w:t>
            </w:r>
          </w:p>
        </w:tc>
        <w:tc>
          <w:tcPr>
            <w:tcW w:w="146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26,7</w:t>
            </w:r>
          </w:p>
        </w:tc>
        <w:tc>
          <w:tcPr>
            <w:tcW w:w="141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-9,5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tcBorders>
              <w:top w:val="single" w:sz="4" w:space="0" w:color="001D77"/>
            </w:tcBorders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Grudzień 2013 r.</w:t>
            </w:r>
          </w:p>
        </w:tc>
        <w:tc>
          <w:tcPr>
            <w:tcW w:w="1465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18,2</w:t>
            </w:r>
          </w:p>
        </w:tc>
        <w:tc>
          <w:tcPr>
            <w:tcW w:w="1465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59,3</w:t>
            </w:r>
          </w:p>
        </w:tc>
        <w:tc>
          <w:tcPr>
            <w:tcW w:w="1465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22,5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-4,3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18,7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58,2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23,1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-4,4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Grudzień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11,0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53,7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35,3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-24,3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9,6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47,3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43,1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-33,5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Grudzień 2015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10,1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49,6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40,3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-30,2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Czerwiec 2016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13,5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53,6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32,9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-19,4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Grudzień 2016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18,7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60,1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21,2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-2,5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sz w:val="16"/>
                <w:szCs w:val="16"/>
              </w:rPr>
            </w:pPr>
            <w:r w:rsidRPr="00F449E3">
              <w:rPr>
                <w:sz w:val="16"/>
                <w:szCs w:val="16"/>
              </w:rPr>
              <w:t xml:space="preserve">  Czerwiec 2017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23,3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58,7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18,0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Cs/>
                <w:sz w:val="16"/>
                <w:szCs w:val="16"/>
              </w:rPr>
            </w:pPr>
            <w:r w:rsidRPr="00F449E3">
              <w:rPr>
                <w:bCs/>
                <w:sz w:val="16"/>
                <w:szCs w:val="16"/>
              </w:rPr>
              <w:t>5,3</w:t>
            </w:r>
          </w:p>
        </w:tc>
      </w:tr>
      <w:tr w:rsidR="00F449E3" w:rsidRPr="00F449E3" w:rsidTr="00F449E3">
        <w:trPr>
          <w:trHeight w:val="315"/>
        </w:trPr>
        <w:tc>
          <w:tcPr>
            <w:tcW w:w="2268" w:type="dxa"/>
            <w:shd w:val="clear" w:color="auto" w:fill="auto"/>
            <w:hideMark/>
          </w:tcPr>
          <w:p w:rsidR="00804F03" w:rsidRPr="00F449E3" w:rsidRDefault="00804F03" w:rsidP="00F449E3">
            <w:pPr>
              <w:pStyle w:val="Akapitzlist"/>
              <w:ind w:left="0"/>
              <w:rPr>
                <w:b/>
                <w:sz w:val="16"/>
                <w:szCs w:val="16"/>
              </w:rPr>
            </w:pPr>
            <w:r w:rsidRPr="00F449E3">
              <w:rPr>
                <w:b/>
                <w:sz w:val="16"/>
                <w:szCs w:val="16"/>
              </w:rPr>
              <w:t xml:space="preserve">  Grudzień 2017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/>
                <w:bCs/>
                <w:sz w:val="16"/>
                <w:szCs w:val="16"/>
              </w:rPr>
            </w:pPr>
            <w:r w:rsidRPr="00F449E3">
              <w:rPr>
                <w:b/>
                <w:bCs/>
                <w:sz w:val="16"/>
                <w:szCs w:val="16"/>
              </w:rPr>
              <w:t>22,0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/>
                <w:bCs/>
                <w:sz w:val="16"/>
                <w:szCs w:val="16"/>
              </w:rPr>
            </w:pPr>
            <w:r w:rsidRPr="00F449E3">
              <w:rPr>
                <w:b/>
                <w:bCs/>
                <w:sz w:val="16"/>
                <w:szCs w:val="16"/>
              </w:rPr>
              <w:t>58,5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804F03" w:rsidRPr="00F449E3" w:rsidRDefault="00804F03" w:rsidP="00F449E3">
            <w:pPr>
              <w:jc w:val="right"/>
              <w:rPr>
                <w:b/>
                <w:bCs/>
                <w:sz w:val="16"/>
                <w:szCs w:val="16"/>
              </w:rPr>
            </w:pPr>
            <w:r w:rsidRPr="00F449E3">
              <w:rPr>
                <w:b/>
                <w:bCs/>
                <w:sz w:val="16"/>
                <w:szCs w:val="16"/>
              </w:rPr>
              <w:t>19,5</w:t>
            </w:r>
          </w:p>
        </w:tc>
        <w:tc>
          <w:tcPr>
            <w:tcW w:w="1417" w:type="dxa"/>
            <w:vAlign w:val="center"/>
          </w:tcPr>
          <w:p w:rsidR="00804F03" w:rsidRPr="00F449E3" w:rsidRDefault="00804F03" w:rsidP="00F449E3">
            <w:pPr>
              <w:jc w:val="right"/>
              <w:rPr>
                <w:b/>
                <w:bCs/>
                <w:sz w:val="16"/>
                <w:szCs w:val="16"/>
              </w:rPr>
            </w:pPr>
            <w:r w:rsidRPr="00F449E3">
              <w:rPr>
                <w:b/>
                <w:bCs/>
                <w:sz w:val="16"/>
                <w:szCs w:val="16"/>
              </w:rPr>
              <w:t>2,5</w:t>
            </w:r>
          </w:p>
        </w:tc>
      </w:tr>
    </w:tbl>
    <w:p w:rsidR="00AB00B2" w:rsidRDefault="00AB00B2" w:rsidP="00AB00B2">
      <w:pPr>
        <w:jc w:val="both"/>
        <w:rPr>
          <w:szCs w:val="19"/>
        </w:rPr>
      </w:pPr>
    </w:p>
    <w:p w:rsidR="00AB00B2" w:rsidRDefault="00AB00B2" w:rsidP="00AB00B2">
      <w:pPr>
        <w:jc w:val="both"/>
        <w:rPr>
          <w:szCs w:val="19"/>
        </w:rPr>
      </w:pPr>
    </w:p>
    <w:p w:rsidR="00AB00B2" w:rsidRDefault="00AB00B2" w:rsidP="00AB00B2">
      <w:pPr>
        <w:jc w:val="both"/>
        <w:rPr>
          <w:szCs w:val="19"/>
        </w:rPr>
      </w:pPr>
    </w:p>
    <w:p w:rsidR="00AB00B2" w:rsidRDefault="00AB00B2" w:rsidP="00AB00B2">
      <w:pPr>
        <w:jc w:val="both"/>
        <w:rPr>
          <w:szCs w:val="19"/>
        </w:rPr>
      </w:pPr>
    </w:p>
    <w:p w:rsidR="00725C27" w:rsidRDefault="00725C27" w:rsidP="00725C27">
      <w:pPr>
        <w:rPr>
          <w:b/>
          <w:spacing w:val="-2"/>
          <w:sz w:val="18"/>
        </w:rPr>
      </w:pPr>
    </w:p>
    <w:p w:rsidR="0073435A" w:rsidRDefault="0073435A" w:rsidP="00725C27">
      <w:pPr>
        <w:rPr>
          <w:b/>
          <w:spacing w:val="-2"/>
          <w:sz w:val="18"/>
        </w:rPr>
      </w:pPr>
    </w:p>
    <w:p w:rsidR="0073435A" w:rsidRDefault="0073435A" w:rsidP="00725C27">
      <w:pPr>
        <w:rPr>
          <w:b/>
          <w:spacing w:val="-2"/>
          <w:sz w:val="18"/>
        </w:rPr>
      </w:pPr>
    </w:p>
    <w:p w:rsidR="0073435A" w:rsidRDefault="0073435A" w:rsidP="00725C27">
      <w:pPr>
        <w:rPr>
          <w:b/>
          <w:spacing w:val="-2"/>
          <w:sz w:val="18"/>
        </w:rPr>
      </w:pPr>
    </w:p>
    <w:p w:rsidR="0073435A" w:rsidRPr="00BF4781" w:rsidRDefault="0073435A" w:rsidP="00725C27">
      <w:pPr>
        <w:rPr>
          <w:b/>
          <w:spacing w:val="-2"/>
          <w:sz w:val="18"/>
        </w:rPr>
      </w:pPr>
    </w:p>
    <w:p w:rsidR="00725C27" w:rsidRDefault="00725C27" w:rsidP="00725C27">
      <w:pPr>
        <w:pStyle w:val="tytuwykresu"/>
        <w:rPr>
          <w:shd w:val="clear" w:color="auto" w:fill="FFFFFF"/>
        </w:rPr>
      </w:pPr>
      <w:r w:rsidRPr="00496AD4">
        <w:lastRenderedPageBreak/>
        <w:t xml:space="preserve">Wykres </w:t>
      </w:r>
      <w:r w:rsidR="00E11D99">
        <w:t>9</w:t>
      </w:r>
      <w:r w:rsidRPr="00496AD4">
        <w:t>.</w:t>
      </w:r>
      <w:r w:rsidRPr="00496AD4">
        <w:rPr>
          <w:shd w:val="clear" w:color="auto" w:fill="FFFFFF"/>
        </w:rPr>
        <w:t xml:space="preserve"> </w:t>
      </w:r>
      <w:r>
        <w:rPr>
          <w:shd w:val="clear" w:color="auto" w:fill="FFFFFF"/>
        </w:rPr>
        <w:t>Opłacalność produkcji rolniczej –zmiany w ostatnim półroczu</w:t>
      </w:r>
    </w:p>
    <w:p w:rsidR="00725C27" w:rsidRPr="00014F19" w:rsidRDefault="009B5D2C" w:rsidP="00725C27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4762500" cy="2438400"/>
            <wp:effectExtent l="0" t="0" r="0" b="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9B5D2C" w:rsidRDefault="009B5D2C" w:rsidP="0052171B">
      <w:pPr>
        <w:pStyle w:val="tytuwykresu"/>
      </w:pPr>
    </w:p>
    <w:p w:rsidR="0052171B" w:rsidRDefault="009B5D2C" w:rsidP="0052171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290195</wp:posOffset>
            </wp:positionV>
            <wp:extent cx="4791075" cy="2438400"/>
            <wp:effectExtent l="0" t="0" r="0" b="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52171B" w:rsidRPr="00496AD4">
        <w:t xml:space="preserve">Wykres </w:t>
      </w:r>
      <w:r w:rsidR="00E11D99">
        <w:t>10</w:t>
      </w:r>
      <w:r w:rsidR="0052171B" w:rsidRPr="00496AD4">
        <w:t>.</w:t>
      </w:r>
      <w:r w:rsidR="0052171B" w:rsidRPr="00496AD4">
        <w:rPr>
          <w:shd w:val="clear" w:color="auto" w:fill="FFFFFF"/>
        </w:rPr>
        <w:t xml:space="preserve"> </w:t>
      </w:r>
      <w:r w:rsidR="0052171B">
        <w:rPr>
          <w:shd w:val="clear" w:color="auto" w:fill="FFFFFF"/>
        </w:rPr>
        <w:t>Opłacalność produkcji rolniczej –ocena bieżąca</w:t>
      </w:r>
    </w:p>
    <w:p w:rsidR="009B5D2C" w:rsidRDefault="009B5D2C" w:rsidP="0052171B">
      <w:pPr>
        <w:pStyle w:val="tytuwykresu"/>
      </w:pPr>
    </w:p>
    <w:p w:rsidR="009B5F4B" w:rsidRDefault="009B5F4B" w:rsidP="0052171B">
      <w:pPr>
        <w:pStyle w:val="tytuwykresu"/>
      </w:pPr>
    </w:p>
    <w:p w:rsidR="0052171B" w:rsidRDefault="0052171B" w:rsidP="0052171B">
      <w:pPr>
        <w:pStyle w:val="tytuwykresu"/>
        <w:rPr>
          <w:shd w:val="clear" w:color="auto" w:fill="FFFFFF"/>
        </w:rPr>
      </w:pPr>
      <w:r w:rsidRPr="00496AD4">
        <w:t xml:space="preserve">Wykres </w:t>
      </w:r>
      <w:r w:rsidR="00E11D99">
        <w:t>11</w:t>
      </w:r>
      <w:r w:rsidRPr="00496AD4">
        <w:t>.</w:t>
      </w:r>
      <w:r w:rsidRPr="00496AD4">
        <w:rPr>
          <w:shd w:val="clear" w:color="auto" w:fill="FFFFFF"/>
        </w:rPr>
        <w:t xml:space="preserve"> </w:t>
      </w:r>
      <w:r>
        <w:rPr>
          <w:shd w:val="clear" w:color="auto" w:fill="FFFFFF"/>
        </w:rPr>
        <w:t>Opłacalność produkcji rolniczej –</w:t>
      </w:r>
      <w:r w:rsidRPr="0052171B">
        <w:rPr>
          <w:shd w:val="clear" w:color="auto" w:fill="FFFFFF"/>
        </w:rPr>
        <w:t xml:space="preserve"> </w:t>
      </w:r>
      <w:r>
        <w:rPr>
          <w:shd w:val="clear" w:color="auto" w:fill="FFFFFF"/>
        </w:rPr>
        <w:t>zmiany w najbliższym półroczu</w:t>
      </w:r>
    </w:p>
    <w:p w:rsidR="0052171B" w:rsidRDefault="009B5F4B" w:rsidP="0052171B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4762500" cy="2438400"/>
            <wp:effectExtent l="0" t="0" r="0" b="0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9B5D2C" w:rsidRDefault="009B5D2C" w:rsidP="0052171B">
      <w:pPr>
        <w:pStyle w:val="tytuwykresu"/>
        <w:rPr>
          <w:shd w:val="clear" w:color="auto" w:fill="FFFFFF"/>
        </w:rPr>
      </w:pPr>
    </w:p>
    <w:p w:rsidR="006D19C3" w:rsidRPr="006D19C3" w:rsidRDefault="006D19C3" w:rsidP="00F802BE">
      <w:pPr>
        <w:pStyle w:val="Nagwek1"/>
      </w:pPr>
    </w:p>
    <w:p w:rsidR="00725C27" w:rsidRPr="0052171B" w:rsidRDefault="00725C27" w:rsidP="00F802BE">
      <w:pPr>
        <w:pStyle w:val="Nagwek1"/>
      </w:pPr>
    </w:p>
    <w:p w:rsidR="00725C27" w:rsidRPr="0052171B" w:rsidRDefault="00725C27" w:rsidP="00F802BE">
      <w:pPr>
        <w:pStyle w:val="Nagwek1"/>
      </w:pPr>
    </w:p>
    <w:p w:rsidR="00725C27" w:rsidRPr="0052171B" w:rsidRDefault="00725C27" w:rsidP="00F802BE">
      <w:pPr>
        <w:pStyle w:val="Nagwek1"/>
      </w:pPr>
    </w:p>
    <w:p w:rsidR="00725C27" w:rsidRDefault="00725C27" w:rsidP="00F802BE">
      <w:pPr>
        <w:pStyle w:val="Nagwek1"/>
      </w:pPr>
    </w:p>
    <w:p w:rsidR="0052171B" w:rsidRDefault="0052171B" w:rsidP="0052171B">
      <w:pPr>
        <w:rPr>
          <w:lang w:eastAsia="pl-PL"/>
        </w:rPr>
      </w:pPr>
    </w:p>
    <w:p w:rsidR="0052171B" w:rsidRDefault="0052171B" w:rsidP="0052171B">
      <w:pPr>
        <w:rPr>
          <w:lang w:eastAsia="pl-PL"/>
        </w:rPr>
      </w:pPr>
    </w:p>
    <w:p w:rsidR="00450942" w:rsidRPr="00616B18" w:rsidRDefault="003D724F" w:rsidP="00450942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lastRenderedPageBreak/>
        <w:pict>
          <v:shape id="_x0000_s1039" type="#_x0000_t202" style="position:absolute;margin-left:412.05pt;margin-top:-7.75pt;width:140.7pt;height:53.1pt;z-index:-25157017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39">
              <w:txbxContent>
                <w:p w:rsidR="00F25E25" w:rsidRPr="00332E9B" w:rsidRDefault="00F25E25" w:rsidP="00450942">
                  <w:pPr>
                    <w:pStyle w:val="tekstzboku"/>
                  </w:pPr>
                  <w:r>
                    <w:t>Negatywna ocena popytu na produkty rolne</w:t>
                  </w:r>
                </w:p>
                <w:p w:rsidR="00F25E25" w:rsidRPr="00D616D2" w:rsidRDefault="00F25E25" w:rsidP="0045094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450942">
        <w:rPr>
          <w:rFonts w:ascii="Fira Sans" w:hAnsi="Fira Sans"/>
          <w:b/>
          <w:noProof/>
          <w:spacing w:val="-2"/>
          <w:szCs w:val="19"/>
        </w:rPr>
        <w:t>Ocena popytu na produkty rolne</w:t>
      </w:r>
    </w:p>
    <w:p w:rsidR="002534DC" w:rsidRDefault="003D724F" w:rsidP="002534DC">
      <w:pPr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63" type="#_x0000_t202" style="position:absolute;left:0;text-align:left;margin-left:412.05pt;margin-top:31.7pt;width:129.45pt;height:80.25pt;z-index:-25153843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63">
              <w:txbxContent>
                <w:p w:rsidR="00DB0F4E" w:rsidRPr="00332E9B" w:rsidRDefault="00DB0F4E" w:rsidP="00DB0F4E">
                  <w:pPr>
                    <w:pStyle w:val="tekstzboku"/>
                  </w:pPr>
                  <w:r>
                    <w:t>Najbardziej pesymistyczni w ocenach byli rolnicy pr</w:t>
                  </w:r>
                  <w:r>
                    <w:t>o</w:t>
                  </w:r>
                  <w:r>
                    <w:t xml:space="preserve">wadzący chów świń oraz </w:t>
                  </w:r>
                  <w:r w:rsidR="00C82916">
                    <w:t xml:space="preserve">uprawy </w:t>
                  </w:r>
                  <w:r>
                    <w:t>warzyw gruntowych</w:t>
                  </w:r>
                </w:p>
                <w:p w:rsidR="00DB0F4E" w:rsidRPr="00D616D2" w:rsidRDefault="00DB0F4E" w:rsidP="00DB0F4E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093271">
        <w:rPr>
          <w:szCs w:val="19"/>
        </w:rPr>
        <w:t>W stosunku</w:t>
      </w:r>
      <w:r w:rsidR="0049418A" w:rsidRPr="0049418A">
        <w:rPr>
          <w:szCs w:val="19"/>
        </w:rPr>
        <w:t xml:space="preserve"> do wyników poprzedniej edycji badania respondenci byli bardziej pesymistyczni w ocenie bieżącego popytu na wytwarzane w ich gospodarstwach produkty rolne (minus 22,6 p. proc. w grudniu 2017 r. wobec minus 20,9 p. proc. w czerwcu 2017 r.).</w:t>
      </w:r>
      <w:r w:rsidR="00603B96">
        <w:rPr>
          <w:szCs w:val="19"/>
        </w:rPr>
        <w:t xml:space="preserve"> </w:t>
      </w:r>
    </w:p>
    <w:p w:rsidR="000A497E" w:rsidRDefault="00875F9C" w:rsidP="0007075E">
      <w:pPr>
        <w:jc w:val="both"/>
        <w:rPr>
          <w:szCs w:val="19"/>
        </w:rPr>
      </w:pPr>
      <w:r>
        <w:rPr>
          <w:szCs w:val="19"/>
        </w:rPr>
        <w:t>Ponad 69% rolników uznało</w:t>
      </w:r>
      <w:r w:rsidR="0007075E" w:rsidRPr="00603B96">
        <w:rPr>
          <w:szCs w:val="19"/>
        </w:rPr>
        <w:t xml:space="preserve"> popyt za wystarczający, zgodny z ich oczekiwaniami. Blisko 4% stwierdziło, że popyt kształtuje się na poziomie powyżej ich oczekiwań, wobec około 26% respondentów, którzy wskazali, że popyt jest niewystarczający. Negatywne opinie dotyczyły wszystkich użytkowników gospodarstw rolnych niezależnie od wielko</w:t>
      </w:r>
      <w:r w:rsidR="0007075E">
        <w:rPr>
          <w:szCs w:val="19"/>
        </w:rPr>
        <w:t xml:space="preserve">ści gospodarstwa </w:t>
      </w:r>
      <w:r w:rsidR="0007075E" w:rsidRPr="00603B96">
        <w:rPr>
          <w:szCs w:val="19"/>
        </w:rPr>
        <w:t>i ki</w:t>
      </w:r>
      <w:r w:rsidR="0007075E" w:rsidRPr="00603B96">
        <w:rPr>
          <w:szCs w:val="19"/>
        </w:rPr>
        <w:t>e</w:t>
      </w:r>
      <w:r w:rsidR="0007075E" w:rsidRPr="00603B96">
        <w:rPr>
          <w:szCs w:val="19"/>
        </w:rPr>
        <w:t>runku prowadzonej produkcji. Najbardziej niezadowoleni z popytu na produkty rolne byli  producenci świń oraz rolnicy prowadzący uprawy warzyw gruntowych, ziemniaków oraz pla</w:t>
      </w:r>
      <w:r w:rsidR="0007075E" w:rsidRPr="00603B96">
        <w:rPr>
          <w:szCs w:val="19"/>
        </w:rPr>
        <w:t>n</w:t>
      </w:r>
      <w:r w:rsidR="0007075E" w:rsidRPr="00603B96">
        <w:rPr>
          <w:szCs w:val="19"/>
        </w:rPr>
        <w:t>tacje drzew i krzewów owocowych</w:t>
      </w:r>
      <w:r w:rsidR="0007075E">
        <w:rPr>
          <w:szCs w:val="19"/>
        </w:rPr>
        <w:t xml:space="preserve">. </w:t>
      </w:r>
    </w:p>
    <w:p w:rsidR="0007075E" w:rsidRPr="002534DC" w:rsidRDefault="0007075E" w:rsidP="0007075E">
      <w:pPr>
        <w:jc w:val="both"/>
        <w:rPr>
          <w:szCs w:val="19"/>
        </w:rPr>
      </w:pPr>
      <w:r>
        <w:rPr>
          <w:szCs w:val="19"/>
        </w:rPr>
        <w:t>U</w:t>
      </w:r>
      <w:r w:rsidRPr="00450942">
        <w:rPr>
          <w:szCs w:val="19"/>
        </w:rPr>
        <w:t>żytkownicy, którzy sygnalizowali w II półroczu 2017 r. zmiany wielkości sprzedaży wytworz</w:t>
      </w:r>
      <w:r w:rsidRPr="00450942">
        <w:rPr>
          <w:szCs w:val="19"/>
        </w:rPr>
        <w:t>o</w:t>
      </w:r>
      <w:r w:rsidRPr="00450942">
        <w:rPr>
          <w:szCs w:val="19"/>
        </w:rPr>
        <w:t xml:space="preserve">nych produktów roślinnych częściej oceniali je jako niekorzystne (zmniejszenie sprzedaży). </w:t>
      </w:r>
      <w:r w:rsidRPr="00450942">
        <w:rPr>
          <w:rFonts w:eastAsia="Calibri"/>
          <w:szCs w:val="19"/>
        </w:rPr>
        <w:t xml:space="preserve">W przypadku gospodarstw prowadzących produkcję zwierzęcą, opinie o wzroście sprzedaży produktów zwierzęcych </w:t>
      </w:r>
      <w:r w:rsidR="000A497E">
        <w:rPr>
          <w:rFonts w:eastAsia="Calibri"/>
          <w:szCs w:val="19"/>
        </w:rPr>
        <w:t>przeważały (o 2,8</w:t>
      </w:r>
      <w:r w:rsidRPr="00450942">
        <w:rPr>
          <w:rFonts w:eastAsia="Calibri"/>
          <w:szCs w:val="19"/>
        </w:rPr>
        <w:t xml:space="preserve"> p. proc.) nad opiniami przeciwnymi.</w:t>
      </w:r>
    </w:p>
    <w:p w:rsidR="00681A35" w:rsidRDefault="00681A35" w:rsidP="002534DC">
      <w:pPr>
        <w:jc w:val="both"/>
        <w:rPr>
          <w:szCs w:val="19"/>
        </w:rPr>
      </w:pPr>
    </w:p>
    <w:p w:rsidR="005E1CE8" w:rsidRPr="00AB00B2" w:rsidRDefault="005E1CE8" w:rsidP="005E1CE8">
      <w:pPr>
        <w:ind w:left="851" w:hanging="85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Tablica 4. Ocena </w:t>
      </w:r>
      <w:r w:rsidR="00681A35">
        <w:rPr>
          <w:b/>
          <w:sz w:val="18"/>
          <w:szCs w:val="18"/>
        </w:rPr>
        <w:t>popytu na produkty rolne</w:t>
      </w:r>
    </w:p>
    <w:tbl>
      <w:tblPr>
        <w:tblW w:w="8136" w:type="dxa"/>
        <w:tblInd w:w="54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324"/>
        <w:gridCol w:w="1465"/>
        <w:gridCol w:w="1465"/>
        <w:gridCol w:w="47"/>
        <w:gridCol w:w="1418"/>
        <w:gridCol w:w="1417"/>
      </w:tblGrid>
      <w:tr w:rsidR="00681A35" w:rsidRPr="00681A35" w:rsidTr="00681A35">
        <w:trPr>
          <w:trHeight w:val="624"/>
        </w:trPr>
        <w:tc>
          <w:tcPr>
            <w:tcW w:w="2324" w:type="dxa"/>
            <w:vMerge w:val="restart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Wyszczególnienie</w:t>
            </w:r>
          </w:p>
          <w:p w:rsidR="00681A35" w:rsidRPr="00681A35" w:rsidRDefault="00681A35" w:rsidP="00681A35">
            <w:pPr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 </w:t>
            </w:r>
          </w:p>
        </w:tc>
        <w:tc>
          <w:tcPr>
            <w:tcW w:w="4395" w:type="dxa"/>
            <w:gridSpan w:val="4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Gospodarstwa rolne, w których bieżący popyt na wytw</w:t>
            </w:r>
            <w:r w:rsidRPr="00681A35">
              <w:rPr>
                <w:sz w:val="16"/>
                <w:szCs w:val="16"/>
              </w:rPr>
              <w:t>o</w:t>
            </w:r>
            <w:r w:rsidRPr="00681A35">
              <w:rPr>
                <w:sz w:val="16"/>
                <w:szCs w:val="16"/>
              </w:rPr>
              <w:t>rzone produkty rolne był:</w:t>
            </w:r>
          </w:p>
        </w:tc>
        <w:tc>
          <w:tcPr>
            <w:tcW w:w="1417" w:type="dxa"/>
            <w:vMerge w:val="restart"/>
            <w:vAlign w:val="center"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Saldo</w:t>
            </w:r>
          </w:p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odpowiedzi</w:t>
            </w:r>
          </w:p>
          <w:p w:rsidR="00681A35" w:rsidRPr="00681A35" w:rsidRDefault="00681A35" w:rsidP="00681A35">
            <w:pPr>
              <w:jc w:val="center"/>
              <w:rPr>
                <w:i/>
                <w:sz w:val="16"/>
                <w:szCs w:val="16"/>
              </w:rPr>
            </w:pPr>
            <w:r w:rsidRPr="00681A35">
              <w:rPr>
                <w:i/>
                <w:sz w:val="16"/>
                <w:szCs w:val="16"/>
              </w:rPr>
              <w:t>w p. proc.</w:t>
            </w:r>
          </w:p>
        </w:tc>
      </w:tr>
      <w:tr w:rsidR="00681A35" w:rsidRPr="00681A35" w:rsidTr="00681A35">
        <w:trPr>
          <w:trHeight w:val="397"/>
        </w:trPr>
        <w:tc>
          <w:tcPr>
            <w:tcW w:w="2324" w:type="dxa"/>
            <w:vMerge/>
            <w:vAlign w:val="center"/>
            <w:hideMark/>
          </w:tcPr>
          <w:p w:rsidR="00681A35" w:rsidRPr="00681A35" w:rsidRDefault="00681A35" w:rsidP="00681A35">
            <w:pPr>
              <w:rPr>
                <w:sz w:val="16"/>
                <w:szCs w:val="16"/>
              </w:rPr>
            </w:pP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powyżej oczek</w:t>
            </w:r>
            <w:r w:rsidRPr="00681A35">
              <w:rPr>
                <w:sz w:val="16"/>
                <w:szCs w:val="16"/>
              </w:rPr>
              <w:t>i</w:t>
            </w:r>
            <w:r w:rsidRPr="00681A35">
              <w:rPr>
                <w:sz w:val="16"/>
                <w:szCs w:val="16"/>
              </w:rPr>
              <w:t>wań</w:t>
            </w:r>
          </w:p>
        </w:tc>
        <w:tc>
          <w:tcPr>
            <w:tcW w:w="1512" w:type="dxa"/>
            <w:gridSpan w:val="2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zgodny z oczek</w:t>
            </w:r>
            <w:r w:rsidRPr="00681A35">
              <w:rPr>
                <w:sz w:val="16"/>
                <w:szCs w:val="16"/>
              </w:rPr>
              <w:t>i</w:t>
            </w:r>
            <w:r w:rsidRPr="00681A35">
              <w:rPr>
                <w:sz w:val="16"/>
                <w:szCs w:val="16"/>
              </w:rPr>
              <w:t>waniami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  <w:highlight w:val="yellow"/>
              </w:rPr>
            </w:pPr>
            <w:r w:rsidRPr="00681A35">
              <w:rPr>
                <w:sz w:val="16"/>
                <w:szCs w:val="16"/>
              </w:rPr>
              <w:t>poniżej oczek</w:t>
            </w:r>
            <w:r w:rsidRPr="00681A35">
              <w:rPr>
                <w:sz w:val="16"/>
                <w:szCs w:val="16"/>
              </w:rPr>
              <w:t>i</w:t>
            </w:r>
            <w:r w:rsidRPr="00681A35">
              <w:rPr>
                <w:sz w:val="16"/>
                <w:szCs w:val="16"/>
              </w:rPr>
              <w:t>wań</w:t>
            </w:r>
          </w:p>
        </w:tc>
        <w:tc>
          <w:tcPr>
            <w:tcW w:w="1417" w:type="dxa"/>
            <w:vMerge/>
            <w:vAlign w:val="center"/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</w:p>
        </w:tc>
      </w:tr>
      <w:tr w:rsidR="00681A35" w:rsidRPr="00681A35" w:rsidTr="00681A35">
        <w:trPr>
          <w:trHeight w:val="315"/>
        </w:trPr>
        <w:tc>
          <w:tcPr>
            <w:tcW w:w="2324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sz w:val="16"/>
                <w:szCs w:val="16"/>
              </w:rPr>
            </w:pPr>
          </w:p>
        </w:tc>
        <w:tc>
          <w:tcPr>
            <w:tcW w:w="4395" w:type="dxa"/>
            <w:gridSpan w:val="4"/>
            <w:tcBorders>
              <w:bottom w:val="single" w:sz="12" w:space="0" w:color="001D77"/>
            </w:tcBorders>
            <w:shd w:val="clear" w:color="auto" w:fill="auto"/>
            <w:hideMark/>
          </w:tcPr>
          <w:p w:rsidR="00681A35" w:rsidRPr="00681A35" w:rsidRDefault="00681A35" w:rsidP="00681A35">
            <w:pPr>
              <w:jc w:val="center"/>
              <w:rPr>
                <w:i/>
                <w:sz w:val="16"/>
                <w:szCs w:val="16"/>
              </w:rPr>
            </w:pPr>
            <w:r w:rsidRPr="00681A35">
              <w:rPr>
                <w:i/>
                <w:sz w:val="16"/>
                <w:szCs w:val="16"/>
              </w:rPr>
              <w:t xml:space="preserve">w odsetkach </w:t>
            </w:r>
          </w:p>
        </w:tc>
        <w:tc>
          <w:tcPr>
            <w:tcW w:w="1417" w:type="dxa"/>
            <w:vMerge/>
            <w:tcBorders>
              <w:bottom w:val="single" w:sz="12" w:space="0" w:color="001D77"/>
            </w:tcBorders>
          </w:tcPr>
          <w:p w:rsidR="00681A35" w:rsidRPr="00681A35" w:rsidRDefault="00681A35" w:rsidP="00681A35">
            <w:pPr>
              <w:jc w:val="center"/>
              <w:rPr>
                <w:sz w:val="16"/>
                <w:szCs w:val="16"/>
              </w:rPr>
            </w:pP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Czerwiec 2013 r.</w:t>
            </w:r>
          </w:p>
        </w:tc>
        <w:tc>
          <w:tcPr>
            <w:tcW w:w="146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2,3</w:t>
            </w:r>
          </w:p>
        </w:tc>
        <w:tc>
          <w:tcPr>
            <w:tcW w:w="146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56,6</w:t>
            </w:r>
          </w:p>
        </w:tc>
        <w:tc>
          <w:tcPr>
            <w:tcW w:w="1465" w:type="dxa"/>
            <w:gridSpan w:val="2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41,1</w:t>
            </w:r>
          </w:p>
        </w:tc>
        <w:tc>
          <w:tcPr>
            <w:tcW w:w="1417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-38,8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Grudzień  2013 r.</w:t>
            </w:r>
          </w:p>
        </w:tc>
        <w:tc>
          <w:tcPr>
            <w:tcW w:w="1465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2,5</w:t>
            </w:r>
          </w:p>
        </w:tc>
        <w:tc>
          <w:tcPr>
            <w:tcW w:w="1465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63,6</w:t>
            </w:r>
          </w:p>
        </w:tc>
        <w:tc>
          <w:tcPr>
            <w:tcW w:w="1465" w:type="dxa"/>
            <w:gridSpan w:val="2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33,9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-31,4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Czerwiec 2014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1,9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61,3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36,8</w:t>
            </w:r>
          </w:p>
        </w:tc>
        <w:tc>
          <w:tcPr>
            <w:tcW w:w="1417" w:type="dxa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-34,9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Grudzień  2014 r.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1,2</w:t>
            </w:r>
          </w:p>
        </w:tc>
        <w:tc>
          <w:tcPr>
            <w:tcW w:w="1465" w:type="dxa"/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48,9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  <w:hideMark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49,9</w:t>
            </w:r>
          </w:p>
        </w:tc>
        <w:tc>
          <w:tcPr>
            <w:tcW w:w="1417" w:type="dxa"/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-48,7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Czerwiec 2015 r.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1,6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47,6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50,8</w:t>
            </w:r>
          </w:p>
        </w:tc>
        <w:tc>
          <w:tcPr>
            <w:tcW w:w="1417" w:type="dxa"/>
            <w:vAlign w:val="bottom"/>
          </w:tcPr>
          <w:p w:rsidR="00681A35" w:rsidRPr="00681A35" w:rsidRDefault="00681A35" w:rsidP="00681A35">
            <w:pPr>
              <w:jc w:val="right"/>
              <w:rPr>
                <w:sz w:val="16"/>
                <w:szCs w:val="16"/>
              </w:rPr>
            </w:pPr>
            <w:r w:rsidRPr="00681A35">
              <w:rPr>
                <w:sz w:val="16"/>
                <w:szCs w:val="16"/>
              </w:rPr>
              <w:t>-49,2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Grudzień  2015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1,6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52,2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46,2</w:t>
            </w:r>
          </w:p>
        </w:tc>
        <w:tc>
          <w:tcPr>
            <w:tcW w:w="1417" w:type="dxa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-44,6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Czerwiec 2016 r.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2,3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56,8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  <w:hideMark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40,9</w:t>
            </w:r>
          </w:p>
        </w:tc>
        <w:tc>
          <w:tcPr>
            <w:tcW w:w="1417" w:type="dxa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-38,6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Grudzień  2016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2,6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67,6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29,8</w:t>
            </w:r>
          </w:p>
        </w:tc>
        <w:tc>
          <w:tcPr>
            <w:tcW w:w="1417" w:type="dxa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-27,2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</w:tcPr>
          <w:p w:rsidR="00681A35" w:rsidRPr="00681A35" w:rsidRDefault="00681A35" w:rsidP="00681A35">
            <w:pPr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 xml:space="preserve">  Czerwiec 2017 r.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4,9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69,3</w:t>
            </w:r>
          </w:p>
        </w:tc>
        <w:tc>
          <w:tcPr>
            <w:tcW w:w="1465" w:type="dxa"/>
            <w:gridSpan w:val="2"/>
            <w:shd w:val="clear" w:color="auto" w:fill="auto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25,8</w:t>
            </w:r>
          </w:p>
        </w:tc>
        <w:tc>
          <w:tcPr>
            <w:tcW w:w="1417" w:type="dxa"/>
            <w:vAlign w:val="center"/>
          </w:tcPr>
          <w:p w:rsidR="00681A35" w:rsidRPr="00681A35" w:rsidRDefault="00681A35" w:rsidP="00681A35">
            <w:pPr>
              <w:jc w:val="right"/>
              <w:rPr>
                <w:bCs/>
                <w:sz w:val="16"/>
                <w:szCs w:val="16"/>
              </w:rPr>
            </w:pPr>
            <w:r w:rsidRPr="00681A35">
              <w:rPr>
                <w:bCs/>
                <w:sz w:val="16"/>
                <w:szCs w:val="16"/>
              </w:rPr>
              <w:t>-20,9</w:t>
            </w:r>
          </w:p>
        </w:tc>
      </w:tr>
      <w:tr w:rsidR="00681A35" w:rsidRPr="00681A35" w:rsidTr="00681A35">
        <w:trPr>
          <w:trHeight w:val="170"/>
        </w:trPr>
        <w:tc>
          <w:tcPr>
            <w:tcW w:w="2324" w:type="dxa"/>
            <w:shd w:val="clear" w:color="auto" w:fill="auto"/>
            <w:vAlign w:val="center"/>
          </w:tcPr>
          <w:p w:rsidR="00681A35" w:rsidRPr="00681A35" w:rsidRDefault="00681A35" w:rsidP="00681A35">
            <w:pPr>
              <w:rPr>
                <w:b/>
                <w:bCs/>
                <w:sz w:val="16"/>
                <w:szCs w:val="16"/>
              </w:rPr>
            </w:pPr>
            <w:r w:rsidRPr="00681A35">
              <w:rPr>
                <w:b/>
                <w:bCs/>
                <w:sz w:val="16"/>
                <w:szCs w:val="16"/>
              </w:rPr>
              <w:t xml:space="preserve">  Grudzień  2017 r.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b/>
                <w:bCs/>
                <w:sz w:val="16"/>
                <w:szCs w:val="16"/>
              </w:rPr>
            </w:pPr>
            <w:r w:rsidRPr="00681A35">
              <w:rPr>
                <w:b/>
                <w:bCs/>
                <w:sz w:val="16"/>
                <w:szCs w:val="16"/>
              </w:rPr>
              <w:t>3,9</w:t>
            </w:r>
          </w:p>
        </w:tc>
        <w:tc>
          <w:tcPr>
            <w:tcW w:w="1465" w:type="dxa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b/>
                <w:bCs/>
                <w:sz w:val="16"/>
                <w:szCs w:val="16"/>
              </w:rPr>
            </w:pPr>
            <w:r w:rsidRPr="00681A35">
              <w:rPr>
                <w:b/>
                <w:bCs/>
                <w:sz w:val="16"/>
                <w:szCs w:val="16"/>
              </w:rPr>
              <w:t>69,6</w:t>
            </w:r>
          </w:p>
        </w:tc>
        <w:tc>
          <w:tcPr>
            <w:tcW w:w="1465" w:type="dxa"/>
            <w:gridSpan w:val="2"/>
            <w:shd w:val="clear" w:color="auto" w:fill="auto"/>
            <w:vAlign w:val="bottom"/>
          </w:tcPr>
          <w:p w:rsidR="00681A35" w:rsidRPr="00681A35" w:rsidRDefault="00681A35" w:rsidP="00681A35">
            <w:pPr>
              <w:jc w:val="right"/>
              <w:rPr>
                <w:b/>
                <w:bCs/>
                <w:sz w:val="16"/>
                <w:szCs w:val="16"/>
              </w:rPr>
            </w:pPr>
            <w:r w:rsidRPr="00681A35">
              <w:rPr>
                <w:b/>
                <w:bCs/>
                <w:sz w:val="16"/>
                <w:szCs w:val="16"/>
              </w:rPr>
              <w:t>26,5</w:t>
            </w:r>
          </w:p>
        </w:tc>
        <w:tc>
          <w:tcPr>
            <w:tcW w:w="1417" w:type="dxa"/>
            <w:vAlign w:val="bottom"/>
          </w:tcPr>
          <w:p w:rsidR="00681A35" w:rsidRPr="00681A35" w:rsidRDefault="00681A35" w:rsidP="00681A35">
            <w:pPr>
              <w:jc w:val="right"/>
              <w:rPr>
                <w:b/>
                <w:bCs/>
                <w:sz w:val="16"/>
                <w:szCs w:val="16"/>
              </w:rPr>
            </w:pPr>
            <w:r w:rsidRPr="00681A35">
              <w:rPr>
                <w:b/>
                <w:bCs/>
                <w:sz w:val="16"/>
                <w:szCs w:val="16"/>
              </w:rPr>
              <w:t>-22,6</w:t>
            </w:r>
          </w:p>
        </w:tc>
      </w:tr>
    </w:tbl>
    <w:p w:rsidR="00C82916" w:rsidRDefault="00C82916" w:rsidP="002534DC">
      <w:pPr>
        <w:jc w:val="both"/>
        <w:rPr>
          <w:szCs w:val="19"/>
        </w:rPr>
      </w:pPr>
    </w:p>
    <w:p w:rsidR="005E1CE8" w:rsidRDefault="003D724F" w:rsidP="002534DC">
      <w:pPr>
        <w:jc w:val="both"/>
        <w:rPr>
          <w:szCs w:val="19"/>
        </w:rPr>
      </w:pPr>
      <w:r w:rsidRPr="003D724F">
        <w:rPr>
          <w:b/>
          <w:noProof/>
          <w:spacing w:val="-2"/>
          <w:szCs w:val="19"/>
        </w:rPr>
        <w:pict>
          <v:shape id="_x0000_s1040" type="#_x0000_t202" style="position:absolute;left:0;text-align:left;margin-left:412.05pt;margin-top:17.95pt;width:129.45pt;height:45.75pt;z-index:-25156812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40">
              <w:txbxContent>
                <w:p w:rsidR="00F25E25" w:rsidRPr="00D616D2" w:rsidRDefault="00F25E25" w:rsidP="00C82916">
                  <w:pPr>
                    <w:pStyle w:val="tekstzboku"/>
                    <w:rPr>
                      <w:bCs w:val="0"/>
                    </w:rPr>
                  </w:pPr>
                  <w:r>
                    <w:t>Pesymistyczne prognozy na I półrocze 2018 r.</w:t>
                  </w:r>
                  <w:r w:rsidR="00C82916"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450942" w:rsidRPr="00616B18" w:rsidRDefault="00450942" w:rsidP="00450942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>Prognoza</w:t>
      </w:r>
      <w:r w:rsidR="009130C6">
        <w:rPr>
          <w:rFonts w:ascii="Fira Sans" w:hAnsi="Fira Sans"/>
          <w:b/>
          <w:noProof/>
          <w:spacing w:val="-2"/>
          <w:szCs w:val="19"/>
        </w:rPr>
        <w:t xml:space="preserve"> </w:t>
      </w:r>
      <w:r>
        <w:rPr>
          <w:rFonts w:ascii="Fira Sans" w:hAnsi="Fira Sans"/>
          <w:b/>
          <w:noProof/>
          <w:spacing w:val="-2"/>
          <w:szCs w:val="19"/>
        </w:rPr>
        <w:t xml:space="preserve"> sytuacji gospodarstw rolnych</w:t>
      </w:r>
    </w:p>
    <w:p w:rsidR="00C82916" w:rsidRDefault="003D724F" w:rsidP="002A562F">
      <w:pPr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64" type="#_x0000_t202" style="position:absolute;left:0;text-align:left;margin-left:412.05pt;margin-top:26.2pt;width:140.7pt;height:75pt;z-index:-25153740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<v:textbox style="mso-next-textbox:#_x0000_s1064">
              <w:txbxContent>
                <w:p w:rsidR="009E5686" w:rsidRPr="00332E9B" w:rsidRDefault="009E5686" w:rsidP="009E5686">
                  <w:pPr>
                    <w:pStyle w:val="tekstzboku"/>
                  </w:pPr>
                  <w:r>
                    <w:t>Najbardziej o swoj</w:t>
                  </w:r>
                  <w:r w:rsidR="00E42DD5">
                    <w:t>ą</w:t>
                  </w:r>
                  <w:r>
                    <w:t xml:space="preserve"> przyszłość obawi</w:t>
                  </w:r>
                  <w:r w:rsidR="00E42DD5">
                    <w:t xml:space="preserve">ają </w:t>
                  </w:r>
                  <w:r>
                    <w:t xml:space="preserve">się </w:t>
                  </w:r>
                  <w:r w:rsidR="00E42DD5">
                    <w:t>rolnicy</w:t>
                  </w:r>
                  <w:r>
                    <w:t xml:space="preserve"> </w:t>
                  </w:r>
                  <w:r w:rsidR="00E42DD5">
                    <w:t>prow</w:t>
                  </w:r>
                  <w:r w:rsidR="00E42DD5">
                    <w:t>a</w:t>
                  </w:r>
                  <w:r w:rsidR="00E42DD5">
                    <w:t>dzący chów ś</w:t>
                  </w:r>
                  <w:r>
                    <w:t>wi</w:t>
                  </w:r>
                  <w:r w:rsidR="00E42DD5">
                    <w:t>ń</w:t>
                  </w:r>
                  <w:r>
                    <w:t>, a także ro</w:t>
                  </w:r>
                  <w:r>
                    <w:t>l</w:t>
                  </w:r>
                  <w:r>
                    <w:t>nicy prowadzący upraw</w:t>
                  </w:r>
                  <w:r w:rsidR="00E42DD5">
                    <w:t xml:space="preserve">y </w:t>
                  </w:r>
                  <w:r>
                    <w:t>rz</w:t>
                  </w:r>
                  <w:r>
                    <w:t>e</w:t>
                  </w:r>
                  <w:r>
                    <w:t>paku i rzepiku</w:t>
                  </w:r>
                </w:p>
                <w:p w:rsidR="009E5686" w:rsidRPr="00D616D2" w:rsidRDefault="009E5686" w:rsidP="009E5686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331042">
        <w:rPr>
          <w:szCs w:val="19"/>
        </w:rPr>
        <w:t xml:space="preserve">Nadal pogarszały się nastroje użytkowników dotyczące przyszłej sytuacji prowadzonych przez nich gospodarstw rolnych. </w:t>
      </w:r>
      <w:r w:rsidR="00331042" w:rsidRPr="00450942">
        <w:rPr>
          <w:szCs w:val="19"/>
        </w:rPr>
        <w:t>W</w:t>
      </w:r>
      <w:r w:rsidR="00331042">
        <w:rPr>
          <w:szCs w:val="19"/>
        </w:rPr>
        <w:t>edług</w:t>
      </w:r>
      <w:r w:rsidR="00331042" w:rsidRPr="00450942">
        <w:rPr>
          <w:szCs w:val="19"/>
        </w:rPr>
        <w:t xml:space="preserve"> rolników w I półroczu 2018 r. należy spodziewać się pogo</w:t>
      </w:r>
      <w:r w:rsidR="00331042" w:rsidRPr="00450942">
        <w:rPr>
          <w:szCs w:val="19"/>
        </w:rPr>
        <w:t>r</w:t>
      </w:r>
      <w:r w:rsidR="00331042" w:rsidRPr="00450942">
        <w:rPr>
          <w:szCs w:val="19"/>
        </w:rPr>
        <w:t xml:space="preserve">szenia </w:t>
      </w:r>
      <w:r w:rsidR="00331042">
        <w:rPr>
          <w:szCs w:val="19"/>
        </w:rPr>
        <w:t xml:space="preserve">nie tylko </w:t>
      </w:r>
      <w:r w:rsidR="00331042" w:rsidRPr="00450942">
        <w:rPr>
          <w:szCs w:val="19"/>
        </w:rPr>
        <w:t xml:space="preserve">sytuacji ogólnej </w:t>
      </w:r>
      <w:r w:rsidR="00331042">
        <w:rPr>
          <w:szCs w:val="19"/>
        </w:rPr>
        <w:t>gospodarstw rolnych i</w:t>
      </w:r>
      <w:r w:rsidR="00331042" w:rsidRPr="00450942">
        <w:rPr>
          <w:szCs w:val="19"/>
        </w:rPr>
        <w:t xml:space="preserve"> opłacalności produkcji rolni</w:t>
      </w:r>
      <w:r w:rsidR="00331042">
        <w:rPr>
          <w:szCs w:val="19"/>
        </w:rPr>
        <w:t>czej ale</w:t>
      </w:r>
      <w:r w:rsidR="00331042" w:rsidRPr="00450942">
        <w:rPr>
          <w:szCs w:val="19"/>
        </w:rPr>
        <w:t xml:space="preserve"> również </w:t>
      </w:r>
      <w:r w:rsidR="00331042">
        <w:rPr>
          <w:szCs w:val="19"/>
        </w:rPr>
        <w:t>zapotrzebowania</w:t>
      </w:r>
      <w:r w:rsidR="00331042" w:rsidRPr="00450942">
        <w:rPr>
          <w:szCs w:val="19"/>
        </w:rPr>
        <w:t xml:space="preserve"> na produkty rolne.</w:t>
      </w:r>
      <w:r w:rsidR="00331042">
        <w:rPr>
          <w:rFonts w:ascii="Times New Roman" w:hAnsi="Times New Roman"/>
          <w:sz w:val="24"/>
          <w:szCs w:val="24"/>
        </w:rPr>
        <w:t xml:space="preserve"> </w:t>
      </w:r>
      <w:r w:rsidR="00681A35" w:rsidRPr="00681A35">
        <w:rPr>
          <w:szCs w:val="19"/>
        </w:rPr>
        <w:t>Najbardziej o swoją przyszłość obawiają się użytkownicy gospodarstw prowadzących uprawy rzepaku i rzepiku oraz chów świń.</w:t>
      </w:r>
      <w:r w:rsidR="002A562F">
        <w:rPr>
          <w:szCs w:val="19"/>
        </w:rPr>
        <w:t xml:space="preserve"> </w:t>
      </w:r>
      <w:r w:rsidR="00681A35" w:rsidRPr="00681A35">
        <w:rPr>
          <w:szCs w:val="19"/>
        </w:rPr>
        <w:t xml:space="preserve"> </w:t>
      </w:r>
      <w:r w:rsidR="002A562F" w:rsidRPr="002A562F">
        <w:rPr>
          <w:szCs w:val="19"/>
        </w:rPr>
        <w:t>Biorąc pod uwagę ukierunkowanie produkcyjne gospodarstw rolnych, najmniej pesymistyczne op</w:t>
      </w:r>
      <w:r w:rsidR="002A562F" w:rsidRPr="002A562F">
        <w:rPr>
          <w:szCs w:val="19"/>
        </w:rPr>
        <w:t>i</w:t>
      </w:r>
      <w:r w:rsidR="002A562F" w:rsidRPr="002A562F">
        <w:rPr>
          <w:szCs w:val="19"/>
        </w:rPr>
        <w:t>nie wyrażali rolnicy specjalizujący się w produkcji roślinnej. Przewagę opinii pozytywnych nad negatywnymi w ocenie sytuacji ogólnej gospodarstwa rolnego, zapotrzebowania na produkty</w:t>
      </w:r>
    </w:p>
    <w:p w:rsidR="00681A35" w:rsidRPr="00331042" w:rsidRDefault="002A562F" w:rsidP="002A562F">
      <w:pPr>
        <w:jc w:val="both"/>
        <w:rPr>
          <w:rFonts w:ascii="Times New Roman" w:hAnsi="Times New Roman"/>
          <w:sz w:val="24"/>
          <w:szCs w:val="24"/>
        </w:rPr>
      </w:pPr>
      <w:r w:rsidRPr="002A562F">
        <w:rPr>
          <w:szCs w:val="19"/>
        </w:rPr>
        <w:lastRenderedPageBreak/>
        <w:t>rolne i opłacalności produkcji rolniczej odno</w:t>
      </w:r>
      <w:r>
        <w:rPr>
          <w:szCs w:val="19"/>
        </w:rPr>
        <w:t xml:space="preserve">towano </w:t>
      </w:r>
      <w:r w:rsidRPr="002A562F">
        <w:rPr>
          <w:szCs w:val="19"/>
        </w:rPr>
        <w:t xml:space="preserve">w przypadku gospodarstw </w:t>
      </w:r>
      <w:r w:rsidR="0037600A">
        <w:rPr>
          <w:szCs w:val="19"/>
        </w:rPr>
        <w:t>specjalizuj</w:t>
      </w:r>
      <w:r w:rsidR="0037600A">
        <w:rPr>
          <w:szCs w:val="19"/>
        </w:rPr>
        <w:t>ą</w:t>
      </w:r>
      <w:r w:rsidR="0037600A">
        <w:rPr>
          <w:szCs w:val="19"/>
        </w:rPr>
        <w:t>cych się w</w:t>
      </w:r>
      <w:r w:rsidRPr="002A562F">
        <w:rPr>
          <w:szCs w:val="19"/>
        </w:rPr>
        <w:t xml:space="preserve"> upra</w:t>
      </w:r>
      <w:r w:rsidR="0037600A">
        <w:rPr>
          <w:szCs w:val="19"/>
        </w:rPr>
        <w:t>wach buraków cukrowych i upraw</w:t>
      </w:r>
      <w:r w:rsidRPr="002A562F">
        <w:rPr>
          <w:szCs w:val="19"/>
        </w:rPr>
        <w:t xml:space="preserve"> pod osłonami. Wśród użytkowników gosp</w:t>
      </w:r>
      <w:r w:rsidRPr="002A562F">
        <w:rPr>
          <w:szCs w:val="19"/>
        </w:rPr>
        <w:t>o</w:t>
      </w:r>
      <w:r w:rsidRPr="002A562F">
        <w:rPr>
          <w:szCs w:val="19"/>
        </w:rPr>
        <w:t>darstw nastawionych na produkcję zwierzęcą, opinie o poprawie ogólnej sytuacji gospoda</w:t>
      </w:r>
      <w:r w:rsidRPr="002A562F">
        <w:rPr>
          <w:szCs w:val="19"/>
        </w:rPr>
        <w:t>r</w:t>
      </w:r>
      <w:r w:rsidRPr="002A562F">
        <w:rPr>
          <w:szCs w:val="19"/>
        </w:rPr>
        <w:t xml:space="preserve">stwa, opłacalności produkcji i popycie wyrażali rolnicy </w:t>
      </w:r>
      <w:r w:rsidR="0037600A">
        <w:rPr>
          <w:szCs w:val="19"/>
        </w:rPr>
        <w:t>prowadzący chów</w:t>
      </w:r>
      <w:r w:rsidRPr="002A562F">
        <w:rPr>
          <w:szCs w:val="19"/>
        </w:rPr>
        <w:t xml:space="preserve"> drobiu nieśnego.  </w:t>
      </w:r>
      <w:r w:rsidR="00681A35" w:rsidRPr="00681A35">
        <w:rPr>
          <w:szCs w:val="19"/>
        </w:rPr>
        <w:t xml:space="preserve"> </w:t>
      </w:r>
    </w:p>
    <w:p w:rsidR="002A562F" w:rsidRDefault="002A562F" w:rsidP="002A562F">
      <w:pPr>
        <w:jc w:val="both"/>
        <w:rPr>
          <w:szCs w:val="19"/>
        </w:rPr>
      </w:pPr>
    </w:p>
    <w:p w:rsidR="00450942" w:rsidRDefault="00E11D99" w:rsidP="00570870">
      <w:pPr>
        <w:pStyle w:val="tytuwykresu"/>
        <w:ind w:left="907" w:hanging="907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549275</wp:posOffset>
            </wp:positionV>
            <wp:extent cx="5124450" cy="2886075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1C5701" w:rsidRPr="00496AD4">
        <w:t>Wykres 1</w:t>
      </w:r>
      <w:r>
        <w:t>2</w:t>
      </w:r>
      <w:r w:rsidR="001C5701" w:rsidRPr="00496AD4">
        <w:t>.</w:t>
      </w:r>
      <w:r w:rsidR="001C5701" w:rsidRPr="00496AD4">
        <w:rPr>
          <w:shd w:val="clear" w:color="auto" w:fill="FFFFFF"/>
        </w:rPr>
        <w:t xml:space="preserve"> </w:t>
      </w:r>
      <w:r w:rsidR="001C5701" w:rsidRPr="001C5701">
        <w:rPr>
          <w:shd w:val="clear" w:color="auto" w:fill="FFFFFF"/>
        </w:rPr>
        <w:t>Salda odpowiedzi dotyczące prognozowanej w I półroczu 2018 r. sytuacji ogólnej gosp</w:t>
      </w:r>
      <w:r w:rsidR="001C5701" w:rsidRPr="001C5701">
        <w:rPr>
          <w:shd w:val="clear" w:color="auto" w:fill="FFFFFF"/>
        </w:rPr>
        <w:t>o</w:t>
      </w:r>
      <w:r w:rsidR="001C5701" w:rsidRPr="001C5701">
        <w:rPr>
          <w:shd w:val="clear" w:color="auto" w:fill="FFFFFF"/>
        </w:rPr>
        <w:t>darstw rolnych, opłacalności produkcji rolnicze</w:t>
      </w:r>
      <w:r w:rsidR="00570870">
        <w:rPr>
          <w:shd w:val="clear" w:color="auto" w:fill="FFFFFF"/>
        </w:rPr>
        <w:t xml:space="preserve">j oraz popytu na produkty rolne </w:t>
      </w:r>
    </w:p>
    <w:p w:rsidR="001C5701" w:rsidRPr="00450942" w:rsidRDefault="001C5701" w:rsidP="00450942">
      <w:pPr>
        <w:jc w:val="both"/>
        <w:rPr>
          <w:rFonts w:ascii="Times New Roman" w:hAnsi="Times New Roman"/>
          <w:sz w:val="24"/>
          <w:szCs w:val="24"/>
        </w:rPr>
      </w:pPr>
    </w:p>
    <w:p w:rsidR="00F802BE" w:rsidRPr="00E11D99" w:rsidRDefault="003D724F" w:rsidP="00F802BE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pict>
          <v:shape id="Pole tekstowe 16" o:spid="_x0000_s1029" type="#_x0000_t202" style="position:absolute;margin-left:411pt;margin-top:13pt;width:135.85pt;height:76.25pt;z-index:-25158451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>
              <w:txbxContent>
                <w:p w:rsidR="00F25E25" w:rsidRPr="00570870" w:rsidRDefault="00F25E25" w:rsidP="00F802BE">
                  <w:pPr>
                    <w:pStyle w:val="tekstzboku"/>
                  </w:pPr>
                  <w:r w:rsidRPr="006E1B88">
                    <w:t>Dopłaty unijne jako najwa</w:t>
                  </w:r>
                  <w:r>
                    <w:t>ż</w:t>
                  </w:r>
                  <w:r w:rsidRPr="006E1B88">
                    <w:t>niejszy czy</w:t>
                  </w:r>
                  <w:r>
                    <w:t>nnik wspierający rozwój gospodarstw rolnych</w:t>
                  </w:r>
                </w:p>
                <w:p w:rsidR="00F25E25" w:rsidRPr="00570870" w:rsidRDefault="00F25E25" w:rsidP="00F802BE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</w:p>
              </w:txbxContent>
            </v:textbox>
            <w10:wrap type="tight"/>
          </v:shape>
        </w:pict>
      </w:r>
      <w:r w:rsidR="00E11D99">
        <w:rPr>
          <w:rFonts w:ascii="Fira Sans" w:hAnsi="Fira Sans"/>
          <w:b/>
          <w:noProof/>
          <w:spacing w:val="-2"/>
          <w:szCs w:val="19"/>
        </w:rPr>
        <w:t>Czyn</w:t>
      </w:r>
      <w:r w:rsidR="006E1B88">
        <w:rPr>
          <w:rFonts w:ascii="Fira Sans" w:hAnsi="Fira Sans"/>
          <w:b/>
          <w:noProof/>
          <w:spacing w:val="-2"/>
          <w:szCs w:val="19"/>
        </w:rPr>
        <w:t xml:space="preserve">niki sprzyjające rozwojowi </w:t>
      </w:r>
      <w:r w:rsidR="00E11D99">
        <w:rPr>
          <w:rFonts w:ascii="Fira Sans" w:hAnsi="Fira Sans"/>
          <w:b/>
          <w:noProof/>
          <w:spacing w:val="-2"/>
          <w:szCs w:val="19"/>
        </w:rPr>
        <w:t xml:space="preserve"> gospodarstw rolnych</w:t>
      </w:r>
    </w:p>
    <w:p w:rsidR="00F802BE" w:rsidRPr="005B5428" w:rsidRDefault="005B5428" w:rsidP="00CF512A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W 2017</w:t>
      </w:r>
      <w:r w:rsidRPr="005B5428">
        <w:rPr>
          <w:shd w:val="clear" w:color="auto" w:fill="FFFFFF"/>
        </w:rPr>
        <w:t xml:space="preserve"> r. użytkownicy gospodarstw rolnych wskazywali dop</w:t>
      </w:r>
      <w:r w:rsidR="00CF512A">
        <w:rPr>
          <w:shd w:val="clear" w:color="auto" w:fill="FFFFFF"/>
        </w:rPr>
        <w:t xml:space="preserve">łaty unijne, analogicznie jak w </w:t>
      </w:r>
      <w:r w:rsidRPr="005B5428">
        <w:rPr>
          <w:shd w:val="clear" w:color="auto" w:fill="FFFFFF"/>
        </w:rPr>
        <w:t xml:space="preserve">latach poprzednich, jako najważniejszy czynnik sprzyjający </w:t>
      </w:r>
      <w:r>
        <w:rPr>
          <w:shd w:val="clear" w:color="auto" w:fill="FFFFFF"/>
        </w:rPr>
        <w:t xml:space="preserve">rozwojowi gospodarstw rolnych. </w:t>
      </w:r>
      <w:r w:rsidRPr="005B5428">
        <w:rPr>
          <w:shd w:val="clear" w:color="auto" w:fill="FFFFFF"/>
        </w:rPr>
        <w:t>Należy przy tym zauważyć, że w opinii blisko 37% respondentów nie wystąpiły żadne czynniki wsp</w:t>
      </w:r>
      <w:r w:rsidR="00CF512A">
        <w:rPr>
          <w:shd w:val="clear" w:color="auto" w:fill="FFFFFF"/>
        </w:rPr>
        <w:t>ierające</w:t>
      </w:r>
      <w:r w:rsidRPr="005B5428">
        <w:rPr>
          <w:shd w:val="clear" w:color="auto" w:fill="FFFFFF"/>
        </w:rPr>
        <w:t xml:space="preserve"> rozwój gospodarstw rolnych</w:t>
      </w:r>
      <w:r>
        <w:rPr>
          <w:shd w:val="clear" w:color="auto" w:fill="FFFFFF"/>
        </w:rPr>
        <w:t xml:space="preserve">. </w:t>
      </w:r>
    </w:p>
    <w:p w:rsidR="00694AF0" w:rsidRDefault="00694AF0" w:rsidP="00E76D26">
      <w:pPr>
        <w:rPr>
          <w:sz w:val="18"/>
        </w:rPr>
      </w:pPr>
      <w:bookmarkStart w:id="0" w:name="_GoBack"/>
      <w:bookmarkEnd w:id="0"/>
    </w:p>
    <w:p w:rsidR="009552AA" w:rsidRPr="00260D5F" w:rsidRDefault="00260D5F" w:rsidP="00260D5F">
      <w:pPr>
        <w:pStyle w:val="tytuwykresu"/>
        <w:ind w:left="964" w:hanging="964"/>
      </w:pPr>
      <w:r w:rsidRPr="00380570">
        <w:t xml:space="preserve">Wykres </w:t>
      </w:r>
      <w:r w:rsidR="009552AA" w:rsidRPr="00380570">
        <w:t>1</w:t>
      </w:r>
      <w:r w:rsidRPr="00380570">
        <w:t xml:space="preserve">3. </w:t>
      </w:r>
      <w:r w:rsidR="009552AA" w:rsidRPr="00380570">
        <w:rPr>
          <w:shd w:val="clear" w:color="auto" w:fill="FFFFFF"/>
        </w:rPr>
        <w:t xml:space="preserve"> </w:t>
      </w:r>
      <w:r w:rsidRPr="00260D5F">
        <w:rPr>
          <w:shd w:val="clear" w:color="auto" w:fill="FFFFFF"/>
        </w:rPr>
        <w:t>Czynniki sprzyjające rozwojowi gospodarstw rolnych (wskaźniki struktury) według grup obszarowych użytków rolnych</w:t>
      </w:r>
    </w:p>
    <w:p w:rsidR="009552AA" w:rsidRPr="00260D5F" w:rsidRDefault="00260D5F" w:rsidP="009552AA">
      <w:pPr>
        <w:pStyle w:val="Nagwek1"/>
      </w:pPr>
      <w:r w:rsidRPr="00260D5F">
        <w:rPr>
          <w:noProof/>
        </w:rPr>
        <w:drawing>
          <wp:inline distT="0" distB="0" distL="0" distR="0">
            <wp:extent cx="5124450" cy="2590800"/>
            <wp:effectExtent l="0" t="0" r="0" b="0"/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60D5F" w:rsidRPr="00380570" w:rsidRDefault="00260D5F" w:rsidP="009552AA">
      <w:pPr>
        <w:pStyle w:val="Nagwek1"/>
      </w:pPr>
      <w:r w:rsidRPr="00380570">
        <w:t xml:space="preserve"> </w:t>
      </w:r>
    </w:p>
    <w:p w:rsidR="00260D5F" w:rsidRPr="00380570" w:rsidRDefault="00260D5F" w:rsidP="00260D5F">
      <w:pPr>
        <w:rPr>
          <w:lang w:eastAsia="pl-PL"/>
        </w:rPr>
      </w:pPr>
    </w:p>
    <w:p w:rsidR="006E1B88" w:rsidRPr="00E11D99" w:rsidRDefault="003D724F" w:rsidP="006E1B88">
      <w:pPr>
        <w:pStyle w:val="Nagwek1"/>
      </w:pPr>
      <w:r w:rsidRPr="003D724F">
        <w:rPr>
          <w:rFonts w:ascii="Fira Sans" w:hAnsi="Fira Sans"/>
          <w:b/>
          <w:noProof/>
          <w:spacing w:val="-2"/>
          <w:szCs w:val="19"/>
        </w:rPr>
        <w:lastRenderedPageBreak/>
        <w:pict>
          <v:shape id="_x0000_s1048" type="#_x0000_t202" style="position:absolute;margin-left:411pt;margin-top:7.25pt;width:135.85pt;height:75.5pt;z-index:-25154662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>
              <w:txbxContent>
                <w:p w:rsidR="00F25E25" w:rsidRPr="006E1B88" w:rsidRDefault="00F25E25" w:rsidP="006E1B88">
                  <w:pPr>
                    <w:pStyle w:val="tekstzboku"/>
                    <w:rPr>
                      <w:bCs w:val="0"/>
                    </w:rPr>
                  </w:pPr>
                  <w:r>
                    <w:t>Niskie ceny zbytu produktów rolnych jako główny czynnik ograniczający rozwój gosp</w:t>
                  </w:r>
                  <w:r>
                    <w:t>o</w:t>
                  </w:r>
                  <w:r>
                    <w:t xml:space="preserve">darstw rolnych </w:t>
                  </w:r>
                </w:p>
              </w:txbxContent>
            </v:textbox>
            <w10:wrap type="tight"/>
          </v:shape>
        </w:pict>
      </w:r>
      <w:r w:rsidR="006E1B88">
        <w:rPr>
          <w:rFonts w:ascii="Fira Sans" w:hAnsi="Fira Sans"/>
          <w:b/>
          <w:noProof/>
          <w:spacing w:val="-2"/>
          <w:szCs w:val="19"/>
        </w:rPr>
        <w:t>Czynniki ograniczające rozwój gospodarstw rolnych</w:t>
      </w:r>
    </w:p>
    <w:p w:rsidR="006E1B88" w:rsidRPr="00380570" w:rsidRDefault="006E1B88" w:rsidP="006E1B88">
      <w:pPr>
        <w:jc w:val="both"/>
        <w:rPr>
          <w:noProof/>
          <w:szCs w:val="19"/>
        </w:rPr>
      </w:pPr>
      <w:r>
        <w:rPr>
          <w:szCs w:val="19"/>
        </w:rPr>
        <w:t>Blisko 92% użytkowników wskazało na występowanie barier utrudniających rozwój gosp</w:t>
      </w:r>
      <w:r>
        <w:rPr>
          <w:szCs w:val="19"/>
        </w:rPr>
        <w:t>o</w:t>
      </w:r>
      <w:r>
        <w:rPr>
          <w:szCs w:val="19"/>
        </w:rPr>
        <w:t xml:space="preserve">darstw rolnych. </w:t>
      </w:r>
      <w:r w:rsidRPr="00380570">
        <w:rPr>
          <w:szCs w:val="19"/>
        </w:rPr>
        <w:t>Największe bariery, na jakie napotykali rolnicy chcący rozwijać produkcję rolniczą dotyczyły zbyt niskich cen wytwarzanych produktów rolnych, zbyt wysokich cen środków produkcji, a także niekorzystnych warunków atmosferycznych.</w:t>
      </w:r>
    </w:p>
    <w:p w:rsidR="00380570" w:rsidRDefault="00380570" w:rsidP="00380570">
      <w:pPr>
        <w:pStyle w:val="tytuwykresu"/>
        <w:ind w:left="907" w:hanging="907"/>
      </w:pPr>
    </w:p>
    <w:p w:rsidR="00380570" w:rsidRDefault="00E76982" w:rsidP="00380570">
      <w:pPr>
        <w:pStyle w:val="tytuwykresu"/>
        <w:ind w:left="907" w:hanging="907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549275</wp:posOffset>
            </wp:positionV>
            <wp:extent cx="5181600" cy="2743200"/>
            <wp:effectExtent l="0" t="0" r="0" b="0"/>
            <wp:wrapSquare wrapText="bothSides"/>
            <wp:docPr id="3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380570" w:rsidRPr="00496AD4">
        <w:t>Wykres 1</w:t>
      </w:r>
      <w:r w:rsidR="00380570">
        <w:t>3</w:t>
      </w:r>
      <w:r w:rsidR="00380570" w:rsidRPr="00496AD4">
        <w:t>.</w:t>
      </w:r>
      <w:r w:rsidR="00380570" w:rsidRPr="00496AD4">
        <w:rPr>
          <w:shd w:val="clear" w:color="auto" w:fill="FFFFFF"/>
        </w:rPr>
        <w:t xml:space="preserve"> </w:t>
      </w:r>
      <w:r w:rsidR="00380570">
        <w:rPr>
          <w:shd w:val="clear" w:color="auto" w:fill="FFFFFF"/>
        </w:rPr>
        <w:t>Czynniki ograniczające rozwój gospodarstw rolnych (wskaźniki struktury) według grup obszarowych użytków rolnych</w:t>
      </w:r>
    </w:p>
    <w:p w:rsidR="00380570" w:rsidRDefault="00380570" w:rsidP="00380570">
      <w:pPr>
        <w:pStyle w:val="tytuwykresu"/>
        <w:ind w:left="907" w:hanging="907"/>
        <w:rPr>
          <w:shd w:val="clear" w:color="auto" w:fill="FFFFFF"/>
        </w:rPr>
      </w:pPr>
    </w:p>
    <w:p w:rsidR="00260D5F" w:rsidRPr="00380570" w:rsidRDefault="00260D5F" w:rsidP="00260D5F">
      <w:pPr>
        <w:rPr>
          <w:lang w:eastAsia="pl-PL"/>
        </w:rPr>
      </w:pPr>
    </w:p>
    <w:p w:rsidR="00260D5F" w:rsidRPr="00380570" w:rsidRDefault="00260D5F" w:rsidP="00260D5F">
      <w:pPr>
        <w:rPr>
          <w:lang w:eastAsia="pl-PL"/>
        </w:rPr>
      </w:pPr>
    </w:p>
    <w:p w:rsidR="00260D5F" w:rsidRPr="00380570" w:rsidRDefault="003D724F" w:rsidP="00260D5F">
      <w:pPr>
        <w:rPr>
          <w:lang w:eastAsia="pl-PL"/>
        </w:rPr>
      </w:pPr>
      <w:r w:rsidRPr="003D724F">
        <w:rPr>
          <w:b/>
          <w:noProof/>
          <w:spacing w:val="-2"/>
          <w:szCs w:val="19"/>
        </w:rPr>
        <w:pict>
          <v:shape id="_x0000_s1044" type="#_x0000_t202" style="position:absolute;margin-left:417pt;margin-top:3.5pt;width:135.85pt;height:65.5pt;z-index:-25154969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<v:textbox style="mso-next-textbox:#_x0000_s1044">
              <w:txbxContent>
                <w:p w:rsidR="00F25E25" w:rsidRPr="00E76982" w:rsidRDefault="00F25E25" w:rsidP="009552AA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val="en-US" w:eastAsia="pl-PL"/>
                    </w:rPr>
                  </w:pPr>
                </w:p>
              </w:txbxContent>
            </v:textbox>
            <w10:wrap type="tight"/>
          </v:shape>
        </w:pict>
      </w:r>
    </w:p>
    <w:p w:rsidR="00384354" w:rsidRDefault="00384354" w:rsidP="00E76D26">
      <w:pPr>
        <w:rPr>
          <w:sz w:val="18"/>
        </w:rPr>
      </w:pPr>
    </w:p>
    <w:p w:rsidR="00384354" w:rsidRPr="00570870" w:rsidRDefault="00384354" w:rsidP="00E76D26">
      <w:pPr>
        <w:rPr>
          <w:sz w:val="18"/>
        </w:rPr>
        <w:sectPr w:rsidR="00384354" w:rsidRPr="00570870" w:rsidSect="00CC2F7C">
          <w:headerReference w:type="default" r:id="rId25"/>
          <w:footerReference w:type="default" r:id="rId26"/>
          <w:headerReference w:type="first" r:id="rId27"/>
          <w:footerReference w:type="first" r:id="rId2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0470AA" w:rsidRPr="00570870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F36570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504DAB">
              <w:rPr>
                <w:rFonts w:cs="Arial"/>
                <w:b/>
                <w:color w:val="000000" w:themeColor="text1"/>
                <w:sz w:val="20"/>
              </w:rPr>
              <w:t>Rolnictwa</w:t>
            </w:r>
          </w:p>
          <w:p w:rsidR="000470AA" w:rsidRPr="00570870" w:rsidRDefault="00504DAB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57087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Anna Majcher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504DA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608 37 08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9" w:history="1">
              <w:r w:rsidR="00D118D9" w:rsidRPr="006C731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A.Majcher@stat.gov.pl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3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38669A" w:rsidRDefault="000470AA" w:rsidP="000470AA">
      <w:pPr>
        <w:rPr>
          <w:sz w:val="20"/>
          <w:lang w:val="en-US"/>
        </w:rPr>
      </w:pPr>
    </w:p>
    <w:p w:rsidR="000470AA" w:rsidRPr="0038669A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38669A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38669A">
              <w:rPr>
                <w:b/>
                <w:sz w:val="20"/>
                <w:lang w:val="en-US"/>
              </w:rPr>
              <w:t>faks</w:t>
            </w:r>
            <w:proofErr w:type="spellEnd"/>
            <w:r w:rsidRPr="0038669A">
              <w:rPr>
                <w:b/>
                <w:sz w:val="20"/>
                <w:lang w:val="en-US"/>
              </w:rPr>
              <w:t>:</w:t>
            </w:r>
            <w:r w:rsidR="00097840" w:rsidRPr="0038669A">
              <w:rPr>
                <w:sz w:val="20"/>
                <w:lang w:val="en-US"/>
              </w:rPr>
              <w:t xml:space="preserve"> 22</w:t>
            </w:r>
            <w:r w:rsidRPr="0038669A">
              <w:rPr>
                <w:sz w:val="20"/>
                <w:lang w:val="en-US"/>
              </w:rPr>
              <w:t xml:space="preserve"> 608 38 86 </w:t>
            </w:r>
          </w:p>
          <w:p w:rsidR="000470AA" w:rsidRPr="0038669A" w:rsidRDefault="000470AA" w:rsidP="000470AA">
            <w:pPr>
              <w:rPr>
                <w:sz w:val="18"/>
                <w:lang w:val="en-US"/>
              </w:rPr>
            </w:pPr>
            <w:r w:rsidRPr="0038669A">
              <w:rPr>
                <w:b/>
                <w:sz w:val="20"/>
                <w:lang w:val="en-US"/>
              </w:rPr>
              <w:t>e-mail:</w:t>
            </w:r>
            <w:r w:rsidRPr="0038669A">
              <w:rPr>
                <w:sz w:val="20"/>
                <w:lang w:val="en-US"/>
              </w:rPr>
              <w:t xml:space="preserve"> </w:t>
            </w:r>
            <w:hyperlink r:id="rId31" w:history="1">
              <w:r w:rsidRPr="0038669A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38669A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3D724F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0" type="#_x0000_t202" style="position:absolute;margin-left:1.5pt;margin-top:33.5pt;width:516.5pt;height:349.85pt;z-index:2516910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F25E25" w:rsidRDefault="00F25E25" w:rsidP="00AB6D25">
                  <w:pPr>
                    <w:rPr>
                      <w:b/>
                    </w:rPr>
                  </w:pPr>
                </w:p>
                <w:p w:rsidR="00F25E25" w:rsidRPr="008E4767" w:rsidRDefault="00F25E25" w:rsidP="00AB6D25">
                  <w:pPr>
                    <w:rPr>
                      <w:b/>
                    </w:rPr>
                  </w:pPr>
                  <w:r w:rsidRPr="008E4767">
                    <w:rPr>
                      <w:b/>
                    </w:rPr>
                    <w:t>Powiązane opracowania</w:t>
                  </w:r>
                </w:p>
                <w:p w:rsidR="00F25E25" w:rsidRPr="008E4767" w:rsidRDefault="003D724F" w:rsidP="00AB6D25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5" w:history="1">
                    <w:r w:rsidR="00F25E25" w:rsidRPr="008E4767">
                      <w:rPr>
                        <w:rStyle w:val="Hipercze"/>
                        <w:rFonts w:cstheme="minorBidi"/>
                        <w:b/>
                        <w:color w:val="001D77"/>
                        <w:sz w:val="18"/>
                        <w:szCs w:val="18"/>
                      </w:rPr>
                      <w:t>Rolnictwo</w:t>
                    </w:r>
                  </w:hyperlink>
                  <w:r w:rsidR="00F25E25" w:rsidRPr="008E4767">
                    <w:rPr>
                      <w:b/>
                      <w:color w:val="001D77"/>
                      <w:sz w:val="18"/>
                      <w:szCs w:val="18"/>
                    </w:rPr>
                    <w:t xml:space="preserve"> </w:t>
                  </w:r>
                </w:p>
                <w:p w:rsidR="00F25E25" w:rsidRPr="008E4767" w:rsidRDefault="00F25E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F25E25" w:rsidRDefault="00F25E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F25E25" w:rsidRPr="006C731A" w:rsidRDefault="003D724F" w:rsidP="00AB6D25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6" w:history="1">
                    <w:r w:rsidR="00F25E25" w:rsidRPr="006C731A">
                      <w:rPr>
                        <w:rStyle w:val="Hipercze"/>
                        <w:rFonts w:cstheme="minorBidi"/>
                        <w:b/>
                        <w:color w:val="001D77"/>
                        <w:sz w:val="18"/>
                        <w:szCs w:val="18"/>
                      </w:rPr>
                      <w:t>Gospodarstwo rolne</w:t>
                    </w:r>
                  </w:hyperlink>
                </w:p>
                <w:p w:rsidR="00F25E25" w:rsidRPr="006C731A" w:rsidRDefault="003D724F" w:rsidP="00AB6D25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7" w:history="1">
                    <w:r w:rsidR="00F25E25" w:rsidRPr="006C731A">
                      <w:rPr>
                        <w:rStyle w:val="Hipercze"/>
                        <w:rFonts w:cstheme="minorBidi"/>
                        <w:b/>
                        <w:color w:val="001D77"/>
                        <w:sz w:val="18"/>
                        <w:szCs w:val="18"/>
                      </w:rPr>
                      <w:t>Działalność rolnicza</w:t>
                    </w:r>
                  </w:hyperlink>
                </w:p>
                <w:p w:rsidR="00F25E25" w:rsidRPr="006C731A" w:rsidRDefault="003D724F" w:rsidP="00AB6D25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8" w:history="1">
                    <w:r w:rsidR="00F25E25" w:rsidRPr="006C731A">
                      <w:rPr>
                        <w:rStyle w:val="Hipercze"/>
                        <w:rFonts w:cstheme="minorBidi"/>
                        <w:b/>
                        <w:color w:val="001D77"/>
                        <w:sz w:val="18"/>
                        <w:szCs w:val="18"/>
                      </w:rPr>
                      <w:t>Koniunktura</w:t>
                    </w:r>
                  </w:hyperlink>
                </w:p>
                <w:p w:rsidR="00F25E25" w:rsidRPr="006C731A" w:rsidRDefault="003D724F" w:rsidP="00AB6D25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9" w:history="1">
                    <w:r w:rsidR="00F25E25" w:rsidRPr="006C731A">
                      <w:rPr>
                        <w:rStyle w:val="Hipercze"/>
                        <w:rFonts w:cstheme="minorBidi"/>
                        <w:b/>
                        <w:color w:val="001D77"/>
                        <w:sz w:val="18"/>
                        <w:szCs w:val="18"/>
                      </w:rPr>
                      <w:t>Popyt</w:t>
                    </w:r>
                  </w:hyperlink>
                </w:p>
                <w:p w:rsidR="00F25E25" w:rsidRPr="008E4767" w:rsidRDefault="00F25E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F25E25" w:rsidRPr="008E4767" w:rsidRDefault="00F25E25" w:rsidP="00AB6D25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236" w:rsidRDefault="00B22236" w:rsidP="000662E2">
      <w:pPr>
        <w:spacing w:after="0" w:line="240" w:lineRule="auto"/>
      </w:pPr>
      <w:r>
        <w:separator/>
      </w:r>
    </w:p>
  </w:endnote>
  <w:endnote w:type="continuationSeparator" w:id="0">
    <w:p w:rsidR="00B22236" w:rsidRDefault="00B222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4FCD8EF-43CE-412E-9CB6-C738DF738224}"/>
    <w:embedBold r:id="rId2" w:fontKey="{7241FE7A-7819-4055-99C3-23CB84547797}"/>
    <w:embedItalic r:id="rId3" w:fontKey="{45BBC9EC-4ECA-454D-91CC-67D2E812B80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2118992-7579-4CE9-8C1B-8693AA291DE3}"/>
    <w:embedBold r:id="rId5" w:fontKey="{8AD731C4-FF43-4CD9-AD17-5631630AAB85}"/>
    <w:embedItalic r:id="rId6" w:fontKey="{B323E389-F631-4DD3-B214-91E3060A95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E1172A-5080-44E9-A80F-7564BADD1D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F97F8CC-9C83-4F37-8048-A4A2134536DD}"/>
    <w:embedItalic r:id="rId9" w:fontKey="{88997FB2-260C-4B76-AA40-22A52E1EC0C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88DD58C-4A19-44F5-B518-08667477708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0619789-C806-450D-B7C2-2B1875810DA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689CAF2D-DD27-4472-BECC-6EE7FB070BE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410854"/>
      <w:docPartObj>
        <w:docPartGallery w:val="Page Numbers (Bottom of Page)"/>
        <w:docPartUnique/>
      </w:docPartObj>
    </w:sdtPr>
    <w:sdtContent>
      <w:p w:rsidR="00F25E25" w:rsidRDefault="003D724F" w:rsidP="003B18B6">
        <w:pPr>
          <w:pStyle w:val="Stopka"/>
          <w:jc w:val="center"/>
        </w:pPr>
        <w:fldSimple w:instr="PAGE   \* MERGEFORMAT">
          <w:r w:rsidR="00F36570">
            <w:rPr>
              <w:noProof/>
            </w:rPr>
            <w:t>10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321397"/>
      <w:docPartObj>
        <w:docPartGallery w:val="Page Numbers (Bottom of Page)"/>
        <w:docPartUnique/>
      </w:docPartObj>
    </w:sdtPr>
    <w:sdtContent>
      <w:p w:rsidR="00F25E25" w:rsidRDefault="003D724F" w:rsidP="003B18B6">
        <w:pPr>
          <w:pStyle w:val="Stopka"/>
          <w:jc w:val="center"/>
        </w:pPr>
        <w:fldSimple w:instr="PAGE   \* MERGEFORMAT">
          <w:r w:rsidR="00F36570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F25E25" w:rsidRDefault="003D724F" w:rsidP="003B18B6">
        <w:pPr>
          <w:pStyle w:val="Stopka"/>
          <w:jc w:val="center"/>
        </w:pPr>
        <w:fldSimple w:instr="PAGE   \* MERGEFORMAT">
          <w:r w:rsidR="00F36570">
            <w:rPr>
              <w:noProof/>
            </w:rPr>
            <w:t>11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236" w:rsidRDefault="00B22236" w:rsidP="000662E2">
      <w:pPr>
        <w:spacing w:after="0" w:line="240" w:lineRule="auto"/>
      </w:pPr>
      <w:r>
        <w:separator/>
      </w:r>
    </w:p>
  </w:footnote>
  <w:footnote w:type="continuationSeparator" w:id="0">
    <w:p w:rsidR="00B22236" w:rsidRDefault="00B2223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E25" w:rsidRDefault="003D724F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F25E25" w:rsidRDefault="00F25E2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E25" w:rsidRDefault="003D724F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F25E25" w:rsidRPr="003C6C8D" w:rsidRDefault="00F25E25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F36570" w:rsidRPr="00F36570">
      <w:rPr>
        <w:noProof/>
        <w:lang w:eastAsia="pl-PL"/>
      </w:rPr>
      <w:drawing>
        <wp:inline distT="0" distB="0" distL="0" distR="0">
          <wp:extent cx="1295400" cy="371475"/>
          <wp:effectExtent l="19050" t="0" r="0" b="0"/>
          <wp:docPr id="1" name="Obraz 1" descr="cid:image001.png@01D39B68.42BAD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png@01D39B68.42BAD18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25E25" w:rsidRDefault="003D724F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 style="mso-next-textbox:#_x0000_s2049">
            <w:txbxContent>
              <w:p w:rsidR="00F25E25" w:rsidRPr="00C97596" w:rsidRDefault="00F25E25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30.03.2018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E25" w:rsidRDefault="00F25E25">
    <w:pPr>
      <w:pStyle w:val="Nagwek"/>
    </w:pPr>
  </w:p>
  <w:p w:rsidR="00F25E25" w:rsidRDefault="00F25E2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CC66CC"/>
    <w:multiLevelType w:val="hybridMultilevel"/>
    <w:tmpl w:val="DE32D1BA"/>
    <w:lvl w:ilvl="0" w:tplc="566CC9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B590C"/>
    <w:multiLevelType w:val="hybridMultilevel"/>
    <w:tmpl w:val="C814234C"/>
    <w:lvl w:ilvl="0" w:tplc="5046036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4C199C"/>
    <w:multiLevelType w:val="hybridMultilevel"/>
    <w:tmpl w:val="795E9B1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0643A9F"/>
    <w:multiLevelType w:val="hybridMultilevel"/>
    <w:tmpl w:val="6ED4529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8434">
      <o:colormru v:ext="edit" colors="gray,#eaeaea,#f8f8f8"/>
      <o:colormenu v:ext="edit" fillcolor="#eaeaea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10573"/>
    <w:rsid w:val="000108B8"/>
    <w:rsid w:val="00014F19"/>
    <w:rsid w:val="000152F5"/>
    <w:rsid w:val="00017C3E"/>
    <w:rsid w:val="000232CF"/>
    <w:rsid w:val="0004582E"/>
    <w:rsid w:val="000470AA"/>
    <w:rsid w:val="00047EAA"/>
    <w:rsid w:val="00057CA1"/>
    <w:rsid w:val="000662E2"/>
    <w:rsid w:val="00066883"/>
    <w:rsid w:val="0007075E"/>
    <w:rsid w:val="00074DD8"/>
    <w:rsid w:val="00075E46"/>
    <w:rsid w:val="000806F7"/>
    <w:rsid w:val="00081946"/>
    <w:rsid w:val="00093271"/>
    <w:rsid w:val="00097840"/>
    <w:rsid w:val="000A497E"/>
    <w:rsid w:val="000B0727"/>
    <w:rsid w:val="000C135D"/>
    <w:rsid w:val="000D1D43"/>
    <w:rsid w:val="000D225C"/>
    <w:rsid w:val="000D2A5C"/>
    <w:rsid w:val="000D529B"/>
    <w:rsid w:val="000E0918"/>
    <w:rsid w:val="001011C3"/>
    <w:rsid w:val="00110AE5"/>
    <w:rsid w:val="00110D87"/>
    <w:rsid w:val="00114DB9"/>
    <w:rsid w:val="00116087"/>
    <w:rsid w:val="00130296"/>
    <w:rsid w:val="001405D1"/>
    <w:rsid w:val="001423B6"/>
    <w:rsid w:val="001448A7"/>
    <w:rsid w:val="00146621"/>
    <w:rsid w:val="0014690A"/>
    <w:rsid w:val="00154D20"/>
    <w:rsid w:val="00162325"/>
    <w:rsid w:val="00194ADF"/>
    <w:rsid w:val="001951DA"/>
    <w:rsid w:val="00196B8E"/>
    <w:rsid w:val="001C3269"/>
    <w:rsid w:val="001C5701"/>
    <w:rsid w:val="001D1DB4"/>
    <w:rsid w:val="001E31B1"/>
    <w:rsid w:val="001E5BDB"/>
    <w:rsid w:val="002252D9"/>
    <w:rsid w:val="002358C8"/>
    <w:rsid w:val="00247479"/>
    <w:rsid w:val="002534DC"/>
    <w:rsid w:val="002574F9"/>
    <w:rsid w:val="00260D5F"/>
    <w:rsid w:val="00262B4A"/>
    <w:rsid w:val="00262B61"/>
    <w:rsid w:val="0027341F"/>
    <w:rsid w:val="00276811"/>
    <w:rsid w:val="00282699"/>
    <w:rsid w:val="002926DF"/>
    <w:rsid w:val="00296697"/>
    <w:rsid w:val="00297D51"/>
    <w:rsid w:val="002A02C3"/>
    <w:rsid w:val="002A516B"/>
    <w:rsid w:val="002A562F"/>
    <w:rsid w:val="002B0472"/>
    <w:rsid w:val="002B6B12"/>
    <w:rsid w:val="002E6140"/>
    <w:rsid w:val="002E6985"/>
    <w:rsid w:val="002E71B6"/>
    <w:rsid w:val="002F77C8"/>
    <w:rsid w:val="00304F22"/>
    <w:rsid w:val="00306C7C"/>
    <w:rsid w:val="00321A9D"/>
    <w:rsid w:val="00322EDD"/>
    <w:rsid w:val="00331042"/>
    <w:rsid w:val="00332320"/>
    <w:rsid w:val="00332E9B"/>
    <w:rsid w:val="00332F68"/>
    <w:rsid w:val="003337C0"/>
    <w:rsid w:val="003367CB"/>
    <w:rsid w:val="00336C30"/>
    <w:rsid w:val="00347D61"/>
    <w:rsid w:val="00347D72"/>
    <w:rsid w:val="00357611"/>
    <w:rsid w:val="00362861"/>
    <w:rsid w:val="00367237"/>
    <w:rsid w:val="0037077F"/>
    <w:rsid w:val="00372411"/>
    <w:rsid w:val="00373882"/>
    <w:rsid w:val="0037600A"/>
    <w:rsid w:val="00380570"/>
    <w:rsid w:val="00384354"/>
    <w:rsid w:val="003843DB"/>
    <w:rsid w:val="0038669A"/>
    <w:rsid w:val="00391617"/>
    <w:rsid w:val="00393761"/>
    <w:rsid w:val="00397D18"/>
    <w:rsid w:val="003A1B36"/>
    <w:rsid w:val="003A28A5"/>
    <w:rsid w:val="003B1454"/>
    <w:rsid w:val="003B18B6"/>
    <w:rsid w:val="003C59E0"/>
    <w:rsid w:val="003C6C8D"/>
    <w:rsid w:val="003D4F95"/>
    <w:rsid w:val="003D5F42"/>
    <w:rsid w:val="003D60A9"/>
    <w:rsid w:val="003D724F"/>
    <w:rsid w:val="003E1DB9"/>
    <w:rsid w:val="003E40FE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458E8"/>
    <w:rsid w:val="00450942"/>
    <w:rsid w:val="004562B7"/>
    <w:rsid w:val="00463E39"/>
    <w:rsid w:val="004657FC"/>
    <w:rsid w:val="004733F6"/>
    <w:rsid w:val="00474E69"/>
    <w:rsid w:val="004859EB"/>
    <w:rsid w:val="0049418A"/>
    <w:rsid w:val="0049621B"/>
    <w:rsid w:val="00496AD4"/>
    <w:rsid w:val="004A01C6"/>
    <w:rsid w:val="004A77B7"/>
    <w:rsid w:val="004B0DC7"/>
    <w:rsid w:val="004C0DF1"/>
    <w:rsid w:val="004C1895"/>
    <w:rsid w:val="004C6D40"/>
    <w:rsid w:val="004F06E4"/>
    <w:rsid w:val="004F0C3C"/>
    <w:rsid w:val="004F63FC"/>
    <w:rsid w:val="00504DAB"/>
    <w:rsid w:val="00505A92"/>
    <w:rsid w:val="005203F1"/>
    <w:rsid w:val="0052171B"/>
    <w:rsid w:val="00521BC3"/>
    <w:rsid w:val="00531F0E"/>
    <w:rsid w:val="00533632"/>
    <w:rsid w:val="005343E5"/>
    <w:rsid w:val="00537C37"/>
    <w:rsid w:val="00541E6E"/>
    <w:rsid w:val="0054251F"/>
    <w:rsid w:val="005429D3"/>
    <w:rsid w:val="00544708"/>
    <w:rsid w:val="005520D8"/>
    <w:rsid w:val="00553DB9"/>
    <w:rsid w:val="00554231"/>
    <w:rsid w:val="00556CF1"/>
    <w:rsid w:val="00563538"/>
    <w:rsid w:val="00570870"/>
    <w:rsid w:val="005762A7"/>
    <w:rsid w:val="005916D7"/>
    <w:rsid w:val="005A698C"/>
    <w:rsid w:val="005B5428"/>
    <w:rsid w:val="005E0799"/>
    <w:rsid w:val="005E1CE8"/>
    <w:rsid w:val="005E7CB2"/>
    <w:rsid w:val="005F5A0E"/>
    <w:rsid w:val="005F5A80"/>
    <w:rsid w:val="00603B96"/>
    <w:rsid w:val="006044FF"/>
    <w:rsid w:val="00606FFC"/>
    <w:rsid w:val="00607CC5"/>
    <w:rsid w:val="00616B18"/>
    <w:rsid w:val="0062318A"/>
    <w:rsid w:val="00632C30"/>
    <w:rsid w:val="00633014"/>
    <w:rsid w:val="00633397"/>
    <w:rsid w:val="0063437B"/>
    <w:rsid w:val="006452AA"/>
    <w:rsid w:val="006673CA"/>
    <w:rsid w:val="00673C26"/>
    <w:rsid w:val="00677080"/>
    <w:rsid w:val="006812AF"/>
    <w:rsid w:val="00681A35"/>
    <w:rsid w:val="0068327D"/>
    <w:rsid w:val="00694AF0"/>
    <w:rsid w:val="006A4686"/>
    <w:rsid w:val="006B0E9E"/>
    <w:rsid w:val="006B5594"/>
    <w:rsid w:val="006B5AE4"/>
    <w:rsid w:val="006C731A"/>
    <w:rsid w:val="006D1507"/>
    <w:rsid w:val="006D19C3"/>
    <w:rsid w:val="006D4054"/>
    <w:rsid w:val="006E02EC"/>
    <w:rsid w:val="006E0F41"/>
    <w:rsid w:val="006E1B88"/>
    <w:rsid w:val="006E5954"/>
    <w:rsid w:val="00706A6D"/>
    <w:rsid w:val="007211B1"/>
    <w:rsid w:val="0072282E"/>
    <w:rsid w:val="00725C27"/>
    <w:rsid w:val="0073435A"/>
    <w:rsid w:val="00746187"/>
    <w:rsid w:val="0076254F"/>
    <w:rsid w:val="007801F5"/>
    <w:rsid w:val="00780BEE"/>
    <w:rsid w:val="00783CA4"/>
    <w:rsid w:val="007842FB"/>
    <w:rsid w:val="00786124"/>
    <w:rsid w:val="0079514B"/>
    <w:rsid w:val="007A2DC1"/>
    <w:rsid w:val="007B21D4"/>
    <w:rsid w:val="007B7E28"/>
    <w:rsid w:val="007D3319"/>
    <w:rsid w:val="007D335D"/>
    <w:rsid w:val="007D6ADE"/>
    <w:rsid w:val="007E3314"/>
    <w:rsid w:val="007E4B03"/>
    <w:rsid w:val="007F324B"/>
    <w:rsid w:val="00804F03"/>
    <w:rsid w:val="0080553C"/>
    <w:rsid w:val="00805B46"/>
    <w:rsid w:val="008135C1"/>
    <w:rsid w:val="008202F7"/>
    <w:rsid w:val="00825DC2"/>
    <w:rsid w:val="00834AD3"/>
    <w:rsid w:val="00843795"/>
    <w:rsid w:val="00847F0F"/>
    <w:rsid w:val="00852448"/>
    <w:rsid w:val="008549A4"/>
    <w:rsid w:val="00875F9C"/>
    <w:rsid w:val="0088258A"/>
    <w:rsid w:val="00886332"/>
    <w:rsid w:val="00896B33"/>
    <w:rsid w:val="008A0002"/>
    <w:rsid w:val="008A26D9"/>
    <w:rsid w:val="008A3C0D"/>
    <w:rsid w:val="008C0C29"/>
    <w:rsid w:val="008C1974"/>
    <w:rsid w:val="008C7AE9"/>
    <w:rsid w:val="008D77F3"/>
    <w:rsid w:val="008E2AF5"/>
    <w:rsid w:val="008E4767"/>
    <w:rsid w:val="008F3638"/>
    <w:rsid w:val="008F4441"/>
    <w:rsid w:val="008F6F31"/>
    <w:rsid w:val="008F74DF"/>
    <w:rsid w:val="009127BA"/>
    <w:rsid w:val="009130C6"/>
    <w:rsid w:val="0091462B"/>
    <w:rsid w:val="009227A6"/>
    <w:rsid w:val="00933EC1"/>
    <w:rsid w:val="00935C0A"/>
    <w:rsid w:val="00941CE3"/>
    <w:rsid w:val="0094233E"/>
    <w:rsid w:val="009530DB"/>
    <w:rsid w:val="00953676"/>
    <w:rsid w:val="009552AA"/>
    <w:rsid w:val="0095723A"/>
    <w:rsid w:val="009705EE"/>
    <w:rsid w:val="00977927"/>
    <w:rsid w:val="0098135C"/>
    <w:rsid w:val="0098156A"/>
    <w:rsid w:val="009824D8"/>
    <w:rsid w:val="00991BAC"/>
    <w:rsid w:val="009A6EA0"/>
    <w:rsid w:val="009B5D2C"/>
    <w:rsid w:val="009B5F4B"/>
    <w:rsid w:val="009C1335"/>
    <w:rsid w:val="009C1AB2"/>
    <w:rsid w:val="009C2F0C"/>
    <w:rsid w:val="009C7251"/>
    <w:rsid w:val="009D0204"/>
    <w:rsid w:val="009E2E91"/>
    <w:rsid w:val="009E5686"/>
    <w:rsid w:val="00A136CC"/>
    <w:rsid w:val="00A139F5"/>
    <w:rsid w:val="00A24B36"/>
    <w:rsid w:val="00A24C89"/>
    <w:rsid w:val="00A26F24"/>
    <w:rsid w:val="00A341F2"/>
    <w:rsid w:val="00A365EB"/>
    <w:rsid w:val="00A365F4"/>
    <w:rsid w:val="00A43C83"/>
    <w:rsid w:val="00A47CEE"/>
    <w:rsid w:val="00A47D80"/>
    <w:rsid w:val="00A53132"/>
    <w:rsid w:val="00A563F2"/>
    <w:rsid w:val="00A566E8"/>
    <w:rsid w:val="00A7224C"/>
    <w:rsid w:val="00A810F9"/>
    <w:rsid w:val="00A86ECC"/>
    <w:rsid w:val="00A86FCC"/>
    <w:rsid w:val="00AA710D"/>
    <w:rsid w:val="00AB00B2"/>
    <w:rsid w:val="00AB0FA1"/>
    <w:rsid w:val="00AB489B"/>
    <w:rsid w:val="00AB6D25"/>
    <w:rsid w:val="00AC2E14"/>
    <w:rsid w:val="00AE2D4B"/>
    <w:rsid w:val="00AE4F99"/>
    <w:rsid w:val="00B05570"/>
    <w:rsid w:val="00B11B69"/>
    <w:rsid w:val="00B14952"/>
    <w:rsid w:val="00B173BE"/>
    <w:rsid w:val="00B2001F"/>
    <w:rsid w:val="00B22236"/>
    <w:rsid w:val="00B31E5A"/>
    <w:rsid w:val="00B343F8"/>
    <w:rsid w:val="00B45636"/>
    <w:rsid w:val="00B617F6"/>
    <w:rsid w:val="00B653AB"/>
    <w:rsid w:val="00B65F9E"/>
    <w:rsid w:val="00B66B19"/>
    <w:rsid w:val="00B77BFF"/>
    <w:rsid w:val="00B912C0"/>
    <w:rsid w:val="00B914E9"/>
    <w:rsid w:val="00B956EE"/>
    <w:rsid w:val="00BA2BA1"/>
    <w:rsid w:val="00BA3562"/>
    <w:rsid w:val="00BB4F09"/>
    <w:rsid w:val="00BB7A38"/>
    <w:rsid w:val="00BD4E33"/>
    <w:rsid w:val="00BF24E9"/>
    <w:rsid w:val="00BF43CA"/>
    <w:rsid w:val="00BF4781"/>
    <w:rsid w:val="00BF75B6"/>
    <w:rsid w:val="00C0007E"/>
    <w:rsid w:val="00C030DE"/>
    <w:rsid w:val="00C21167"/>
    <w:rsid w:val="00C22105"/>
    <w:rsid w:val="00C244B6"/>
    <w:rsid w:val="00C3702F"/>
    <w:rsid w:val="00C4500A"/>
    <w:rsid w:val="00C61815"/>
    <w:rsid w:val="00C64A37"/>
    <w:rsid w:val="00C7158E"/>
    <w:rsid w:val="00C7250B"/>
    <w:rsid w:val="00C7346B"/>
    <w:rsid w:val="00C754B4"/>
    <w:rsid w:val="00C77C0E"/>
    <w:rsid w:val="00C82916"/>
    <w:rsid w:val="00C91687"/>
    <w:rsid w:val="00C924A8"/>
    <w:rsid w:val="00C945FE"/>
    <w:rsid w:val="00C96FAA"/>
    <w:rsid w:val="00C97A04"/>
    <w:rsid w:val="00CA107B"/>
    <w:rsid w:val="00CA3976"/>
    <w:rsid w:val="00CA484D"/>
    <w:rsid w:val="00CA4FB6"/>
    <w:rsid w:val="00CB3BC4"/>
    <w:rsid w:val="00CC2F7C"/>
    <w:rsid w:val="00CC739E"/>
    <w:rsid w:val="00CD58B7"/>
    <w:rsid w:val="00CD5ECD"/>
    <w:rsid w:val="00CF4099"/>
    <w:rsid w:val="00CF512A"/>
    <w:rsid w:val="00D00796"/>
    <w:rsid w:val="00D05595"/>
    <w:rsid w:val="00D10057"/>
    <w:rsid w:val="00D118D9"/>
    <w:rsid w:val="00D261A2"/>
    <w:rsid w:val="00D616D2"/>
    <w:rsid w:val="00D63B5F"/>
    <w:rsid w:val="00D70EF7"/>
    <w:rsid w:val="00D8397C"/>
    <w:rsid w:val="00D84C8E"/>
    <w:rsid w:val="00D94EED"/>
    <w:rsid w:val="00D96026"/>
    <w:rsid w:val="00DA7C1C"/>
    <w:rsid w:val="00DB0F4E"/>
    <w:rsid w:val="00DB147A"/>
    <w:rsid w:val="00DB1B7A"/>
    <w:rsid w:val="00DC6708"/>
    <w:rsid w:val="00DC6D5D"/>
    <w:rsid w:val="00DE18DB"/>
    <w:rsid w:val="00DF077F"/>
    <w:rsid w:val="00DF5DFD"/>
    <w:rsid w:val="00E01436"/>
    <w:rsid w:val="00E045BD"/>
    <w:rsid w:val="00E11D99"/>
    <w:rsid w:val="00E12533"/>
    <w:rsid w:val="00E17B77"/>
    <w:rsid w:val="00E23337"/>
    <w:rsid w:val="00E259EA"/>
    <w:rsid w:val="00E27753"/>
    <w:rsid w:val="00E32061"/>
    <w:rsid w:val="00E35F6F"/>
    <w:rsid w:val="00E36402"/>
    <w:rsid w:val="00E42DD5"/>
    <w:rsid w:val="00E42FF9"/>
    <w:rsid w:val="00E4714C"/>
    <w:rsid w:val="00E51AEB"/>
    <w:rsid w:val="00E522A7"/>
    <w:rsid w:val="00E54452"/>
    <w:rsid w:val="00E658D5"/>
    <w:rsid w:val="00E664C5"/>
    <w:rsid w:val="00E671A2"/>
    <w:rsid w:val="00E76982"/>
    <w:rsid w:val="00E76D26"/>
    <w:rsid w:val="00E90264"/>
    <w:rsid w:val="00E9674F"/>
    <w:rsid w:val="00EB1390"/>
    <w:rsid w:val="00EB2C71"/>
    <w:rsid w:val="00EB4340"/>
    <w:rsid w:val="00EB556D"/>
    <w:rsid w:val="00EB5A7D"/>
    <w:rsid w:val="00EB752B"/>
    <w:rsid w:val="00EC54C6"/>
    <w:rsid w:val="00ED55C0"/>
    <w:rsid w:val="00ED682B"/>
    <w:rsid w:val="00EE41D5"/>
    <w:rsid w:val="00F037A4"/>
    <w:rsid w:val="00F21AA3"/>
    <w:rsid w:val="00F25E25"/>
    <w:rsid w:val="00F27C8F"/>
    <w:rsid w:val="00F3112F"/>
    <w:rsid w:val="00F32749"/>
    <w:rsid w:val="00F36570"/>
    <w:rsid w:val="00F37172"/>
    <w:rsid w:val="00F37BC8"/>
    <w:rsid w:val="00F4452E"/>
    <w:rsid w:val="00F4477E"/>
    <w:rsid w:val="00F449E3"/>
    <w:rsid w:val="00F4546F"/>
    <w:rsid w:val="00F522F8"/>
    <w:rsid w:val="00F67D8F"/>
    <w:rsid w:val="00F802BE"/>
    <w:rsid w:val="00F80E93"/>
    <w:rsid w:val="00F86024"/>
    <w:rsid w:val="00F8611A"/>
    <w:rsid w:val="00F977D4"/>
    <w:rsid w:val="00FA0071"/>
    <w:rsid w:val="00FA0C2B"/>
    <w:rsid w:val="00FA5128"/>
    <w:rsid w:val="00FB26FC"/>
    <w:rsid w:val="00FB42D4"/>
    <w:rsid w:val="00FB5906"/>
    <w:rsid w:val="00FB762F"/>
    <w:rsid w:val="00FC2AED"/>
    <w:rsid w:val="00FD2CF9"/>
    <w:rsid w:val="00FD5EA7"/>
    <w:rsid w:val="00FF29E0"/>
    <w:rsid w:val="00FF4EAD"/>
    <w:rsid w:val="00FF7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gray,#eaeaea,#f8f8f8"/>
      <o:colormenu v:ext="edit" fillcolor="#eaeaea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4563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footer" Target="footer1.xml"/><Relationship Id="rId39" Type="http://schemas.openxmlformats.org/officeDocument/2006/relationships/hyperlink" Target="http://stat.gov.pl/metainformacje/slownik-pojec/pojecia-stosowane-w-statystyce-publicznej/31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11.xml"/><Relationship Id="rId34" Type="http://schemas.openxmlformats.org/officeDocument/2006/relationships/image" Target="media/image6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eader" Target="header1.xml"/><Relationship Id="rId33" Type="http://schemas.openxmlformats.org/officeDocument/2006/relationships/image" Target="media/image5.png"/><Relationship Id="rId38" Type="http://schemas.openxmlformats.org/officeDocument/2006/relationships/hyperlink" Target="http://stat.gov.pl/metainformacje/slownik-pojec/pojecia-stosowane-w-statystyce-publicznej/20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mailto:A.Majcher@stat.gov.p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image" Target="media/image4.png"/><Relationship Id="rId37" Type="http://schemas.openxmlformats.org/officeDocument/2006/relationships/hyperlink" Target="http://stat.gov.pl/metainformacje/slownik-pojec/pojecia-stosowane-w-statystyce-publicznej/1064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footer" Target="footer2.xml"/><Relationship Id="rId36" Type="http://schemas.openxmlformats.org/officeDocument/2006/relationships/hyperlink" Target="http://stat.gov.pl/metainformacje/slownik-pojec/pojecia-stosowane-w-statystyce-publicznej/3137,pojecie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yperlink" Target="mailto:obslugaprasowa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eader" Target="header2.xml"/><Relationship Id="rId30" Type="http://schemas.openxmlformats.org/officeDocument/2006/relationships/hyperlink" Target="mailto:rzecznik@stat.gov.pl" TargetMode="External"/><Relationship Id="rId35" Type="http://schemas.openxmlformats.org/officeDocument/2006/relationships/hyperlink" Target="http://stat.gov.pl/obszary-tematyczne/rolnictwo-lesnictwo/rolnictwo/rolnictwo-w-2016-roku,3,13.html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C742.176C9F80" TargetMode="External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_1_2_II_edycja_2017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y_10_11_12_II_edycja_2017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_14_1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_14_1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_1_2_II_edycja_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y_10_11_12_II_edycja_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y_10_11_12_II_edycja_2017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majcheran\Documents\koniunktura\Raport_z_wynik&#243;w\2017\grudzie&#324;\wykresy_3_4_og&#243;&#322;em_II_edycja_2017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6.5123408110195832E-2"/>
          <c:y val="9.119898159869036E-2"/>
          <c:w val="0.74930522271672562"/>
          <c:h val="0.78125598060460422"/>
        </c:manualLayout>
      </c:layout>
      <c:barChart>
        <c:barDir val="col"/>
        <c:grouping val="clustered"/>
        <c:ser>
          <c:idx val="0"/>
          <c:order val="0"/>
          <c:tx>
            <c:strRef>
              <c:f>wykres_1!$B$3</c:f>
              <c:strCache>
                <c:ptCount val="1"/>
                <c:pt idx="0">
                  <c:v>bieżąca ogólna sytuacja gospodarstw rolnych</c:v>
                </c:pt>
              </c:strCache>
            </c:strRef>
          </c:tx>
          <c:spPr>
            <a:solidFill>
              <a:srgbClr val="001D77"/>
            </a:solidFill>
          </c:spPr>
          <c:cat>
            <c:strRef>
              <c:f>wykres_1!$A$4:$A$13</c:f>
              <c:strCache>
                <c:ptCount val="10"/>
                <c:pt idx="0">
                  <c:v>ogółem </c:v>
                </c:pt>
                <c:pt idx="1">
                  <c:v>do 2 </c:v>
                </c:pt>
                <c:pt idx="2">
                  <c:v>2-5</c:v>
                </c:pt>
                <c:pt idx="3">
                  <c:v>5-10</c:v>
                </c:pt>
                <c:pt idx="4">
                  <c:v>10-15</c:v>
                </c:pt>
                <c:pt idx="5">
                  <c:v>15-20</c:v>
                </c:pt>
                <c:pt idx="6">
                  <c:v>20-30</c:v>
                </c:pt>
                <c:pt idx="7">
                  <c:v>30-50</c:v>
                </c:pt>
                <c:pt idx="8">
                  <c:v>50-100</c:v>
                </c:pt>
                <c:pt idx="9">
                  <c:v>100 i więcej</c:v>
                </c:pt>
              </c:strCache>
            </c:strRef>
          </c:cat>
          <c:val>
            <c:numRef>
              <c:f>wykres_1!$B$4:$B$13</c:f>
              <c:numCache>
                <c:formatCode>0.0</c:formatCode>
                <c:ptCount val="10"/>
                <c:pt idx="0">
                  <c:v>1</c:v>
                </c:pt>
                <c:pt idx="1">
                  <c:v>-8.2000000000000011</c:v>
                </c:pt>
                <c:pt idx="2">
                  <c:v>-3</c:v>
                </c:pt>
                <c:pt idx="3">
                  <c:v>-1.9000000000000001</c:v>
                </c:pt>
                <c:pt idx="4">
                  <c:v>-1.6</c:v>
                </c:pt>
                <c:pt idx="5">
                  <c:v>6.5</c:v>
                </c:pt>
                <c:pt idx="6">
                  <c:v>7.7</c:v>
                </c:pt>
                <c:pt idx="7">
                  <c:v>13.2</c:v>
                </c:pt>
                <c:pt idx="8">
                  <c:v>7.5</c:v>
                </c:pt>
                <c:pt idx="9">
                  <c:v>0.5</c:v>
                </c:pt>
              </c:numCache>
            </c:numRef>
          </c:val>
        </c:ser>
        <c:ser>
          <c:idx val="1"/>
          <c:order val="1"/>
          <c:tx>
            <c:strRef>
              <c:f>wykres_1!$C$3</c:f>
              <c:strCache>
                <c:ptCount val="1"/>
                <c:pt idx="0">
                  <c:v>prognozowana ogólna sytuacja gospodarstw rolnych</c:v>
                </c:pt>
              </c:strCache>
            </c:strRef>
          </c:tx>
          <c:spPr>
            <a:solidFill>
              <a:srgbClr val="7077AD"/>
            </a:solidFill>
            <a:ln>
              <a:solidFill>
                <a:srgbClr val="6677AD"/>
              </a:solidFill>
            </a:ln>
          </c:spPr>
          <c:cat>
            <c:strRef>
              <c:f>wykres_1!$A$4:$A$13</c:f>
              <c:strCache>
                <c:ptCount val="10"/>
                <c:pt idx="0">
                  <c:v>ogółem </c:v>
                </c:pt>
                <c:pt idx="1">
                  <c:v>do 2 </c:v>
                </c:pt>
                <c:pt idx="2">
                  <c:v>2-5</c:v>
                </c:pt>
                <c:pt idx="3">
                  <c:v>5-10</c:v>
                </c:pt>
                <c:pt idx="4">
                  <c:v>10-15</c:v>
                </c:pt>
                <c:pt idx="5">
                  <c:v>15-20</c:v>
                </c:pt>
                <c:pt idx="6">
                  <c:v>20-30</c:v>
                </c:pt>
                <c:pt idx="7">
                  <c:v>30-50</c:v>
                </c:pt>
                <c:pt idx="8">
                  <c:v>50-100</c:v>
                </c:pt>
                <c:pt idx="9">
                  <c:v>100 i więcej</c:v>
                </c:pt>
              </c:strCache>
            </c:strRef>
          </c:cat>
          <c:val>
            <c:numRef>
              <c:f>wykres_1!$C$4:$C$13</c:f>
              <c:numCache>
                <c:formatCode>0.0</c:formatCode>
                <c:ptCount val="10"/>
                <c:pt idx="0">
                  <c:v>-3</c:v>
                </c:pt>
                <c:pt idx="1">
                  <c:v>-3.5</c:v>
                </c:pt>
                <c:pt idx="2">
                  <c:v>-2.2999999999999998</c:v>
                </c:pt>
                <c:pt idx="3">
                  <c:v>-3</c:v>
                </c:pt>
                <c:pt idx="4">
                  <c:v>-1.7000000000000015</c:v>
                </c:pt>
                <c:pt idx="5">
                  <c:v>-2</c:v>
                </c:pt>
                <c:pt idx="6">
                  <c:v>-3.9</c:v>
                </c:pt>
                <c:pt idx="7">
                  <c:v>-4.0999999999999996</c:v>
                </c:pt>
                <c:pt idx="8">
                  <c:v>-3.4</c:v>
                </c:pt>
                <c:pt idx="9">
                  <c:v>-12.7</c:v>
                </c:pt>
              </c:numCache>
            </c:numRef>
          </c:val>
        </c:ser>
        <c:gapWidth val="91"/>
        <c:axId val="90327296"/>
        <c:axId val="90344448"/>
      </c:barChart>
      <c:catAx>
        <c:axId val="9032729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00" b="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900" b="0">
                    <a:latin typeface="Fira Sans" pitchFamily="34" charset="0"/>
                    <a:ea typeface="Fira Sans" pitchFamily="34" charset="0"/>
                  </a:rPr>
                  <a:t>ha</a:t>
                </a:r>
              </a:p>
            </c:rich>
          </c:tx>
        </c:title>
        <c:tickLblPos val="low"/>
        <c:txPr>
          <a:bodyPr/>
          <a:lstStyle/>
          <a:p>
            <a:pPr>
              <a:defRPr sz="800" b="0" i="0" baseline="0">
                <a:latin typeface="Fira Sans" pitchFamily="34" charset="0"/>
              </a:defRPr>
            </a:pPr>
            <a:endParaRPr lang="pl-PL"/>
          </a:p>
        </c:txPr>
        <c:crossAx val="90344448"/>
        <c:crosses val="autoZero"/>
        <c:auto val="1"/>
        <c:lblAlgn val="ctr"/>
        <c:lblOffset val="0"/>
      </c:catAx>
      <c:valAx>
        <c:axId val="90344448"/>
        <c:scaling>
          <c:orientation val="minMax"/>
          <c:max val="16"/>
          <c:min val="-16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800" b="1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="1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 b="1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3.6517432360082099E-2"/>
              <c:y val="9.1564576226337603E-3"/>
            </c:manualLayout>
          </c:layout>
        </c:title>
        <c:numFmt formatCode="#,##0.0" sourceLinked="0"/>
        <c:tickLblPos val="nextTo"/>
        <c:txPr>
          <a:bodyPr/>
          <a:lstStyle/>
          <a:p>
            <a:pPr>
              <a:defRPr sz="800" baseline="0">
                <a:latin typeface="Fira Sans" pitchFamily="34" charset="0"/>
              </a:defRPr>
            </a:pPr>
            <a:endParaRPr lang="pl-PL"/>
          </a:p>
        </c:txPr>
        <c:crossAx val="90327296"/>
        <c:crosses val="autoZero"/>
        <c:crossBetween val="between"/>
        <c:majorUnit val="4"/>
      </c:valAx>
    </c:plotArea>
    <c:legend>
      <c:legendPos val="r"/>
      <c:layout>
        <c:manualLayout>
          <c:xMode val="edge"/>
          <c:yMode val="edge"/>
          <c:x val="0.82531310598697116"/>
          <c:y val="7.7962285483545793E-2"/>
          <c:w val="0.1563226421384275"/>
          <c:h val="0.70238566228267785"/>
        </c:manualLayout>
      </c:layout>
      <c:txPr>
        <a:bodyPr/>
        <a:lstStyle/>
        <a:p>
          <a:pPr>
            <a:defRPr sz="800" b="0" i="0" baseline="0">
              <a:latin typeface="Fira Sans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7.5225288687820566E-2"/>
          <c:y val="0.11704834605597966"/>
          <c:w val="0.89573175122493387"/>
          <c:h val="0.67987698102622651"/>
        </c:manualLayout>
      </c:layout>
      <c:lineChart>
        <c:grouping val="standard"/>
        <c:ser>
          <c:idx val="0"/>
          <c:order val="0"/>
          <c:tx>
            <c:strRef>
              <c:f>opłacalność_bieżąca!$A$4</c:f>
              <c:strCache>
                <c:ptCount val="1"/>
                <c:pt idx="0">
                  <c:v>opłacalna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opłacalność_bieżąca!$B$3:$K$3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opłacalność_bieżąca!$B$4:$K$4</c:f>
              <c:numCache>
                <c:formatCode>0.0</c:formatCode>
                <c:ptCount val="10"/>
                <c:pt idx="0">
                  <c:v>17.2</c:v>
                </c:pt>
                <c:pt idx="1">
                  <c:v>18.2</c:v>
                </c:pt>
                <c:pt idx="2">
                  <c:v>18.7</c:v>
                </c:pt>
                <c:pt idx="3" formatCode="General">
                  <c:v>11</c:v>
                </c:pt>
                <c:pt idx="4" formatCode="General">
                  <c:v>9.6</c:v>
                </c:pt>
                <c:pt idx="5" formatCode="General">
                  <c:v>10.1</c:v>
                </c:pt>
                <c:pt idx="6">
                  <c:v>13.5</c:v>
                </c:pt>
                <c:pt idx="7" formatCode="General">
                  <c:v>18.7</c:v>
                </c:pt>
                <c:pt idx="8">
                  <c:v>23.3</c:v>
                </c:pt>
                <c:pt idx="9">
                  <c:v>22</c:v>
                </c:pt>
              </c:numCache>
            </c:numRef>
          </c:val>
        </c:ser>
        <c:ser>
          <c:idx val="1"/>
          <c:order val="1"/>
          <c:tx>
            <c:strRef>
              <c:f>opłacalność_bieżąca!$A$5</c:f>
              <c:strCache>
                <c:ptCount val="1"/>
                <c:pt idx="0">
                  <c:v>brak  opinii</c:v>
                </c:pt>
              </c:strCache>
            </c:strRef>
          </c:tx>
          <c:spPr>
            <a:ln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opłacalność_bieżąca!$B$3:$K$3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opłacalność_bieżąca!$B$5:$K$5</c:f>
              <c:numCache>
                <c:formatCode>0.0</c:formatCode>
                <c:ptCount val="10"/>
                <c:pt idx="0">
                  <c:v>56.1</c:v>
                </c:pt>
                <c:pt idx="1">
                  <c:v>59.3</c:v>
                </c:pt>
                <c:pt idx="2">
                  <c:v>58.2</c:v>
                </c:pt>
                <c:pt idx="3" formatCode="General">
                  <c:v>53.7</c:v>
                </c:pt>
                <c:pt idx="4" formatCode="General">
                  <c:v>47.3</c:v>
                </c:pt>
                <c:pt idx="5" formatCode="General">
                  <c:v>49.6</c:v>
                </c:pt>
                <c:pt idx="6">
                  <c:v>53.6</c:v>
                </c:pt>
                <c:pt idx="7" formatCode="General">
                  <c:v>60.1</c:v>
                </c:pt>
                <c:pt idx="8">
                  <c:v>58.7</c:v>
                </c:pt>
                <c:pt idx="9">
                  <c:v>58.5</c:v>
                </c:pt>
              </c:numCache>
            </c:numRef>
          </c:val>
        </c:ser>
        <c:ser>
          <c:idx val="2"/>
          <c:order val="2"/>
          <c:tx>
            <c:strRef>
              <c:f>opłacalność_bieżąca!$A$6</c:f>
              <c:strCache>
                <c:ptCount val="1"/>
                <c:pt idx="0">
                  <c:v>nieopłacalna</c:v>
                </c:pt>
              </c:strCache>
            </c:strRef>
          </c:tx>
          <c:spPr>
            <a:ln w="25400">
              <a:solidFill>
                <a:srgbClr val="6677AD"/>
              </a:solidFill>
            </a:ln>
          </c:spPr>
          <c:marker>
            <c:symbol val="none"/>
          </c:marker>
          <c:cat>
            <c:strRef>
              <c:f>opłacalność_bieżąca!$B$3:$K$3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opłacalność_bieżąca!$B$6:$K$6</c:f>
              <c:numCache>
                <c:formatCode>0.0</c:formatCode>
                <c:ptCount val="10"/>
                <c:pt idx="0">
                  <c:v>26.7</c:v>
                </c:pt>
                <c:pt idx="1">
                  <c:v>22.5</c:v>
                </c:pt>
                <c:pt idx="2">
                  <c:v>23.1</c:v>
                </c:pt>
                <c:pt idx="3" formatCode="General">
                  <c:v>35.300000000000004</c:v>
                </c:pt>
                <c:pt idx="4" formatCode="General">
                  <c:v>43.1</c:v>
                </c:pt>
                <c:pt idx="5" formatCode="General">
                  <c:v>40.300000000000004</c:v>
                </c:pt>
                <c:pt idx="6">
                  <c:v>32.9</c:v>
                </c:pt>
                <c:pt idx="7" formatCode="General">
                  <c:v>21.2</c:v>
                </c:pt>
                <c:pt idx="8">
                  <c:v>18</c:v>
                </c:pt>
                <c:pt idx="9">
                  <c:v>19.5</c:v>
                </c:pt>
              </c:numCache>
            </c:numRef>
          </c:val>
        </c:ser>
        <c:marker val="1"/>
        <c:axId val="162183808"/>
        <c:axId val="162185600"/>
      </c:lineChart>
      <c:catAx>
        <c:axId val="162183808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2185600"/>
        <c:crosses val="autoZero"/>
        <c:auto val="1"/>
        <c:lblAlgn val="ctr"/>
        <c:lblOffset val="100"/>
      </c:catAx>
      <c:valAx>
        <c:axId val="162185600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2183808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804025331909E-3"/>
          <c:y val="0.89991184308068362"/>
          <c:w val="0.96526803976876441"/>
          <c:h val="9.0029117454068233E-2"/>
        </c:manualLayout>
      </c:layout>
      <c:txPr>
        <a:bodyPr/>
        <a:lstStyle/>
        <a:p>
          <a:pPr>
            <a:defRPr sz="80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8.5828313021322225E-2"/>
          <c:y val="0.11704834605597966"/>
          <c:w val="0.88512878872611656"/>
          <c:h val="0.67987698102622651"/>
        </c:manualLayout>
      </c:layout>
      <c:lineChart>
        <c:grouping val="standard"/>
        <c:ser>
          <c:idx val="0"/>
          <c:order val="0"/>
          <c:tx>
            <c:strRef>
              <c:f>opłacalność_prognoza!$A$4</c:f>
              <c:strCache>
                <c:ptCount val="1"/>
                <c:pt idx="0">
                  <c:v>poprawi się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opłacalność_prognoza!$B$3:$K$3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opłacalność_prognoza!$B$4:$K$4</c:f>
              <c:numCache>
                <c:formatCode>0.0</c:formatCode>
                <c:ptCount val="10"/>
                <c:pt idx="0">
                  <c:v>6.7</c:v>
                </c:pt>
                <c:pt idx="1">
                  <c:v>8</c:v>
                </c:pt>
                <c:pt idx="2">
                  <c:v>7.4</c:v>
                </c:pt>
                <c:pt idx="3" formatCode="General">
                  <c:v>5.4</c:v>
                </c:pt>
                <c:pt idx="4" formatCode="General">
                  <c:v>7.8</c:v>
                </c:pt>
                <c:pt idx="5" formatCode="General">
                  <c:v>8.5</c:v>
                </c:pt>
                <c:pt idx="6">
                  <c:v>11.2</c:v>
                </c:pt>
                <c:pt idx="7" formatCode="General">
                  <c:v>12.1</c:v>
                </c:pt>
                <c:pt idx="8" formatCode="General">
                  <c:v>13.1</c:v>
                </c:pt>
                <c:pt idx="9" formatCode="General">
                  <c:v>10.3</c:v>
                </c:pt>
              </c:numCache>
            </c:numRef>
          </c:val>
        </c:ser>
        <c:ser>
          <c:idx val="1"/>
          <c:order val="1"/>
          <c:tx>
            <c:strRef>
              <c:f>opłacalność_prognoza!$A$5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ln w="28575"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opłacalność_prognoza!$B$3:$K$3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opłacalność_prognoza!$B$5:$K$5</c:f>
              <c:numCache>
                <c:formatCode>0.0</c:formatCode>
                <c:ptCount val="10"/>
                <c:pt idx="0">
                  <c:v>67.5</c:v>
                </c:pt>
                <c:pt idx="1">
                  <c:v>74.3</c:v>
                </c:pt>
                <c:pt idx="2">
                  <c:v>74.400000000000006</c:v>
                </c:pt>
                <c:pt idx="3">
                  <c:v>68</c:v>
                </c:pt>
                <c:pt idx="4" formatCode="General">
                  <c:v>56.6</c:v>
                </c:pt>
                <c:pt idx="5" formatCode="General">
                  <c:v>67.400000000000006</c:v>
                </c:pt>
                <c:pt idx="6">
                  <c:v>61.3</c:v>
                </c:pt>
                <c:pt idx="7" formatCode="General">
                  <c:v>74.599999999999994</c:v>
                </c:pt>
                <c:pt idx="8" formatCode="General">
                  <c:v>69.900000000000006</c:v>
                </c:pt>
                <c:pt idx="9" formatCode="General">
                  <c:v>72.900000000000006</c:v>
                </c:pt>
              </c:numCache>
            </c:numRef>
          </c:val>
        </c:ser>
        <c:ser>
          <c:idx val="2"/>
          <c:order val="2"/>
          <c:tx>
            <c:strRef>
              <c:f>opłacalność_prognoza!$A$6</c:f>
              <c:strCache>
                <c:ptCount val="1"/>
                <c:pt idx="0">
                  <c:v>pogorszy się</c:v>
                </c:pt>
              </c:strCache>
            </c:strRef>
          </c:tx>
          <c:spPr>
            <a:ln w="25400">
              <a:solidFill>
                <a:srgbClr val="6677AD"/>
              </a:solidFill>
            </a:ln>
          </c:spPr>
          <c:marker>
            <c:symbol val="none"/>
          </c:marker>
          <c:cat>
            <c:strRef>
              <c:f>opłacalność_prognoza!$B$3:$K$3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opłacalność_prognoza!$B$6:$K$6</c:f>
              <c:numCache>
                <c:formatCode>0.0</c:formatCode>
                <c:ptCount val="10"/>
                <c:pt idx="0">
                  <c:v>25.8</c:v>
                </c:pt>
                <c:pt idx="1">
                  <c:v>17.7</c:v>
                </c:pt>
                <c:pt idx="2">
                  <c:v>18.2</c:v>
                </c:pt>
                <c:pt idx="3" formatCode="General">
                  <c:v>26.6</c:v>
                </c:pt>
                <c:pt idx="4" formatCode="General">
                  <c:v>35.6</c:v>
                </c:pt>
                <c:pt idx="5" formatCode="General">
                  <c:v>24.1</c:v>
                </c:pt>
                <c:pt idx="6">
                  <c:v>27.5</c:v>
                </c:pt>
                <c:pt idx="7" formatCode="General">
                  <c:v>13.3</c:v>
                </c:pt>
                <c:pt idx="8">
                  <c:v>17</c:v>
                </c:pt>
                <c:pt idx="9" formatCode="General">
                  <c:v>16.8</c:v>
                </c:pt>
              </c:numCache>
            </c:numRef>
          </c:val>
        </c:ser>
        <c:marker val="1"/>
        <c:axId val="167016704"/>
        <c:axId val="167800832"/>
      </c:lineChart>
      <c:catAx>
        <c:axId val="167016704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7800832"/>
        <c:crosses val="autoZero"/>
        <c:auto val="1"/>
        <c:lblAlgn val="ctr"/>
        <c:lblOffset val="100"/>
      </c:catAx>
      <c:valAx>
        <c:axId val="167800832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7016704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10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10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10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"/>
          <c:y val="0.89991184308068362"/>
          <c:w val="0.9891487410659231"/>
          <c:h val="8.4820981346797567E-2"/>
        </c:manualLayout>
      </c:layout>
      <c:txPr>
        <a:bodyPr/>
        <a:lstStyle/>
        <a:p>
          <a:pPr>
            <a:defRPr sz="800" spc="-10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6.0496053234981723E-2"/>
          <c:y val="0.15313531353135407"/>
          <c:w val="0.73957614963557061"/>
          <c:h val="0.6625451521530169"/>
        </c:manualLayout>
      </c:layout>
      <c:barChart>
        <c:barDir val="col"/>
        <c:grouping val="clustered"/>
        <c:ser>
          <c:idx val="0"/>
          <c:order val="0"/>
          <c:tx>
            <c:strRef>
              <c:f>Wykres_12!$B$3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Wykres_12!$B$4:$B$7</c:f>
              <c:numCache>
                <c:formatCode>General</c:formatCode>
                <c:ptCount val="4"/>
                <c:pt idx="0" formatCode="0.0">
                  <c:v>-3</c:v>
                </c:pt>
                <c:pt idx="1">
                  <c:v>-2</c:v>
                </c:pt>
                <c:pt idx="2">
                  <c:v>-2.7</c:v>
                </c:pt>
                <c:pt idx="3">
                  <c:v>-3.9</c:v>
                </c:pt>
              </c:numCache>
            </c:numRef>
          </c:val>
        </c:ser>
        <c:ser>
          <c:idx val="1"/>
          <c:order val="1"/>
          <c:tx>
            <c:strRef>
              <c:f>Wykres_12!$C$3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Wykres_12!$C$4:$C$7</c:f>
              <c:numCache>
                <c:formatCode>General</c:formatCode>
                <c:ptCount val="4"/>
                <c:pt idx="0">
                  <c:v>-6.5</c:v>
                </c:pt>
                <c:pt idx="1">
                  <c:v>-5.0999999999999996</c:v>
                </c:pt>
                <c:pt idx="2">
                  <c:v>-5.6</c:v>
                </c:pt>
                <c:pt idx="3">
                  <c:v>-8.2000000000000011</c:v>
                </c:pt>
              </c:numCache>
            </c:numRef>
          </c:val>
        </c:ser>
        <c:ser>
          <c:idx val="2"/>
          <c:order val="2"/>
          <c:tx>
            <c:strRef>
              <c:f>Wykres_12!$D$3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9CAE9"/>
            </a:solidFill>
            <a:ln>
              <a:solidFill>
                <a:srgbClr val="99CAE9"/>
              </a:solidFill>
            </a:ln>
          </c:spPr>
          <c:cat>
            <c:strRef>
              <c:f>Wykres_12!$A$4:$A$7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Wykres_12!$D$4:$D$7</c:f>
              <c:numCache>
                <c:formatCode>General</c:formatCode>
                <c:ptCount val="4"/>
                <c:pt idx="0">
                  <c:v>-0.1</c:v>
                </c:pt>
                <c:pt idx="1">
                  <c:v>0.2</c:v>
                </c:pt>
                <c:pt idx="2">
                  <c:v>1.2</c:v>
                </c:pt>
                <c:pt idx="3">
                  <c:v>-0.8</c:v>
                </c:pt>
              </c:numCache>
            </c:numRef>
          </c:val>
        </c:ser>
        <c:axId val="93214592"/>
        <c:axId val="93216128"/>
      </c:barChart>
      <c:catAx>
        <c:axId val="93214592"/>
        <c:scaling>
          <c:orientation val="minMax"/>
        </c:scaling>
        <c:axPos val="b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93216128"/>
        <c:crosses val="autoZero"/>
        <c:auto val="1"/>
        <c:lblAlgn val="ctr"/>
        <c:lblOffset val="0"/>
      </c:catAx>
      <c:valAx>
        <c:axId val="93216128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5.3402334142194932E-2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9321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161061187054262"/>
          <c:y val="0.11859185918591859"/>
          <c:w val="0.16674199182351276"/>
          <c:h val="0.63461076980761322"/>
        </c:manualLayout>
      </c:layout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9.7432638958104889E-2"/>
          <c:y val="8.5748758328285893E-2"/>
          <c:w val="0.63806970331240265"/>
          <c:h val="0.71825947910358012"/>
        </c:manualLayout>
      </c:layout>
      <c:barChart>
        <c:barDir val="col"/>
        <c:grouping val="stacked"/>
        <c:ser>
          <c:idx val="0"/>
          <c:order val="0"/>
          <c:tx>
            <c:strRef>
              <c:f>Wyk.14_czynniki_sprzyjające!$C$48</c:f>
              <c:strCache>
                <c:ptCount val="1"/>
                <c:pt idx="0">
                  <c:v>wsparcie unijne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</c:spPr>
          <c:cat>
            <c:strRef>
              <c:f>Wyk.14_czynniki_sprzyjające!$B$49:$B$56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Wyk.14_czynniki_sprzyjające!$C$49:$C$56</c:f>
              <c:numCache>
                <c:formatCode>0.0</c:formatCode>
                <c:ptCount val="8"/>
                <c:pt idx="0">
                  <c:v>46.28837407617992</c:v>
                </c:pt>
                <c:pt idx="1">
                  <c:v>48.025214222397331</c:v>
                </c:pt>
                <c:pt idx="2">
                  <c:v>49.514715090795242</c:v>
                </c:pt>
                <c:pt idx="3">
                  <c:v>49.802514980167103</c:v>
                </c:pt>
                <c:pt idx="4">
                  <c:v>47.513109804544733</c:v>
                </c:pt>
                <c:pt idx="5">
                  <c:v>40.872102879562135</c:v>
                </c:pt>
                <c:pt idx="6">
                  <c:v>37.342032027008528</c:v>
                </c:pt>
                <c:pt idx="7">
                  <c:v>36.032117765138963</c:v>
                </c:pt>
              </c:numCache>
            </c:numRef>
          </c:val>
        </c:ser>
        <c:ser>
          <c:idx val="1"/>
          <c:order val="1"/>
          <c:tx>
            <c:strRef>
              <c:f>Wyk.14_czynniki_sprzyjające!$D$48</c:f>
              <c:strCache>
                <c:ptCount val="1"/>
                <c:pt idx="0">
                  <c:v>korzystne ceny sprzedawanych produktów rolnych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Wyk.14_czynniki_sprzyjające!$B$49:$B$56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Wyk.14_czynniki_sprzyjające!$D$49:$D$56</c:f>
              <c:numCache>
                <c:formatCode>0.0</c:formatCode>
                <c:ptCount val="8"/>
                <c:pt idx="0">
                  <c:v>21.668561682774289</c:v>
                </c:pt>
                <c:pt idx="1">
                  <c:v>20.801733477789789</c:v>
                </c:pt>
                <c:pt idx="2">
                  <c:v>21.321227301189726</c:v>
                </c:pt>
                <c:pt idx="3">
                  <c:v>20.940163726896795</c:v>
                </c:pt>
                <c:pt idx="4">
                  <c:v>22.711115943362287</c:v>
                </c:pt>
                <c:pt idx="5">
                  <c:v>22.945678234966294</c:v>
                </c:pt>
                <c:pt idx="6">
                  <c:v>20.00091245038551</c:v>
                </c:pt>
                <c:pt idx="7">
                  <c:v>15.097022415523583</c:v>
                </c:pt>
              </c:numCache>
            </c:numRef>
          </c:val>
        </c:ser>
        <c:ser>
          <c:idx val="2"/>
          <c:order val="2"/>
          <c:tx>
            <c:strRef>
              <c:f>Wyk.14_czynniki_sprzyjające!$E$48</c:f>
              <c:strCache>
                <c:ptCount val="1"/>
                <c:pt idx="0">
                  <c:v>kredyty preferencyjne</c:v>
                </c:pt>
              </c:strCache>
            </c:strRef>
          </c:tx>
          <c:spPr>
            <a:solidFill>
              <a:srgbClr val="99CAE9"/>
            </a:solidFill>
            <a:ln>
              <a:solidFill>
                <a:srgbClr val="99CAE9"/>
              </a:solidFill>
            </a:ln>
          </c:spPr>
          <c:cat>
            <c:strRef>
              <c:f>Wyk.14_czynniki_sprzyjające!$B$49:$B$56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Wyk.14_czynniki_sprzyjające!$E$49:$E$56</c:f>
              <c:numCache>
                <c:formatCode>0.0</c:formatCode>
                <c:ptCount val="8"/>
                <c:pt idx="0">
                  <c:v>8.4877771461057421</c:v>
                </c:pt>
                <c:pt idx="1">
                  <c:v>5.7224465675169487</c:v>
                </c:pt>
                <c:pt idx="2">
                  <c:v>5.5051137549572076</c:v>
                </c:pt>
                <c:pt idx="3">
                  <c:v>6.1988353447548317</c:v>
                </c:pt>
                <c:pt idx="4">
                  <c:v>8.1544238794985233</c:v>
                </c:pt>
                <c:pt idx="5">
                  <c:v>11.783439490445859</c:v>
                </c:pt>
                <c:pt idx="6">
                  <c:v>16.506227473881086</c:v>
                </c:pt>
                <c:pt idx="7">
                  <c:v>13.742054198728674</c:v>
                </c:pt>
              </c:numCache>
            </c:numRef>
          </c:val>
        </c:ser>
        <c:ser>
          <c:idx val="3"/>
          <c:order val="3"/>
          <c:tx>
            <c:strRef>
              <c:f>Wyk.14_czynniki_sprzyjające!$F$48</c:f>
              <c:strCache>
                <c:ptCount val="1"/>
                <c:pt idx="0">
                  <c:v>umowy kontraktacyjne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cat>
            <c:strRef>
              <c:f>Wyk.14_czynniki_sprzyjające!$B$49:$B$56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Wyk.14_czynniki_sprzyjające!$F$49:$F$56</c:f>
              <c:numCache>
                <c:formatCode>0.0</c:formatCode>
                <c:ptCount val="8"/>
                <c:pt idx="0">
                  <c:v>4.9076179647527001</c:v>
                </c:pt>
                <c:pt idx="1">
                  <c:v>4.3927903082832662</c:v>
                </c:pt>
                <c:pt idx="2">
                  <c:v>3.3100257427120408</c:v>
                </c:pt>
                <c:pt idx="3">
                  <c:v>3.5792049962022108</c:v>
                </c:pt>
                <c:pt idx="4">
                  <c:v>4.7964739434793904</c:v>
                </c:pt>
                <c:pt idx="5">
                  <c:v>6.3064590346564628</c:v>
                </c:pt>
                <c:pt idx="6">
                  <c:v>7.7923262922578589</c:v>
                </c:pt>
                <c:pt idx="7">
                  <c:v>12.353629976580844</c:v>
                </c:pt>
              </c:numCache>
            </c:numRef>
          </c:val>
        </c:ser>
        <c:ser>
          <c:idx val="4"/>
          <c:order val="4"/>
          <c:tx>
            <c:strRef>
              <c:f>Wyk.14_czynniki_sprzyjające!$G$48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</c:spPr>
          <c:cat>
            <c:strRef>
              <c:f>Wyk.14_czynniki_sprzyjające!$B$49:$B$56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Wyk.14_czynniki_sprzyjające!$G$49:$G$56</c:f>
              <c:numCache>
                <c:formatCode>0.0</c:formatCode>
                <c:ptCount val="8"/>
                <c:pt idx="0">
                  <c:v>18.647669130187609</c:v>
                </c:pt>
                <c:pt idx="1">
                  <c:v>21.057815424012819</c:v>
                </c:pt>
                <c:pt idx="2">
                  <c:v>20.348918110345792</c:v>
                </c:pt>
                <c:pt idx="3">
                  <c:v>19.479280951978989</c:v>
                </c:pt>
                <c:pt idx="4">
                  <c:v>16.824876429115157</c:v>
                </c:pt>
                <c:pt idx="5">
                  <c:v>18.092320360368969</c:v>
                </c:pt>
                <c:pt idx="6">
                  <c:v>18.358501756466993</c:v>
                </c:pt>
                <c:pt idx="7">
                  <c:v>22.775175644028103</c:v>
                </c:pt>
              </c:numCache>
            </c:numRef>
          </c:val>
        </c:ser>
        <c:overlap val="100"/>
        <c:axId val="93260032"/>
        <c:axId val="93274496"/>
      </c:barChart>
      <c:catAx>
        <c:axId val="932600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itchFamily="34" charset="0"/>
                    <a:ea typeface="Fira Sans" pitchFamily="34" charset="0"/>
                    <a:cs typeface="Calibri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ha</a:t>
                </a:r>
              </a:p>
            </c:rich>
          </c:tx>
          <c:layout>
            <c:manualLayout>
              <c:xMode val="edge"/>
              <c:yMode val="edge"/>
              <c:x val="0.38316527357157282"/>
              <c:y val="0.89846929133858555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Calibri"/>
              </a:defRPr>
            </a:pPr>
            <a:endParaRPr lang="pl-PL"/>
          </a:p>
        </c:txPr>
        <c:crossAx val="93274496"/>
        <c:crosses val="autoZero"/>
        <c:auto val="1"/>
        <c:lblAlgn val="ctr"/>
        <c:lblOffset val="100"/>
      </c:catAx>
      <c:valAx>
        <c:axId val="93274496"/>
        <c:scaling>
          <c:orientation val="minMax"/>
          <c:max val="100"/>
        </c:scaling>
        <c:axPos val="l"/>
        <c:majorGridlines/>
        <c:title>
          <c:tx>
            <c:rich>
              <a:bodyPr rot="0" vert="wordArtVert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7.5010377548960394E-2"/>
              <c:y val="6.5156470825762744E-4"/>
            </c:manualLayout>
          </c:layout>
        </c:title>
        <c:numFmt formatCode="General" sourceLinked="0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Calibri"/>
              </a:defRPr>
            </a:pPr>
            <a:endParaRPr lang="pl-PL"/>
          </a:p>
        </c:txPr>
        <c:crossAx val="93260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59584090450521"/>
          <c:y val="5.0865980214012035E-2"/>
          <c:w val="0.18340415909549931"/>
          <c:h val="0.87034314556834269"/>
        </c:manualLayout>
      </c:layout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Calibri"/>
            </a:defRPr>
          </a:pPr>
          <a:endParaRPr lang="pl-PL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9.3471009698746527E-2"/>
          <c:y val="0.11634802096729313"/>
          <c:w val="0.6581451675158293"/>
          <c:h val="0.70239890500793356"/>
        </c:manualLayout>
      </c:layout>
      <c:barChart>
        <c:barDir val="col"/>
        <c:grouping val="stacked"/>
        <c:ser>
          <c:idx val="0"/>
          <c:order val="0"/>
          <c:tx>
            <c:strRef>
              <c:f>'Wyk.15_czynniki_ograniczające'!$C$45</c:f>
              <c:strCache>
                <c:ptCount val="1"/>
                <c:pt idx="0">
                  <c:v>zbyt wysokie koszty produkcji 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</c:spPr>
          <c:cat>
            <c:strRef>
              <c:f>'Wyk.15_czynniki_ograniczające'!$B$46:$B$53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'Wyk.15_czynniki_ograniczające'!$C$46:$C$53</c:f>
              <c:numCache>
                <c:formatCode>0</c:formatCode>
                <c:ptCount val="8"/>
                <c:pt idx="0">
                  <c:v>21.965753190825122</c:v>
                </c:pt>
                <c:pt idx="1">
                  <c:v>22.243435155412648</c:v>
                </c:pt>
                <c:pt idx="2">
                  <c:v>22.02734055289876</c:v>
                </c:pt>
                <c:pt idx="3">
                  <c:v>22.134645016000995</c:v>
                </c:pt>
                <c:pt idx="4">
                  <c:v>22.525012267597099</c:v>
                </c:pt>
                <c:pt idx="5">
                  <c:v>21.46106133700896</c:v>
                </c:pt>
                <c:pt idx="6">
                  <c:v>19.93461762988909</c:v>
                </c:pt>
                <c:pt idx="7">
                  <c:v>19.249063433935167</c:v>
                </c:pt>
              </c:numCache>
            </c:numRef>
          </c:val>
        </c:ser>
        <c:ser>
          <c:idx val="1"/>
          <c:order val="1"/>
          <c:tx>
            <c:strRef>
              <c:f>'Wyk.15_czynniki_ograniczające'!$D$45</c:f>
              <c:strCache>
                <c:ptCount val="1"/>
                <c:pt idx="0">
                  <c:v>zbyt niskie ceny zbytu 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'Wyk.15_czynniki_ograniczające'!$B$46:$B$53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'Wyk.15_czynniki_ograniczające'!$D$46:$D$53</c:f>
              <c:numCache>
                <c:formatCode>0</c:formatCode>
                <c:ptCount val="8"/>
                <c:pt idx="0">
                  <c:v>22.943606400670976</c:v>
                </c:pt>
                <c:pt idx="1">
                  <c:v>20.019426580921603</c:v>
                </c:pt>
                <c:pt idx="2">
                  <c:v>23.319286521148005</c:v>
                </c:pt>
                <c:pt idx="3">
                  <c:v>23.353898554612297</c:v>
                </c:pt>
                <c:pt idx="4">
                  <c:v>23.156452756120167</c:v>
                </c:pt>
                <c:pt idx="5">
                  <c:v>22.622479249692866</c:v>
                </c:pt>
                <c:pt idx="6">
                  <c:v>21.492119089316876</c:v>
                </c:pt>
                <c:pt idx="7">
                  <c:v>20.98749842151787</c:v>
                </c:pt>
              </c:numCache>
            </c:numRef>
          </c:val>
        </c:ser>
        <c:ser>
          <c:idx val="2"/>
          <c:order val="2"/>
          <c:tx>
            <c:strRef>
              <c:f>'Wyk.15_czynniki_ograniczające'!$E$45</c:f>
              <c:strCache>
                <c:ptCount val="1"/>
                <c:pt idx="0">
                  <c:v>brak środków finansowych </c:v>
                </c:pt>
              </c:strCache>
            </c:strRef>
          </c:tx>
          <c:spPr>
            <a:solidFill>
              <a:srgbClr val="99CAE9"/>
            </a:solidFill>
            <a:ln>
              <a:solidFill>
                <a:srgbClr val="99CAE9"/>
              </a:solidFill>
            </a:ln>
          </c:spPr>
          <c:cat>
            <c:strRef>
              <c:f>'Wyk.15_czynniki_ograniczające'!$B$46:$B$53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'Wyk.15_czynniki_ograniczające'!$E$46:$E$53</c:f>
              <c:numCache>
                <c:formatCode>0</c:formatCode>
                <c:ptCount val="8"/>
                <c:pt idx="0">
                  <c:v>13.043927799805893</c:v>
                </c:pt>
                <c:pt idx="1">
                  <c:v>17.17912647374062</c:v>
                </c:pt>
                <c:pt idx="2">
                  <c:v>13.749416595079786</c:v>
                </c:pt>
                <c:pt idx="3">
                  <c:v>13.341921236658068</c:v>
                </c:pt>
                <c:pt idx="4">
                  <c:v>13.645316504007416</c:v>
                </c:pt>
                <c:pt idx="5">
                  <c:v>10.998112246426754</c:v>
                </c:pt>
                <c:pt idx="6">
                  <c:v>11.663747810858156</c:v>
                </c:pt>
                <c:pt idx="7">
                  <c:v>8.8605463652818646</c:v>
                </c:pt>
              </c:numCache>
            </c:numRef>
          </c:val>
        </c:ser>
        <c:ser>
          <c:idx val="3"/>
          <c:order val="3"/>
          <c:tx>
            <c:strRef>
              <c:f>'Wyk.15_czynniki_ograniczające'!$G$45</c:f>
              <c:strCache>
                <c:ptCount val="1"/>
                <c:pt idx="0">
                  <c:v>niekorzystne warunki atmosferyczne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</c:spPr>
          <c:cat>
            <c:strRef>
              <c:f>'Wyk.15_czynniki_ograniczające'!$B$46:$B$53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'Wyk.15_czynniki_ograniczające'!$F$46:$F$53</c:f>
              <c:numCache>
                <c:formatCode>0.0</c:formatCode>
                <c:ptCount val="8"/>
                <c:pt idx="0">
                  <c:v>17.638911242141816</c:v>
                </c:pt>
                <c:pt idx="1">
                  <c:v>14.201500535905723</c:v>
                </c:pt>
                <c:pt idx="2">
                  <c:v>17.122004342561741</c:v>
                </c:pt>
                <c:pt idx="3">
                  <c:v>17.182460715020927</c:v>
                </c:pt>
                <c:pt idx="4">
                  <c:v>17.756665394471401</c:v>
                </c:pt>
                <c:pt idx="5">
                  <c:v>18.736104036196927</c:v>
                </c:pt>
                <c:pt idx="6">
                  <c:v>18.636310566258111</c:v>
                </c:pt>
                <c:pt idx="7">
                  <c:v>20.372942711621789</c:v>
                </c:pt>
              </c:numCache>
            </c:numRef>
          </c:val>
        </c:ser>
        <c:ser>
          <c:idx val="4"/>
          <c:order val="4"/>
          <c:tx>
            <c:strRef>
              <c:f>'Wyk.15_czynniki_ograniczające'!$H$45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</c:spPr>
          <c:cat>
            <c:strRef>
              <c:f>'Wyk.15_czynniki_ograniczające'!$B$46:$B$53</c:f>
              <c:strCache>
                <c:ptCount val="8"/>
                <c:pt idx="0">
                  <c:v>ogółem</c:v>
                </c:pt>
                <c:pt idx="1">
                  <c:v>do 2</c:v>
                </c:pt>
                <c:pt idx="2">
                  <c:v>2-5</c:v>
                </c:pt>
                <c:pt idx="3">
                  <c:v>5-10</c:v>
                </c:pt>
                <c:pt idx="4">
                  <c:v>10-20</c:v>
                </c:pt>
                <c:pt idx="5">
                  <c:v>20-50</c:v>
                </c:pt>
                <c:pt idx="6">
                  <c:v>50-100</c:v>
                </c:pt>
                <c:pt idx="7">
                  <c:v>100 i więcej</c:v>
                </c:pt>
              </c:strCache>
            </c:strRef>
          </c:cat>
          <c:val>
            <c:numRef>
              <c:f>'Wyk.15_czynniki_ograniczające'!$G$46:$G$53</c:f>
              <c:numCache>
                <c:formatCode>0.0</c:formatCode>
                <c:ptCount val="8"/>
                <c:pt idx="0">
                  <c:v>24.407801366555955</c:v>
                </c:pt>
                <c:pt idx="1">
                  <c:v>26.356511254019292</c:v>
                </c:pt>
                <c:pt idx="2">
                  <c:v>23.781951988311608</c:v>
                </c:pt>
                <c:pt idx="3">
                  <c:v>23.987074477707829</c:v>
                </c:pt>
                <c:pt idx="4">
                  <c:v>22.916553077803826</c:v>
                </c:pt>
                <c:pt idx="5">
                  <c:v>26.182243130674486</c:v>
                </c:pt>
                <c:pt idx="6">
                  <c:v>28.273204903677726</c:v>
                </c:pt>
                <c:pt idx="7">
                  <c:v>30.529949067643219</c:v>
                </c:pt>
              </c:numCache>
            </c:numRef>
          </c:val>
        </c:ser>
        <c:overlap val="100"/>
        <c:axId val="93301760"/>
        <c:axId val="93320320"/>
      </c:barChart>
      <c:catAx>
        <c:axId val="933017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itchFamily="34" charset="0"/>
                    <a:ea typeface="Fira Sans" pitchFamily="34" charset="0"/>
                    <a:cs typeface="Calibri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ha</a:t>
                </a:r>
              </a:p>
            </c:rich>
          </c:tx>
          <c:layout>
            <c:manualLayout>
              <c:xMode val="edge"/>
              <c:yMode val="edge"/>
              <c:x val="0.41942482649791646"/>
              <c:y val="0.89917529649768291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Calibri"/>
              </a:defRPr>
            </a:pPr>
            <a:endParaRPr lang="pl-PL"/>
          </a:p>
        </c:txPr>
        <c:crossAx val="93320320"/>
        <c:crosses val="autoZero"/>
        <c:auto val="1"/>
        <c:lblAlgn val="ctr"/>
        <c:lblOffset val="100"/>
      </c:catAx>
      <c:valAx>
        <c:axId val="93320320"/>
        <c:scaling>
          <c:orientation val="minMax"/>
          <c:max val="100"/>
        </c:scaling>
        <c:axPos val="l"/>
        <c:majorGridlines/>
        <c:title>
          <c:tx>
            <c:rich>
              <a:bodyPr rot="0" vert="wordArtVert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7.3193565528235374E-2"/>
              <c:y val="1.240409418736698E-2"/>
            </c:manualLayout>
          </c:layout>
        </c:title>
        <c:numFmt formatCode="General" sourceLinked="0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Calibri"/>
              </a:defRPr>
            </a:pPr>
            <a:endParaRPr lang="pl-PL"/>
          </a:p>
        </c:txPr>
        <c:crossAx val="93301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86385520828363"/>
          <c:y val="7.4832178928923826E-2"/>
          <c:w val="0.19513614479171698"/>
          <c:h val="0.74776556941843664"/>
        </c:manualLayout>
      </c:layout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itchFamily="34" charset="0"/>
              <a:ea typeface="Fira Sans" pitchFamily="34" charset="0"/>
              <a:cs typeface="Calibri"/>
            </a:defRPr>
          </a:pPr>
          <a:endParaRPr lang="pl-PL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7.6170906146025424E-2"/>
          <c:y val="0.12887941090696997"/>
          <c:w val="0.70745484881304321"/>
          <c:h val="0.76175634295713035"/>
        </c:manualLayout>
      </c:layout>
      <c:barChart>
        <c:barDir val="col"/>
        <c:grouping val="clustered"/>
        <c:ser>
          <c:idx val="0"/>
          <c:order val="0"/>
          <c:tx>
            <c:strRef>
              <c:f>wykres_2!$B$3</c:f>
              <c:strCache>
                <c:ptCount val="1"/>
                <c:pt idx="0">
                  <c:v>bieżąca ogólna sytuacja gospodarstw rolnych</c:v>
                </c:pt>
              </c:strCache>
            </c:strRef>
          </c:tx>
          <c:spPr>
            <a:solidFill>
              <a:srgbClr val="001C77"/>
            </a:solidFill>
          </c:spPr>
          <c:cat>
            <c:strRef>
              <c:f>wykres_2!$A$4:$A$9</c:f>
              <c:strCache>
                <c:ptCount val="6"/>
                <c:pt idx="0">
                  <c:v>do 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 i więcej</c:v>
                </c:pt>
              </c:strCache>
            </c:strRef>
          </c:cat>
          <c:val>
            <c:numRef>
              <c:f>wykres_2!$B$4:$B$9</c:f>
              <c:numCache>
                <c:formatCode>0.0</c:formatCode>
                <c:ptCount val="6"/>
                <c:pt idx="0">
                  <c:v>24.8</c:v>
                </c:pt>
                <c:pt idx="1">
                  <c:v>9.5</c:v>
                </c:pt>
                <c:pt idx="2">
                  <c:v>3.4</c:v>
                </c:pt>
                <c:pt idx="3">
                  <c:v>0.1</c:v>
                </c:pt>
                <c:pt idx="4">
                  <c:v>-2</c:v>
                </c:pt>
                <c:pt idx="5">
                  <c:v>-4.0999999999999996</c:v>
                </c:pt>
              </c:numCache>
            </c:numRef>
          </c:val>
        </c:ser>
        <c:ser>
          <c:idx val="1"/>
          <c:order val="1"/>
          <c:tx>
            <c:strRef>
              <c:f>wykres_2!$C$3</c:f>
              <c:strCache>
                <c:ptCount val="1"/>
                <c:pt idx="0">
                  <c:v>prognozowana ogólna sytuacja gospodarstw rolnych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wykres_2!$A$4:$A$9</c:f>
              <c:strCache>
                <c:ptCount val="6"/>
                <c:pt idx="0">
                  <c:v>do 24</c:v>
                </c:pt>
                <c:pt idx="1">
                  <c:v>25-34</c:v>
                </c:pt>
                <c:pt idx="2">
                  <c:v>35-44</c:v>
                </c:pt>
                <c:pt idx="3">
                  <c:v>45-54</c:v>
                </c:pt>
                <c:pt idx="4">
                  <c:v>55-64</c:v>
                </c:pt>
                <c:pt idx="5">
                  <c:v>65 i więcej</c:v>
                </c:pt>
              </c:strCache>
            </c:strRef>
          </c:cat>
          <c:val>
            <c:numRef>
              <c:f>wykres_2!$C$4:$C$9</c:f>
              <c:numCache>
                <c:formatCode>0.0</c:formatCode>
                <c:ptCount val="6"/>
                <c:pt idx="0">
                  <c:v>5.9</c:v>
                </c:pt>
                <c:pt idx="1">
                  <c:v>0.5</c:v>
                </c:pt>
                <c:pt idx="2">
                  <c:v>-0.4</c:v>
                </c:pt>
                <c:pt idx="3">
                  <c:v>-4</c:v>
                </c:pt>
                <c:pt idx="4">
                  <c:v>-5</c:v>
                </c:pt>
                <c:pt idx="5">
                  <c:v>-4.5999999999999996</c:v>
                </c:pt>
              </c:numCache>
            </c:numRef>
          </c:val>
        </c:ser>
        <c:axId val="90835200"/>
        <c:axId val="91162112"/>
      </c:barChart>
      <c:catAx>
        <c:axId val="908352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lata</a:t>
                </a:r>
              </a:p>
            </c:rich>
          </c:tx>
        </c:title>
        <c:tickLblPos val="low"/>
        <c:txPr>
          <a:bodyPr/>
          <a:lstStyle/>
          <a:p>
            <a:pPr>
              <a:defRPr sz="800" b="0" i="0" baseline="0">
                <a:latin typeface="Fira Sans" pitchFamily="34" charset="0"/>
              </a:defRPr>
            </a:pPr>
            <a:endParaRPr lang="pl-PL"/>
          </a:p>
        </c:txPr>
        <c:crossAx val="91162112"/>
        <c:crosses val="autoZero"/>
        <c:auto val="1"/>
        <c:lblAlgn val="ctr"/>
        <c:lblOffset val="0"/>
      </c:catAx>
      <c:valAx>
        <c:axId val="91162112"/>
        <c:scaling>
          <c:orientation val="minMax"/>
          <c:max val="26"/>
          <c:min val="-6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800" b="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proc.</a:t>
                </a:r>
                <a:endParaRPr lang="pl-PL" sz="800" b="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2.5702809077544082E-2"/>
              <c:y val="2.4643881367690072E-2"/>
            </c:manualLayout>
          </c:layout>
        </c:title>
        <c:numFmt formatCode="0.0" sourceLinked="1"/>
        <c:tickLblPos val="nextTo"/>
        <c:txPr>
          <a:bodyPr/>
          <a:lstStyle/>
          <a:p>
            <a:pPr>
              <a:defRPr sz="800" baseline="0">
                <a:latin typeface="Fira Sans" pitchFamily="34" charset="0"/>
              </a:defRPr>
            </a:pPr>
            <a:endParaRPr lang="pl-PL"/>
          </a:p>
        </c:txPr>
        <c:crossAx val="90835200"/>
        <c:crosses val="autoZero"/>
        <c:crossBetween val="between"/>
        <c:majorUnit val="4"/>
      </c:valAx>
    </c:plotArea>
    <c:legend>
      <c:legendPos val="r"/>
      <c:layout>
        <c:manualLayout>
          <c:xMode val="edge"/>
          <c:yMode val="edge"/>
          <c:x val="0.7947949450467533"/>
          <c:y val="7.7962339176267839E-2"/>
          <c:w val="0.19235365041447466"/>
          <c:h val="0.72781708825906299"/>
        </c:manualLayout>
      </c:layout>
      <c:txPr>
        <a:bodyPr/>
        <a:lstStyle/>
        <a:p>
          <a:pPr>
            <a:defRPr sz="800" b="0" i="0" baseline="0">
              <a:latin typeface="Fira Sans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l-PL"/>
  <c:chart>
    <c:plotArea>
      <c:layout>
        <c:manualLayout>
          <c:layoutTarget val="inner"/>
          <c:xMode val="edge"/>
          <c:yMode val="edge"/>
          <c:x val="6.7930997472899518E-2"/>
          <c:y val="0.14288964732650739"/>
          <c:w val="0.71231468742987292"/>
          <c:h val="0.6665000492685903"/>
        </c:manualLayout>
      </c:layout>
      <c:barChart>
        <c:barDir val="col"/>
        <c:grouping val="clustered"/>
        <c:ser>
          <c:idx val="0"/>
          <c:order val="0"/>
          <c:tx>
            <c:strRef>
              <c:f>Wykres_10.!$B$3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cat>
            <c:strRef>
              <c:f>Wykres_10.!$A$4:$A$7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Wykres_10.!$B$4:$B$7</c:f>
              <c:numCache>
                <c:formatCode>General</c:formatCode>
                <c:ptCount val="4"/>
                <c:pt idx="0">
                  <c:v>-10.1</c:v>
                </c:pt>
                <c:pt idx="1">
                  <c:v>-15.7</c:v>
                </c:pt>
                <c:pt idx="2">
                  <c:v>4.0999999999999996</c:v>
                </c:pt>
                <c:pt idx="3">
                  <c:v>-9</c:v>
                </c:pt>
              </c:numCache>
            </c:numRef>
          </c:val>
        </c:ser>
        <c:ser>
          <c:idx val="1"/>
          <c:order val="1"/>
          <c:tx>
            <c:strRef>
              <c:f>Wykres_10.!$C$3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Wykres_10.!$A$4:$A$7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Wykres_10.!$C$4:$C$7</c:f>
              <c:numCache>
                <c:formatCode>0.0</c:formatCode>
                <c:ptCount val="4"/>
                <c:pt idx="0" formatCode="General">
                  <c:v>-17.5</c:v>
                </c:pt>
                <c:pt idx="1">
                  <c:v>-24</c:v>
                </c:pt>
                <c:pt idx="2" formatCode="General">
                  <c:v>1.1000000000000001</c:v>
                </c:pt>
                <c:pt idx="3" formatCode="General">
                  <c:v>-17</c:v>
                </c:pt>
              </c:numCache>
            </c:numRef>
          </c:val>
        </c:ser>
        <c:ser>
          <c:idx val="2"/>
          <c:order val="2"/>
          <c:tx>
            <c:strRef>
              <c:f>Wykres_10.!$D$3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9CAE9"/>
            </a:solidFill>
            <a:ln>
              <a:solidFill>
                <a:srgbClr val="99CAE9"/>
              </a:solidFill>
            </a:ln>
          </c:spPr>
          <c:cat>
            <c:strRef>
              <c:f>Wykres_10.!$A$4:$A$7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Wykres_10.!$D$4:$D$7</c:f>
              <c:numCache>
                <c:formatCode>General</c:formatCode>
                <c:ptCount val="4"/>
                <c:pt idx="0">
                  <c:v>-2.7</c:v>
                </c:pt>
                <c:pt idx="1">
                  <c:v>-6.7</c:v>
                </c:pt>
                <c:pt idx="2">
                  <c:v>7.2</c:v>
                </c:pt>
                <c:pt idx="3">
                  <c:v>-1.9000000000000001</c:v>
                </c:pt>
              </c:numCache>
            </c:numRef>
          </c:val>
        </c:ser>
        <c:axId val="92867200"/>
        <c:axId val="93073792"/>
      </c:barChart>
      <c:catAx>
        <c:axId val="92867200"/>
        <c:scaling>
          <c:orientation val="minMax"/>
        </c:scaling>
        <c:axPos val="b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93073792"/>
        <c:crosses val="autoZero"/>
        <c:auto val="1"/>
        <c:lblAlgn val="ctr"/>
        <c:lblOffset val="0"/>
      </c:catAx>
      <c:valAx>
        <c:axId val="93073792"/>
        <c:scaling>
          <c:orientation val="minMax"/>
          <c:max val="15"/>
          <c:min val="-3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8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 proc</a:t>
                </a:r>
                <a:r>
                  <a:rPr lang="pl-PL" sz="8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8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5.3402334142194932E-2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92867200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8930577915678768"/>
          <c:y val="0.11859190678088441"/>
          <c:w val="0.16674199182351276"/>
          <c:h val="0.63461076980761322"/>
        </c:manualLayout>
      </c:layout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6.7930997472899518E-2"/>
          <c:y val="9.4210031864098154E-2"/>
          <c:w val="0.72222794641376165"/>
          <c:h val="0.69970576556159503"/>
        </c:manualLayout>
      </c:layout>
      <c:barChart>
        <c:barDir val="col"/>
        <c:grouping val="clustered"/>
        <c:ser>
          <c:idx val="0"/>
          <c:order val="0"/>
          <c:tx>
            <c:strRef>
              <c:f>'Wykres_11.'!$B$3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</c:spPr>
          <c:cat>
            <c:strRef>
              <c:f>'Wykres_11.'!$A$4:$A$7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'Wykres_11.'!$B$4:$B$7</c:f>
              <c:numCache>
                <c:formatCode>0.0</c:formatCode>
                <c:ptCount val="4"/>
                <c:pt idx="0">
                  <c:v>1</c:v>
                </c:pt>
                <c:pt idx="1">
                  <c:v>-5.0999999999999996</c:v>
                </c:pt>
                <c:pt idx="2" formatCode="General">
                  <c:v>14.6</c:v>
                </c:pt>
                <c:pt idx="3" formatCode="General">
                  <c:v>2.7</c:v>
                </c:pt>
              </c:numCache>
            </c:numRef>
          </c:val>
        </c:ser>
        <c:ser>
          <c:idx val="1"/>
          <c:order val="1"/>
          <c:tx>
            <c:strRef>
              <c:f>'Wykres_11.'!$C$3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</c:spPr>
          <c:cat>
            <c:strRef>
              <c:f>'Wykres_11.'!$A$4:$A$7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'Wykres_11.'!$C$4:$C$7</c:f>
              <c:numCache>
                <c:formatCode>General</c:formatCode>
                <c:ptCount val="4"/>
                <c:pt idx="0">
                  <c:v>2.5</c:v>
                </c:pt>
                <c:pt idx="1">
                  <c:v>-4.2</c:v>
                </c:pt>
                <c:pt idx="2">
                  <c:v>21.5</c:v>
                </c:pt>
                <c:pt idx="3" formatCode="0.0">
                  <c:v>3</c:v>
                </c:pt>
              </c:numCache>
            </c:numRef>
          </c:val>
        </c:ser>
        <c:ser>
          <c:idx val="2"/>
          <c:order val="2"/>
          <c:tx>
            <c:strRef>
              <c:f>'Wykres_11.'!$D$3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solidFill>
              <a:srgbClr val="99CAE9"/>
            </a:solidFill>
            <a:ln>
              <a:solidFill>
                <a:srgbClr val="99CAE9"/>
              </a:solidFill>
            </a:ln>
          </c:spPr>
          <c:cat>
            <c:strRef>
              <c:f>'Wykres_11.'!$A$4:$A$7</c:f>
              <c:strCache>
                <c:ptCount val="4"/>
                <c:pt idx="0">
                  <c:v>ogółem </c:v>
                </c:pt>
                <c:pt idx="1">
                  <c:v>gospodarstwa ukierunkowane na produkcję roślinną</c:v>
                </c:pt>
                <c:pt idx="2">
                  <c:v>gospodarstwa ukierunkowane na produkcję zwierzęcą</c:v>
                </c:pt>
                <c:pt idx="3">
                  <c:v>gospodarstwa wielokierunkowe</c:v>
                </c:pt>
              </c:strCache>
            </c:strRef>
          </c:cat>
          <c:val>
            <c:numRef>
              <c:f>'Wykres_11.'!$D$4:$D$7</c:f>
              <c:numCache>
                <c:formatCode>General</c:formatCode>
                <c:ptCount val="4"/>
                <c:pt idx="0">
                  <c:v>-22.6</c:v>
                </c:pt>
                <c:pt idx="1">
                  <c:v>-26.1</c:v>
                </c:pt>
                <c:pt idx="2">
                  <c:v>-15.2</c:v>
                </c:pt>
                <c:pt idx="3">
                  <c:v>-21.5</c:v>
                </c:pt>
              </c:numCache>
            </c:numRef>
          </c:val>
        </c:ser>
        <c:axId val="117683328"/>
        <c:axId val="117685248"/>
      </c:barChart>
      <c:catAx>
        <c:axId val="117683328"/>
        <c:scaling>
          <c:orientation val="minMax"/>
        </c:scaling>
        <c:axPos val="b"/>
        <c:tickLblPos val="low"/>
        <c:txPr>
          <a:bodyPr/>
          <a:lstStyle/>
          <a:p>
            <a:pPr>
              <a:defRPr sz="800" b="0" baseline="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17685248"/>
        <c:crosses val="autoZero"/>
        <c:auto val="1"/>
        <c:lblAlgn val="ctr"/>
        <c:lblOffset val="0"/>
      </c:catAx>
      <c:valAx>
        <c:axId val="117685248"/>
        <c:scaling>
          <c:orientation val="minMax"/>
          <c:max val="30"/>
          <c:min val="-3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900">
                    <a:latin typeface="Fira Sans" pitchFamily="34" charset="0"/>
                    <a:ea typeface="Fira Sans" pitchFamily="34" charset="0"/>
                  </a:defRPr>
                </a:pPr>
                <a:r>
                  <a:rPr lang="pl-PL" sz="900" b="0">
                    <a:latin typeface="Fira Sans" pitchFamily="34" charset="0"/>
                    <a:ea typeface="Fira Sans" pitchFamily="34" charset="0"/>
                  </a:rPr>
                  <a:t>p.</a:t>
                </a:r>
                <a:r>
                  <a:rPr lang="pl-PL" sz="900" b="0" baseline="0">
                    <a:latin typeface="Fira Sans" pitchFamily="34" charset="0"/>
                    <a:ea typeface="Fira Sans" pitchFamily="34" charset="0"/>
                  </a:rPr>
                  <a:t> </a:t>
                </a:r>
                <a:r>
                  <a:rPr lang="pl-PL" sz="800" b="0" baseline="0">
                    <a:latin typeface="Fira Sans" pitchFamily="34" charset="0"/>
                    <a:ea typeface="Fira Sans" pitchFamily="34" charset="0"/>
                  </a:rPr>
                  <a:t>proc</a:t>
                </a:r>
                <a:r>
                  <a:rPr lang="pl-PL" sz="900" baseline="0">
                    <a:latin typeface="Fira Sans" pitchFamily="34" charset="0"/>
                    <a:ea typeface="Fira Sans" pitchFamily="34" charset="0"/>
                  </a:rPr>
                  <a:t>.</a:t>
                </a:r>
                <a:endParaRPr lang="pl-PL" sz="900">
                  <a:latin typeface="Fira Sans" pitchFamily="34" charset="0"/>
                  <a:ea typeface="Fira Sans" pitchFamily="34" charset="0"/>
                </a:endParaRPr>
              </a:p>
            </c:rich>
          </c:tx>
          <c:layout>
            <c:manualLayout>
              <c:xMode val="edge"/>
              <c:yMode val="edge"/>
              <c:x val="4.1679985169140045E-2"/>
              <c:y val="1.7898131737222953E-4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</a:defRPr>
            </a:pPr>
            <a:endParaRPr lang="pl-PL"/>
          </a:p>
        </c:txPr>
        <c:crossAx val="117683328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80417566763262394"/>
          <c:y val="0.11859190678088423"/>
          <c:w val="0.17417693606143148"/>
          <c:h val="0.63461076980761422"/>
        </c:manualLayout>
      </c:layout>
      <c:txPr>
        <a:bodyPr/>
        <a:lstStyle/>
        <a:p>
          <a:pPr>
            <a:defRPr sz="800" b="0">
              <a:latin typeface="Fira Sans" pitchFamily="34" charset="0"/>
              <a:ea typeface="Fira Sans" pitchFamily="34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7244875059762496E-2"/>
          <c:y val="5.5241671438197339E-2"/>
          <c:w val="0.71679770511957874"/>
          <c:h val="0.77986307308848823"/>
        </c:manualLayout>
      </c:layout>
      <c:lineChart>
        <c:grouping val="standard"/>
        <c:ser>
          <c:idx val="0"/>
          <c:order val="0"/>
          <c:tx>
            <c:strRef>
              <c:f>'wykres 3'!$A$5</c:f>
              <c:strCache>
                <c:ptCount val="1"/>
                <c:pt idx="0">
                  <c:v>ogólna sytuacja gospodarstw rolnych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'wykres 3'!$B$4:$M$4</c:f>
              <c:strCache>
                <c:ptCount val="12"/>
                <c:pt idx="0">
                  <c:v>VI 2012</c:v>
                </c:pt>
                <c:pt idx="1">
                  <c:v>XII 2012 </c:v>
                </c:pt>
                <c:pt idx="2">
                  <c:v>VI 2013</c:v>
                </c:pt>
                <c:pt idx="3">
                  <c:v>XII 2013 </c:v>
                </c:pt>
                <c:pt idx="4">
                  <c:v>VI 2014</c:v>
                </c:pt>
                <c:pt idx="5">
                  <c:v>XII 2014 </c:v>
                </c:pt>
                <c:pt idx="6">
                  <c:v>VI 2015</c:v>
                </c:pt>
                <c:pt idx="7">
                  <c:v>XII 2015</c:v>
                </c:pt>
                <c:pt idx="8">
                  <c:v>VI 2016</c:v>
                </c:pt>
                <c:pt idx="9">
                  <c:v>XII 2016</c:v>
                </c:pt>
                <c:pt idx="10">
                  <c:v>VI 2017</c:v>
                </c:pt>
                <c:pt idx="11">
                  <c:v>XII 2017</c:v>
                </c:pt>
              </c:strCache>
            </c:strRef>
          </c:cat>
          <c:val>
            <c:numRef>
              <c:f>'wykres 3'!$B$5:$M$5</c:f>
              <c:numCache>
                <c:formatCode>0.0</c:formatCode>
                <c:ptCount val="12"/>
                <c:pt idx="0">
                  <c:v>-1.5</c:v>
                </c:pt>
                <c:pt idx="1">
                  <c:v>-2.5</c:v>
                </c:pt>
                <c:pt idx="2">
                  <c:v>-3.1</c:v>
                </c:pt>
                <c:pt idx="3">
                  <c:v>0.60000000000000064</c:v>
                </c:pt>
                <c:pt idx="4">
                  <c:v>4.0999999999999996</c:v>
                </c:pt>
                <c:pt idx="5" formatCode="General">
                  <c:v>-11.9</c:v>
                </c:pt>
                <c:pt idx="6">
                  <c:v>-25.5</c:v>
                </c:pt>
                <c:pt idx="7" formatCode="General">
                  <c:v>-18.8</c:v>
                </c:pt>
                <c:pt idx="8">
                  <c:v>-11.6</c:v>
                </c:pt>
                <c:pt idx="9" formatCode="General">
                  <c:v>-0.70000000000000062</c:v>
                </c:pt>
                <c:pt idx="10">
                  <c:v>1.2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'wykres 3'!$A$6</c:f>
              <c:strCache>
                <c:ptCount val="1"/>
                <c:pt idx="0">
                  <c:v>opłacalność produkcji rolniczej</c:v>
                </c:pt>
              </c:strCache>
            </c:strRef>
          </c:tx>
          <c:spPr>
            <a:ln>
              <a:solidFill>
                <a:srgbClr val="6677AD"/>
              </a:solidFill>
            </a:ln>
          </c:spPr>
          <c:marker>
            <c:symbol val="none"/>
          </c:marker>
          <c:cat>
            <c:strRef>
              <c:f>'wykres 3'!$B$4:$M$4</c:f>
              <c:strCache>
                <c:ptCount val="12"/>
                <c:pt idx="0">
                  <c:v>VI 2012</c:v>
                </c:pt>
                <c:pt idx="1">
                  <c:v>XII 2012 </c:v>
                </c:pt>
                <c:pt idx="2">
                  <c:v>VI 2013</c:v>
                </c:pt>
                <c:pt idx="3">
                  <c:v>XII 2013 </c:v>
                </c:pt>
                <c:pt idx="4">
                  <c:v>VI 2014</c:v>
                </c:pt>
                <c:pt idx="5">
                  <c:v>XII 2014 </c:v>
                </c:pt>
                <c:pt idx="6">
                  <c:v>VI 2015</c:v>
                </c:pt>
                <c:pt idx="7">
                  <c:v>XII 2015</c:v>
                </c:pt>
                <c:pt idx="8">
                  <c:v>VI 2016</c:v>
                </c:pt>
                <c:pt idx="9">
                  <c:v>XII 2016</c:v>
                </c:pt>
                <c:pt idx="10">
                  <c:v>VI 2017</c:v>
                </c:pt>
                <c:pt idx="11">
                  <c:v>XII 2017</c:v>
                </c:pt>
              </c:strCache>
            </c:strRef>
          </c:cat>
          <c:val>
            <c:numRef>
              <c:f>'wykres 3'!$B$6:$M$6</c:f>
              <c:numCache>
                <c:formatCode>General</c:formatCode>
                <c:ptCount val="12"/>
                <c:pt idx="0">
                  <c:v>-14.8</c:v>
                </c:pt>
                <c:pt idx="1">
                  <c:v>-11.400000000000002</c:v>
                </c:pt>
                <c:pt idx="2">
                  <c:v>-9.5</c:v>
                </c:pt>
                <c:pt idx="3">
                  <c:v>-4.3000000000000007</c:v>
                </c:pt>
                <c:pt idx="4">
                  <c:v>-4.4000000000000021</c:v>
                </c:pt>
                <c:pt idx="5">
                  <c:v>-24.3</c:v>
                </c:pt>
                <c:pt idx="6">
                  <c:v>-33.5</c:v>
                </c:pt>
                <c:pt idx="7">
                  <c:v>-30.2</c:v>
                </c:pt>
                <c:pt idx="8">
                  <c:v>-19.399999999999999</c:v>
                </c:pt>
                <c:pt idx="9">
                  <c:v>-2.5</c:v>
                </c:pt>
                <c:pt idx="10">
                  <c:v>5.3</c:v>
                </c:pt>
                <c:pt idx="11">
                  <c:v>2.5</c:v>
                </c:pt>
              </c:numCache>
            </c:numRef>
          </c:val>
        </c:ser>
        <c:ser>
          <c:idx val="2"/>
          <c:order val="2"/>
          <c:tx>
            <c:strRef>
              <c:f>'wykres 3'!$A$7</c:f>
              <c:strCache>
                <c:ptCount val="1"/>
                <c:pt idx="0">
                  <c:v>popyt na produkty rolne</c:v>
                </c:pt>
              </c:strCache>
            </c:strRef>
          </c:tx>
          <c:spPr>
            <a:ln>
              <a:solidFill>
                <a:srgbClr val="99CAE9"/>
              </a:solidFill>
            </a:ln>
          </c:spPr>
          <c:marker>
            <c:symbol val="none"/>
          </c:marker>
          <c:cat>
            <c:strRef>
              <c:f>'wykres 3'!$B$4:$M$4</c:f>
              <c:strCache>
                <c:ptCount val="12"/>
                <c:pt idx="0">
                  <c:v>VI 2012</c:v>
                </c:pt>
                <c:pt idx="1">
                  <c:v>XII 2012 </c:v>
                </c:pt>
                <c:pt idx="2">
                  <c:v>VI 2013</c:v>
                </c:pt>
                <c:pt idx="3">
                  <c:v>XII 2013 </c:v>
                </c:pt>
                <c:pt idx="4">
                  <c:v>VI 2014</c:v>
                </c:pt>
                <c:pt idx="5">
                  <c:v>XII 2014 </c:v>
                </c:pt>
                <c:pt idx="6">
                  <c:v>VI 2015</c:v>
                </c:pt>
                <c:pt idx="7">
                  <c:v>XII 2015</c:v>
                </c:pt>
                <c:pt idx="8">
                  <c:v>VI 2016</c:v>
                </c:pt>
                <c:pt idx="9">
                  <c:v>XII 2016</c:v>
                </c:pt>
                <c:pt idx="10">
                  <c:v>VI 2017</c:v>
                </c:pt>
                <c:pt idx="11">
                  <c:v>XII 2017</c:v>
                </c:pt>
              </c:strCache>
            </c:strRef>
          </c:cat>
          <c:val>
            <c:numRef>
              <c:f>'wykres 3'!$B$7:$M$7</c:f>
              <c:numCache>
                <c:formatCode>General</c:formatCode>
                <c:ptCount val="12"/>
                <c:pt idx="0">
                  <c:v>-19</c:v>
                </c:pt>
                <c:pt idx="1">
                  <c:v>-20.5</c:v>
                </c:pt>
                <c:pt idx="2">
                  <c:v>-38.800000000000004</c:v>
                </c:pt>
                <c:pt idx="3">
                  <c:v>-31.4</c:v>
                </c:pt>
                <c:pt idx="4">
                  <c:v>-34.9</c:v>
                </c:pt>
                <c:pt idx="5">
                  <c:v>-48.7</c:v>
                </c:pt>
                <c:pt idx="6">
                  <c:v>-49.2</c:v>
                </c:pt>
                <c:pt idx="7">
                  <c:v>-44.6</c:v>
                </c:pt>
                <c:pt idx="8">
                  <c:v>-38.6</c:v>
                </c:pt>
                <c:pt idx="9">
                  <c:v>-27.2</c:v>
                </c:pt>
                <c:pt idx="10">
                  <c:v>-20.6</c:v>
                </c:pt>
                <c:pt idx="11">
                  <c:v>-22.6</c:v>
                </c:pt>
              </c:numCache>
            </c:numRef>
          </c:val>
        </c:ser>
        <c:marker val="1"/>
        <c:axId val="145533184"/>
        <c:axId val="162136064"/>
      </c:lineChart>
      <c:catAx>
        <c:axId val="145533184"/>
        <c:scaling>
          <c:orientation val="minMax"/>
        </c:scaling>
        <c:axPos val="b"/>
        <c:numFmt formatCode="General" sourceLinked="1"/>
        <c:majorTickMark val="none"/>
        <c:tickLblPos val="low"/>
        <c:spPr>
          <a:noFill/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+mn-ea"/>
                <a:cs typeface="+mn-cs"/>
              </a:defRPr>
            </a:pPr>
            <a:endParaRPr lang="pl-PL"/>
          </a:p>
        </c:txPr>
        <c:crossAx val="162136064"/>
        <c:crosses val="autoZero"/>
        <c:auto val="1"/>
        <c:lblAlgn val="ctr"/>
        <c:lblOffset val="100"/>
      </c:catAx>
      <c:valAx>
        <c:axId val="162136064"/>
        <c:scaling>
          <c:orientation val="minMax"/>
          <c:max val="10"/>
        </c:scaling>
        <c:axPos val="l"/>
        <c:majorGridlines>
          <c:spPr>
            <a:effectLst/>
          </c:spPr>
        </c:majorGridlines>
        <c:numFmt formatCode="0.0" sourceLinked="1"/>
        <c:maj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itchFamily="34" charset="0"/>
                <a:ea typeface="Fira Sans" pitchFamily="34" charset="0"/>
                <a:cs typeface="+mn-cs"/>
              </a:defRPr>
            </a:pPr>
            <a:endParaRPr lang="pl-PL"/>
          </a:p>
        </c:txPr>
        <c:crossAx val="14553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48555454731729"/>
          <c:y val="7.5340282134418513E-2"/>
          <c:w val="0.18263189220306569"/>
          <c:h val="0.7795113950175014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8.5828313021322267E-2"/>
          <c:y val="0.1170483460559797"/>
          <c:w val="0.88512878872611656"/>
          <c:h val="0.67987698102622651"/>
        </c:manualLayout>
      </c:layout>
      <c:lineChart>
        <c:grouping val="standard"/>
        <c:ser>
          <c:idx val="0"/>
          <c:order val="0"/>
          <c:tx>
            <c:strRef>
              <c:f>'sytuacja-zmiana1'!$A$4</c:f>
              <c:strCache>
                <c:ptCount val="1"/>
                <c:pt idx="0">
                  <c:v>poprawiła się</c:v>
                </c:pt>
              </c:strCache>
            </c:strRef>
          </c:tx>
          <c:spPr>
            <a:ln w="28575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'sytuacja-zmiana1'!$B$3:$K$3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'sytuacja-zmiana1'!$B$4:$K$4</c:f>
              <c:numCache>
                <c:formatCode>0.0</c:formatCode>
                <c:ptCount val="10"/>
                <c:pt idx="0">
                  <c:v>6.9</c:v>
                </c:pt>
                <c:pt idx="1">
                  <c:v>6.2</c:v>
                </c:pt>
                <c:pt idx="2">
                  <c:v>6.7</c:v>
                </c:pt>
                <c:pt idx="3" formatCode="General">
                  <c:v>3.9</c:v>
                </c:pt>
                <c:pt idx="4" formatCode="General">
                  <c:v>3.5</c:v>
                </c:pt>
                <c:pt idx="5" formatCode="General">
                  <c:v>3.7</c:v>
                </c:pt>
                <c:pt idx="6">
                  <c:v>5.6</c:v>
                </c:pt>
                <c:pt idx="7" formatCode="General">
                  <c:v>8.4</c:v>
                </c:pt>
                <c:pt idx="8" formatCode="General">
                  <c:v>11.1</c:v>
                </c:pt>
                <c:pt idx="9">
                  <c:v>10.200000000000001</c:v>
                </c:pt>
              </c:numCache>
            </c:numRef>
          </c:val>
        </c:ser>
        <c:ser>
          <c:idx val="1"/>
          <c:order val="1"/>
          <c:tx>
            <c:strRef>
              <c:f>'sytuacja-zmiana1'!$A$5</c:f>
              <c:strCache>
                <c:ptCount val="1"/>
                <c:pt idx="0">
                  <c:v>pozostała bez zmian</c:v>
                </c:pt>
              </c:strCache>
            </c:strRef>
          </c:tx>
          <c:spPr>
            <a:ln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'sytuacja-zmiana1'!$B$3:$K$3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'sytuacja-zmiana1'!$B$5:$K$5</c:f>
              <c:numCache>
                <c:formatCode>0.0</c:formatCode>
                <c:ptCount val="10"/>
                <c:pt idx="0">
                  <c:v>68.900000000000006</c:v>
                </c:pt>
                <c:pt idx="1">
                  <c:v>71.2</c:v>
                </c:pt>
                <c:pt idx="2">
                  <c:v>74.5</c:v>
                </c:pt>
                <c:pt idx="3" formatCode="General">
                  <c:v>60.6</c:v>
                </c:pt>
                <c:pt idx="4" formatCode="General">
                  <c:v>52.5</c:v>
                </c:pt>
                <c:pt idx="5" formatCode="General">
                  <c:v>55.4</c:v>
                </c:pt>
                <c:pt idx="6">
                  <c:v>59.8</c:v>
                </c:pt>
                <c:pt idx="7" formatCode="General">
                  <c:v>68.400000000000006</c:v>
                </c:pt>
                <c:pt idx="8">
                  <c:v>70</c:v>
                </c:pt>
                <c:pt idx="9">
                  <c:v>69.5</c:v>
                </c:pt>
              </c:numCache>
            </c:numRef>
          </c:val>
        </c:ser>
        <c:ser>
          <c:idx val="2"/>
          <c:order val="2"/>
          <c:tx>
            <c:strRef>
              <c:f>'sytuacja-zmiana1'!$A$6</c:f>
              <c:strCache>
                <c:ptCount val="1"/>
                <c:pt idx="0">
                  <c:v>pogorszyła się</c:v>
                </c:pt>
              </c:strCache>
            </c:strRef>
          </c:tx>
          <c:spPr>
            <a:ln w="25400">
              <a:solidFill>
                <a:srgbClr val="6677AD"/>
              </a:solidFill>
              <a:prstDash val="solid"/>
            </a:ln>
          </c:spPr>
          <c:marker>
            <c:symbol val="none"/>
          </c:marker>
          <c:cat>
            <c:strRef>
              <c:f>'sytuacja-zmiana1'!$B$3:$K$3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'sytuacja-zmiana1'!$B$6:$K$6</c:f>
              <c:numCache>
                <c:formatCode>0.0</c:formatCode>
                <c:ptCount val="10"/>
                <c:pt idx="0">
                  <c:v>24.2</c:v>
                </c:pt>
                <c:pt idx="1">
                  <c:v>22.6</c:v>
                </c:pt>
                <c:pt idx="2">
                  <c:v>18.8</c:v>
                </c:pt>
                <c:pt idx="3" formatCode="General">
                  <c:v>35.5</c:v>
                </c:pt>
                <c:pt idx="4">
                  <c:v>44</c:v>
                </c:pt>
                <c:pt idx="5" formatCode="General">
                  <c:v>40.9</c:v>
                </c:pt>
                <c:pt idx="6">
                  <c:v>34.6</c:v>
                </c:pt>
                <c:pt idx="7" formatCode="General">
                  <c:v>23.2</c:v>
                </c:pt>
                <c:pt idx="8" formatCode="General">
                  <c:v>18.899999999999999</c:v>
                </c:pt>
                <c:pt idx="9">
                  <c:v>20.3</c:v>
                </c:pt>
              </c:numCache>
            </c:numRef>
          </c:val>
        </c:ser>
        <c:marker val="1"/>
        <c:axId val="166727040"/>
        <c:axId val="167013376"/>
      </c:lineChart>
      <c:catAx>
        <c:axId val="166727040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7013376"/>
        <c:crosses val="autoZero"/>
        <c:auto val="1"/>
        <c:lblAlgn val="ctr"/>
        <c:lblOffset val="100"/>
      </c:catAx>
      <c:valAx>
        <c:axId val="167013376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6727040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"/>
          <c:y val="0.9155368274278215"/>
          <c:w val="1"/>
          <c:h val="6.9195784120735515E-2"/>
        </c:manualLayout>
      </c:layout>
      <c:txPr>
        <a:bodyPr/>
        <a:lstStyle/>
        <a:p>
          <a:pPr>
            <a:defRPr sz="80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8.5828313021322225E-2"/>
          <c:y val="0.11704834605597966"/>
          <c:w val="0.88512878872611656"/>
          <c:h val="0.67987698102622651"/>
        </c:manualLayout>
      </c:layout>
      <c:lineChart>
        <c:grouping val="standard"/>
        <c:ser>
          <c:idx val="0"/>
          <c:order val="0"/>
          <c:tx>
            <c:strRef>
              <c:f>'sytuacja-bieżąca'!$A$4</c:f>
              <c:strCache>
                <c:ptCount val="1"/>
                <c:pt idx="0">
                  <c:v>dobra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'sytuacja-bieżąca'!$B$3:$K$3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'sytuacja-bieżąca'!$B$4:$K$4</c:f>
              <c:numCache>
                <c:formatCode>0.0</c:formatCode>
                <c:ptCount val="10"/>
                <c:pt idx="0">
                  <c:v>19.3</c:v>
                </c:pt>
                <c:pt idx="1">
                  <c:v>19.600000000000001</c:v>
                </c:pt>
                <c:pt idx="2">
                  <c:v>20.7</c:v>
                </c:pt>
                <c:pt idx="3" formatCode="General">
                  <c:v>15.7</c:v>
                </c:pt>
                <c:pt idx="4">
                  <c:v>9</c:v>
                </c:pt>
                <c:pt idx="5" formatCode="General">
                  <c:v>7.6</c:v>
                </c:pt>
                <c:pt idx="6">
                  <c:v>11.5</c:v>
                </c:pt>
                <c:pt idx="7" formatCode="General">
                  <c:v>11.8</c:v>
                </c:pt>
                <c:pt idx="8" formatCode="General">
                  <c:v>15.9</c:v>
                </c:pt>
                <c:pt idx="9">
                  <c:v>13.7</c:v>
                </c:pt>
              </c:numCache>
            </c:numRef>
          </c:val>
        </c:ser>
        <c:ser>
          <c:idx val="1"/>
          <c:order val="1"/>
          <c:tx>
            <c:strRef>
              <c:f>'sytuacja-bieżąca'!$A$5</c:f>
              <c:strCache>
                <c:ptCount val="1"/>
                <c:pt idx="0">
                  <c:v>normalna</c:v>
                </c:pt>
              </c:strCache>
            </c:strRef>
          </c:tx>
          <c:spPr>
            <a:ln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'sytuacja-bieżąca'!$B$3:$K$3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'sytuacja-bieżąca'!$B$5:$K$5</c:f>
              <c:numCache>
                <c:formatCode>0.0</c:formatCode>
                <c:ptCount val="10"/>
                <c:pt idx="0">
                  <c:v>58.3</c:v>
                </c:pt>
                <c:pt idx="1">
                  <c:v>61.4</c:v>
                </c:pt>
                <c:pt idx="2">
                  <c:v>62.7</c:v>
                </c:pt>
                <c:pt idx="3" formatCode="General">
                  <c:v>56.7</c:v>
                </c:pt>
                <c:pt idx="4" formatCode="General">
                  <c:v>56.5</c:v>
                </c:pt>
                <c:pt idx="5">
                  <c:v>66</c:v>
                </c:pt>
                <c:pt idx="6">
                  <c:v>65.400000000000006</c:v>
                </c:pt>
                <c:pt idx="7" formatCode="General">
                  <c:v>75.7</c:v>
                </c:pt>
                <c:pt idx="8" formatCode="General">
                  <c:v>69.400000000000006</c:v>
                </c:pt>
                <c:pt idx="9">
                  <c:v>73.599999999999994</c:v>
                </c:pt>
              </c:numCache>
            </c:numRef>
          </c:val>
        </c:ser>
        <c:ser>
          <c:idx val="2"/>
          <c:order val="2"/>
          <c:tx>
            <c:strRef>
              <c:f>'sytuacja-bieżąca'!$A$6</c:f>
              <c:strCache>
                <c:ptCount val="1"/>
                <c:pt idx="0">
                  <c:v>zła</c:v>
                </c:pt>
              </c:strCache>
            </c:strRef>
          </c:tx>
          <c:spPr>
            <a:ln w="25400">
              <a:solidFill>
                <a:srgbClr val="6677AD"/>
              </a:solidFill>
            </a:ln>
          </c:spPr>
          <c:marker>
            <c:symbol val="none"/>
          </c:marker>
          <c:cat>
            <c:strRef>
              <c:f>'sytuacja-bieżąca'!$B$3:$K$3</c:f>
              <c:strCache>
                <c:ptCount val="10"/>
                <c:pt idx="0">
                  <c:v>VI 2013</c:v>
                </c:pt>
                <c:pt idx="1">
                  <c:v>XII 2013 </c:v>
                </c:pt>
                <c:pt idx="2">
                  <c:v>VI 2014</c:v>
                </c:pt>
                <c:pt idx="3">
                  <c:v>XII 2014 </c:v>
                </c:pt>
                <c:pt idx="4">
                  <c:v>VI 2015</c:v>
                </c:pt>
                <c:pt idx="5">
                  <c:v>XII 2015</c:v>
                </c:pt>
                <c:pt idx="6">
                  <c:v>VI 2016</c:v>
                </c:pt>
                <c:pt idx="7">
                  <c:v>XII 2016</c:v>
                </c:pt>
                <c:pt idx="8">
                  <c:v>VI 2017</c:v>
                </c:pt>
                <c:pt idx="9">
                  <c:v>XII 2017</c:v>
                </c:pt>
              </c:strCache>
            </c:strRef>
          </c:cat>
          <c:val>
            <c:numRef>
              <c:f>'sytuacja-bieżąca'!$B$6:$K$6</c:f>
              <c:numCache>
                <c:formatCode>0.0</c:formatCode>
                <c:ptCount val="10"/>
                <c:pt idx="0">
                  <c:v>22.4</c:v>
                </c:pt>
                <c:pt idx="1">
                  <c:v>19</c:v>
                </c:pt>
                <c:pt idx="2">
                  <c:v>16.600000000000001</c:v>
                </c:pt>
                <c:pt idx="3" formatCode="General">
                  <c:v>27.6</c:v>
                </c:pt>
                <c:pt idx="4" formatCode="General">
                  <c:v>34.5</c:v>
                </c:pt>
                <c:pt idx="5" formatCode="General">
                  <c:v>26.4</c:v>
                </c:pt>
                <c:pt idx="6">
                  <c:v>23.1</c:v>
                </c:pt>
                <c:pt idx="7" formatCode="General">
                  <c:v>12.5</c:v>
                </c:pt>
                <c:pt idx="8" formatCode="General">
                  <c:v>14.7</c:v>
                </c:pt>
                <c:pt idx="9">
                  <c:v>12.7</c:v>
                </c:pt>
              </c:numCache>
            </c:numRef>
          </c:val>
        </c:ser>
        <c:marker val="1"/>
        <c:axId val="93085696"/>
        <c:axId val="93087232"/>
      </c:lineChart>
      <c:catAx>
        <c:axId val="93085696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93087232"/>
        <c:crosses val="autoZero"/>
        <c:auto val="1"/>
        <c:lblAlgn val="ctr"/>
        <c:lblOffset val="100"/>
      </c:catAx>
      <c:valAx>
        <c:axId val="93087232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93085696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804025331909E-3"/>
          <c:y val="0.89991184308068362"/>
          <c:w val="0.96526803976876441"/>
          <c:h val="8.4820981346797567E-2"/>
        </c:manualLayout>
      </c:layout>
      <c:txPr>
        <a:bodyPr/>
        <a:lstStyle/>
        <a:p>
          <a:pPr>
            <a:defRPr sz="800" baseline="0">
              <a:latin typeface="Fira Sans" pitchFamily="34" charset="0"/>
              <a:ea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8.5828313021322225E-2"/>
          <c:y val="0.11704834605597966"/>
          <c:w val="0.88512878872611656"/>
          <c:h val="0.67987698102622651"/>
        </c:manualLayout>
      </c:layout>
      <c:lineChart>
        <c:grouping val="standard"/>
        <c:ser>
          <c:idx val="0"/>
          <c:order val="0"/>
          <c:tx>
            <c:strRef>
              <c:f>'sytuacja-prognoza'!$A$4</c:f>
              <c:strCache>
                <c:ptCount val="1"/>
                <c:pt idx="0">
                  <c:v>poprawi się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'sytuacja-prognoza'!$B$3:$K$3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'sytuacja-prognoza'!$B$4:$K$4</c:f>
              <c:numCache>
                <c:formatCode>0.0</c:formatCode>
                <c:ptCount val="10"/>
                <c:pt idx="0">
                  <c:v>8.3000000000000007</c:v>
                </c:pt>
                <c:pt idx="1">
                  <c:v>9</c:v>
                </c:pt>
                <c:pt idx="2">
                  <c:v>9.1</c:v>
                </c:pt>
                <c:pt idx="3" formatCode="General">
                  <c:v>6.1</c:v>
                </c:pt>
                <c:pt idx="4" formatCode="General">
                  <c:v>9.3000000000000007</c:v>
                </c:pt>
                <c:pt idx="5" formatCode="General">
                  <c:v>9.3000000000000007</c:v>
                </c:pt>
                <c:pt idx="6">
                  <c:v>12.6</c:v>
                </c:pt>
                <c:pt idx="7" formatCode="General">
                  <c:v>14.6</c:v>
                </c:pt>
                <c:pt idx="8" formatCode="General">
                  <c:v>14.8</c:v>
                </c:pt>
                <c:pt idx="9">
                  <c:v>12</c:v>
                </c:pt>
              </c:numCache>
            </c:numRef>
          </c:val>
        </c:ser>
        <c:ser>
          <c:idx val="1"/>
          <c:order val="1"/>
          <c:tx>
            <c:strRef>
              <c:f>'sytuacja-prognoza'!$A$5</c:f>
              <c:strCache>
                <c:ptCount val="1"/>
                <c:pt idx="0">
                  <c:v>pozostanie bez zmian</c:v>
                </c:pt>
              </c:strCache>
            </c:strRef>
          </c:tx>
          <c:spPr>
            <a:ln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'sytuacja-prognoza'!$B$3:$K$3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'sytuacja-prognoza'!$B$5:$K$5</c:f>
              <c:numCache>
                <c:formatCode>0.0</c:formatCode>
                <c:ptCount val="10"/>
                <c:pt idx="0">
                  <c:v>71.5</c:v>
                </c:pt>
                <c:pt idx="1">
                  <c:v>77.900000000000006</c:v>
                </c:pt>
                <c:pt idx="2">
                  <c:v>77.400000000000006</c:v>
                </c:pt>
                <c:pt idx="3" formatCode="General">
                  <c:v>71.900000000000006</c:v>
                </c:pt>
                <c:pt idx="4">
                  <c:v>60</c:v>
                </c:pt>
                <c:pt idx="5" formatCode="General">
                  <c:v>70.900000000000006</c:v>
                </c:pt>
                <c:pt idx="6">
                  <c:v>64.400000000000006</c:v>
                </c:pt>
                <c:pt idx="7" formatCode="General">
                  <c:v>73.7</c:v>
                </c:pt>
                <c:pt idx="8" formatCode="General">
                  <c:v>69.3</c:v>
                </c:pt>
                <c:pt idx="9">
                  <c:v>73</c:v>
                </c:pt>
              </c:numCache>
            </c:numRef>
          </c:val>
        </c:ser>
        <c:ser>
          <c:idx val="2"/>
          <c:order val="2"/>
          <c:tx>
            <c:strRef>
              <c:f>'sytuacja-prognoza'!$A$6</c:f>
              <c:strCache>
                <c:ptCount val="1"/>
                <c:pt idx="0">
                  <c:v>pogorszy się</c:v>
                </c:pt>
              </c:strCache>
            </c:strRef>
          </c:tx>
          <c:spPr>
            <a:ln w="25400">
              <a:solidFill>
                <a:srgbClr val="6677AD"/>
              </a:solidFill>
            </a:ln>
          </c:spPr>
          <c:marker>
            <c:symbol val="none"/>
          </c:marker>
          <c:cat>
            <c:strRef>
              <c:f>'sytuacja-prognoza'!$B$3:$K$3</c:f>
              <c:strCache>
                <c:ptCount val="10"/>
                <c:pt idx="0">
                  <c:v>II pół. 2013</c:v>
                </c:pt>
                <c:pt idx="1">
                  <c:v>I pół. 2014</c:v>
                </c:pt>
                <c:pt idx="2">
                  <c:v>II pół. 2014</c:v>
                </c:pt>
                <c:pt idx="3">
                  <c:v>I pół. 2015</c:v>
                </c:pt>
                <c:pt idx="4">
                  <c:v>II pół. 2015</c:v>
                </c:pt>
                <c:pt idx="5">
                  <c:v>I pół. 2016</c:v>
                </c:pt>
                <c:pt idx="6">
                  <c:v>II pół. 2016</c:v>
                </c:pt>
                <c:pt idx="7">
                  <c:v>I pół. 2017</c:v>
                </c:pt>
                <c:pt idx="8">
                  <c:v>II pół. 2017</c:v>
                </c:pt>
                <c:pt idx="9">
                  <c:v>I pół. 2018</c:v>
                </c:pt>
              </c:strCache>
            </c:strRef>
          </c:cat>
          <c:val>
            <c:numRef>
              <c:f>'sytuacja-prognoza'!$B$6:$K$6</c:f>
              <c:numCache>
                <c:formatCode>0.0</c:formatCode>
                <c:ptCount val="10"/>
                <c:pt idx="0">
                  <c:v>20.2</c:v>
                </c:pt>
                <c:pt idx="1">
                  <c:v>13.1</c:v>
                </c:pt>
                <c:pt idx="2">
                  <c:v>13.5</c:v>
                </c:pt>
                <c:pt idx="3" formatCode="General">
                  <c:v>22</c:v>
                </c:pt>
                <c:pt idx="4" formatCode="General">
                  <c:v>30.7</c:v>
                </c:pt>
                <c:pt idx="5" formatCode="General">
                  <c:v>19.8</c:v>
                </c:pt>
                <c:pt idx="6">
                  <c:v>23</c:v>
                </c:pt>
                <c:pt idx="7" formatCode="General">
                  <c:v>11.7</c:v>
                </c:pt>
                <c:pt idx="8" formatCode="General">
                  <c:v>15.9</c:v>
                </c:pt>
                <c:pt idx="9">
                  <c:v>15</c:v>
                </c:pt>
              </c:numCache>
            </c:numRef>
          </c:val>
        </c:ser>
        <c:marker val="1"/>
        <c:axId val="93109632"/>
        <c:axId val="93115520"/>
      </c:lineChart>
      <c:catAx>
        <c:axId val="93109632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93115520"/>
        <c:crosses val="autoZero"/>
        <c:auto val="1"/>
        <c:lblAlgn val="ctr"/>
        <c:lblOffset val="100"/>
      </c:catAx>
      <c:valAx>
        <c:axId val="93115520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>
                <a:latin typeface="Fira Sans" pitchFamily="34" charset="0"/>
                <a:ea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93109632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2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"/>
          <c:y val="0.89991184308068362"/>
          <c:w val="0.99609667288698744"/>
          <c:h val="8.4820981346797567E-2"/>
        </c:manualLayout>
      </c:layout>
      <c:txPr>
        <a:bodyPr/>
        <a:lstStyle/>
        <a:p>
          <a:pPr>
            <a:defRPr sz="80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>
        <c:manualLayout>
          <c:layoutTarget val="inner"/>
          <c:xMode val="edge"/>
          <c:yMode val="edge"/>
          <c:x val="8.5828313021322225E-2"/>
          <c:y val="0.11704834605597966"/>
          <c:w val="0.88512878872611656"/>
          <c:h val="0.67987698102622651"/>
        </c:manualLayout>
      </c:layout>
      <c:lineChart>
        <c:grouping val="standard"/>
        <c:ser>
          <c:idx val="0"/>
          <c:order val="0"/>
          <c:tx>
            <c:strRef>
              <c:f>opłacalność_zmiana!$A$4</c:f>
              <c:strCache>
                <c:ptCount val="1"/>
                <c:pt idx="0">
                  <c:v>poprawiła się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none"/>
          </c:marker>
          <c:cat>
            <c:strRef>
              <c:f>opłacalność_zmiana!$B$3:$K$3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opłacalność_zmiana!$B$4:$K$4</c:f>
              <c:numCache>
                <c:formatCode>0.0</c:formatCode>
                <c:ptCount val="10"/>
                <c:pt idx="0">
                  <c:v>4.5999999999999996</c:v>
                </c:pt>
                <c:pt idx="1">
                  <c:v>6.4</c:v>
                </c:pt>
                <c:pt idx="2">
                  <c:v>4.5999999999999996</c:v>
                </c:pt>
                <c:pt idx="3" formatCode="General">
                  <c:v>1.8</c:v>
                </c:pt>
                <c:pt idx="4" formatCode="General">
                  <c:v>2.2999999999999998</c:v>
                </c:pt>
                <c:pt idx="5" formatCode="General">
                  <c:v>3.1</c:v>
                </c:pt>
                <c:pt idx="6">
                  <c:v>4.3</c:v>
                </c:pt>
                <c:pt idx="7" formatCode="General">
                  <c:v>9.1</c:v>
                </c:pt>
                <c:pt idx="8" formatCode="General">
                  <c:v>13.5</c:v>
                </c:pt>
                <c:pt idx="9">
                  <c:v>11.5</c:v>
                </c:pt>
              </c:numCache>
            </c:numRef>
          </c:val>
        </c:ser>
        <c:ser>
          <c:idx val="1"/>
          <c:order val="1"/>
          <c:tx>
            <c:strRef>
              <c:f>opłacalność_zmiana!$A$5</c:f>
              <c:strCache>
                <c:ptCount val="1"/>
                <c:pt idx="0">
                  <c:v>pozostała bez zmian</c:v>
                </c:pt>
              </c:strCache>
            </c:strRef>
          </c:tx>
          <c:spPr>
            <a:ln>
              <a:solidFill>
                <a:srgbClr val="99CAE9"/>
              </a:solidFill>
              <a:prstDash val="sysDash"/>
            </a:ln>
          </c:spPr>
          <c:marker>
            <c:symbol val="none"/>
          </c:marker>
          <c:cat>
            <c:strRef>
              <c:f>opłacalność_zmiana!$B$3:$K$3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opłacalność_zmiana!$B$5:$K$5</c:f>
              <c:numCache>
                <c:formatCode>0.0</c:formatCode>
                <c:ptCount val="10"/>
                <c:pt idx="0">
                  <c:v>55.1</c:v>
                </c:pt>
                <c:pt idx="1">
                  <c:v>57.4</c:v>
                </c:pt>
                <c:pt idx="2">
                  <c:v>60.2</c:v>
                </c:pt>
                <c:pt idx="3" formatCode="General">
                  <c:v>45</c:v>
                </c:pt>
                <c:pt idx="4" formatCode="General">
                  <c:v>36.200000000000003</c:v>
                </c:pt>
                <c:pt idx="5" formatCode="General">
                  <c:v>40.300000000000004</c:v>
                </c:pt>
                <c:pt idx="6">
                  <c:v>44.8</c:v>
                </c:pt>
                <c:pt idx="7" formatCode="General">
                  <c:v>58.4</c:v>
                </c:pt>
                <c:pt idx="8" formatCode="General">
                  <c:v>60.2</c:v>
                </c:pt>
                <c:pt idx="9">
                  <c:v>59.5</c:v>
                </c:pt>
              </c:numCache>
            </c:numRef>
          </c:val>
        </c:ser>
        <c:ser>
          <c:idx val="2"/>
          <c:order val="2"/>
          <c:tx>
            <c:strRef>
              <c:f>opłacalność_zmiana!$A$6</c:f>
              <c:strCache>
                <c:ptCount val="1"/>
                <c:pt idx="0">
                  <c:v>pogorszyła się</c:v>
                </c:pt>
              </c:strCache>
            </c:strRef>
          </c:tx>
          <c:spPr>
            <a:ln w="25400">
              <a:solidFill>
                <a:srgbClr val="6677AD"/>
              </a:solidFill>
            </a:ln>
          </c:spPr>
          <c:marker>
            <c:symbol val="none"/>
          </c:marker>
          <c:cat>
            <c:strRef>
              <c:f>opłacalność_zmiana!$B$3:$K$3</c:f>
              <c:strCache>
                <c:ptCount val="10"/>
                <c:pt idx="0">
                  <c:v>I pół. 2013</c:v>
                </c:pt>
                <c:pt idx="1">
                  <c:v>II pół. 2013</c:v>
                </c:pt>
                <c:pt idx="2">
                  <c:v>I pół. 2014</c:v>
                </c:pt>
                <c:pt idx="3">
                  <c:v>II pół. 2014</c:v>
                </c:pt>
                <c:pt idx="4">
                  <c:v>I pół. 2015</c:v>
                </c:pt>
                <c:pt idx="5">
                  <c:v>II pół. 2015</c:v>
                </c:pt>
                <c:pt idx="6">
                  <c:v>I pół. 2016</c:v>
                </c:pt>
                <c:pt idx="7">
                  <c:v>II pół. 2016</c:v>
                </c:pt>
                <c:pt idx="8">
                  <c:v>I pół. 2017</c:v>
                </c:pt>
                <c:pt idx="9">
                  <c:v>II pół. 2017</c:v>
                </c:pt>
              </c:strCache>
            </c:strRef>
          </c:cat>
          <c:val>
            <c:numRef>
              <c:f>opłacalność_zmiana!$B$6:$K$6</c:f>
              <c:numCache>
                <c:formatCode>0.0</c:formatCode>
                <c:ptCount val="10"/>
                <c:pt idx="0">
                  <c:v>40.300000000000004</c:v>
                </c:pt>
                <c:pt idx="1">
                  <c:v>36.200000000000003</c:v>
                </c:pt>
                <c:pt idx="2">
                  <c:v>35.200000000000003</c:v>
                </c:pt>
                <c:pt idx="3" formatCode="General">
                  <c:v>53.2</c:v>
                </c:pt>
                <c:pt idx="4" formatCode="General">
                  <c:v>61.5</c:v>
                </c:pt>
                <c:pt idx="5" formatCode="General">
                  <c:v>56.6</c:v>
                </c:pt>
                <c:pt idx="6">
                  <c:v>50.9</c:v>
                </c:pt>
                <c:pt idx="7" formatCode="General">
                  <c:v>32.5</c:v>
                </c:pt>
                <c:pt idx="8" formatCode="General">
                  <c:v>26.3</c:v>
                </c:pt>
                <c:pt idx="9">
                  <c:v>29</c:v>
                </c:pt>
              </c:numCache>
            </c:numRef>
          </c:val>
        </c:ser>
        <c:marker val="1"/>
        <c:axId val="117644288"/>
        <c:axId val="162165504"/>
      </c:lineChart>
      <c:catAx>
        <c:axId val="117644288"/>
        <c:scaling>
          <c:orientation val="minMax"/>
        </c:scaling>
        <c:axPos val="b"/>
        <c:tickLblPos val="nextTo"/>
        <c:txPr>
          <a:bodyPr/>
          <a:lstStyle/>
          <a:p>
            <a:pPr>
              <a:defRPr sz="75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62165504"/>
        <c:crosses val="autoZero"/>
        <c:auto val="1"/>
        <c:lblAlgn val="ctr"/>
        <c:lblOffset val="100"/>
      </c:catAx>
      <c:valAx>
        <c:axId val="162165504"/>
        <c:scaling>
          <c:orientation val="minMax"/>
          <c:max val="80"/>
          <c:min val="0"/>
        </c:scaling>
        <c:axPos val="l"/>
        <c:majorGridlines/>
        <c:numFmt formatCode="General" sourceLinked="0"/>
        <c:tickLblPos val="nextTo"/>
        <c:txPr>
          <a:bodyPr/>
          <a:lstStyle/>
          <a:p>
            <a:pPr>
              <a:defRPr sz="8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  <c:crossAx val="117644288"/>
        <c:crosses val="autoZero"/>
        <c:crossBetween val="between"/>
        <c:majorUnit val="10"/>
        <c:minorUnit val="2"/>
      </c:valAx>
    </c:plotArea>
    <c:legend>
      <c:legendPos val="b"/>
      <c:legendEntry>
        <c:idx val="0"/>
        <c:txPr>
          <a:bodyPr/>
          <a:lstStyle/>
          <a:p>
            <a:pPr>
              <a:defRPr sz="800" spc="-1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spc="-1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800" spc="-100" baseline="0">
                <a:latin typeface="Fira Sans" pitchFamily="34" charset="0"/>
                <a:cs typeface="Times New Roman" pitchFamily="18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8.0417804025331909E-3"/>
          <c:y val="0.89991184308068362"/>
          <c:w val="0.96526803976876441"/>
          <c:h val="9.5237450787401728E-2"/>
        </c:manualLayout>
      </c:layout>
      <c:txPr>
        <a:bodyPr/>
        <a:lstStyle/>
        <a:p>
          <a:pPr>
            <a:defRPr sz="800" spc="-100" baseline="0">
              <a:latin typeface="Fira Sans" pitchFamily="34" charset="0"/>
              <a:cs typeface="Times New Roman" pitchFamily="18" charset="0"/>
            </a:defRPr>
          </a:pPr>
          <a:endParaRPr lang="pl-PL"/>
        </a:p>
      </c:txPr>
    </c:legend>
    <c:plotVisOnly val="1"/>
    <c:dispBlanksAs val="gap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0.0035</cdr:x>
      <cdr:y>0</cdr:y>
    </cdr:from>
    <cdr:to>
      <cdr:x>0.04545</cdr:x>
      <cdr:y>0.0687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524" y="0"/>
          <a:ext cx="114299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000">
              <a:latin typeface="Times New Roman" pitchFamily="18" charset="0"/>
              <a:cs typeface="Times New Roman" pitchFamily="18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24D2CB-003B-4FFC-A955-D586132C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1859</Words>
  <Characters>11156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majcheran</cp:lastModifiedBy>
  <cp:revision>3</cp:revision>
  <cp:lastPrinted>2018-03-28T10:28:00Z</cp:lastPrinted>
  <dcterms:created xsi:type="dcterms:W3CDTF">2018-03-29T07:48:00Z</dcterms:created>
  <dcterms:modified xsi:type="dcterms:W3CDTF">2018-03-29T07:56:00Z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