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bookmarkStart w:id="0" w:name="_GoBack"/>
      <w:bookmarkEnd w:id="0"/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347D72" w:rsidRPr="00E76D26">
        <w:t xml:space="preserve">– </w:t>
      </w:r>
      <w:r w:rsidR="003C4464">
        <w:t>luty</w:t>
      </w:r>
      <w:r w:rsidR="00526B0F">
        <w:t xml:space="preserve"> 2019</w:t>
      </w:r>
      <w:r w:rsidR="00003437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7A2DC1" w:rsidP="008F74D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7A2DC1" w:rsidP="008F74D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33014" w:rsidRDefault="00003437" w:rsidP="00482FAD">
      <w:pPr>
        <w:pStyle w:val="LID"/>
        <w:rPr>
          <w:color w:val="212492"/>
          <w:sz w:val="20"/>
        </w:rPr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3C446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104,9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3C446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104,9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3C4464">
        <w:t>lutym</w:t>
      </w:r>
      <w:r w:rsidR="00482FAD" w:rsidRPr="00482FAD">
        <w:t xml:space="preserve"> 201</w:t>
      </w:r>
      <w:r w:rsidR="00804892">
        <w:t>9</w:t>
      </w:r>
      <w:r w:rsidR="00482FAD" w:rsidRPr="00482FAD">
        <w:t xml:space="preserve"> r. kształtuje się na poziomie </w:t>
      </w:r>
      <w:r w:rsidR="003C4464">
        <w:t>nieco wyższym</w:t>
      </w:r>
      <w:r w:rsidR="000F42CD">
        <w:t xml:space="preserve"> od </w:t>
      </w:r>
      <w:r w:rsidR="00E0664E">
        <w:t>notowanego w </w:t>
      </w:r>
      <w:r w:rsidR="003C4464">
        <w:t>styczniu 2019</w:t>
      </w:r>
      <w:r w:rsidR="00A051F6">
        <w:t xml:space="preserve"> r.</w:t>
      </w:r>
      <w:r w:rsidR="003C4464">
        <w:t>, ale niższym niż</w:t>
      </w:r>
      <w:r w:rsidR="0050144E">
        <w:t xml:space="preserve"> </w:t>
      </w:r>
      <w:r w:rsidR="00482FAD" w:rsidRPr="00482FAD">
        <w:t xml:space="preserve">przed rokiem. Wskaźnik ten </w:t>
      </w:r>
      <w:r w:rsidR="00482BBE">
        <w:t xml:space="preserve">od </w:t>
      </w:r>
      <w:r w:rsidR="00804892">
        <w:t>stycznia</w:t>
      </w:r>
      <w:r w:rsidR="00482BBE">
        <w:t xml:space="preserve"> 201</w:t>
      </w:r>
      <w:r w:rsidR="00D41C37">
        <w:t xml:space="preserve">7 </w:t>
      </w:r>
      <w:r w:rsidR="00880870" w:rsidRPr="00482FAD">
        <w:t>r.</w:t>
      </w:r>
      <w:r w:rsidR="00880870">
        <w:t xml:space="preserve"> </w:t>
      </w:r>
      <w:r w:rsidR="00482FAD" w:rsidRPr="00482FAD">
        <w:t>przyjmuje wartości powyżej średniej długookresowej</w:t>
      </w:r>
      <w:r w:rsidR="00880870">
        <w:t>.</w:t>
      </w:r>
      <w:r w:rsidR="00482FAD" w:rsidRPr="00482FAD">
        <w:t xml:space="preserve"> 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3E170B" w:rsidRDefault="000F42CD" w:rsidP="00E76D26">
      <w:pPr>
        <w:pStyle w:val="Nagwek1"/>
        <w:spacing w:before="0"/>
        <w:rPr>
          <w:rFonts w:ascii="Fira Sans" w:hAnsi="Fira Sans"/>
          <w:b/>
          <w:szCs w:val="19"/>
        </w:rPr>
      </w:pPr>
      <w:r w:rsidRPr="003E170B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5223477</wp:posOffset>
                </wp:positionH>
                <wp:positionV relativeFrom="paragraph">
                  <wp:posOffset>165058</wp:posOffset>
                </wp:positionV>
                <wp:extent cx="1725295" cy="1223010"/>
                <wp:effectExtent l="0" t="0" r="0" b="0"/>
                <wp:wrapTight wrapText="bothSides">
                  <wp:wrapPolygon edited="0">
                    <wp:start x="715" y="0"/>
                    <wp:lineTo x="715" y="21196"/>
                    <wp:lineTo x="20749" y="21196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odnosząc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23D5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j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ę do </w:t>
                            </w:r>
                            <w:r w:rsidR="00323111" w:rsidRP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przetwórstwa przemysłowego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5E14A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lutym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965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wyższym</w:t>
                            </w:r>
                            <w:r w:rsidR="0080489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</w:t>
                            </w:r>
                            <w:r w:rsidR="002946A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notowanego 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styczniu 2019</w:t>
                            </w:r>
                            <w:r w:rsidR="005F6DFA" w:rsidRP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3pt;margin-top:13pt;width:135.85pt;height:96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odnosząc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23D5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j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ę do </w:t>
                      </w:r>
                      <w:r w:rsidR="00323111" w:rsidRP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przetwórstwa przemysłowego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5E14A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lutym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965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wyższym</w:t>
                      </w:r>
                      <w:r w:rsidR="0080489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</w:t>
                      </w:r>
                      <w:r w:rsidR="002946A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notowanego 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styczniu 2019</w:t>
                      </w:r>
                      <w:r w:rsidR="005F6DFA" w:rsidRP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3E170B">
        <w:rPr>
          <w:rFonts w:ascii="Fira Sans" w:hAnsi="Fira Sans"/>
          <w:b/>
          <w:spacing w:val="-2"/>
          <w:szCs w:val="19"/>
        </w:rPr>
        <w:t xml:space="preserve">Ogólny wskaźnik </w:t>
      </w:r>
      <w:r w:rsidR="00276811" w:rsidRPr="003E170B">
        <w:rPr>
          <w:rFonts w:ascii="Fira Sans" w:hAnsi="Fira Sans"/>
          <w:b/>
        </w:rPr>
        <w:t>syntetyczny k</w:t>
      </w:r>
      <w:r w:rsidR="00276811" w:rsidRPr="003E170B">
        <w:rPr>
          <w:rFonts w:ascii="Fira Sans" w:hAnsi="Fira Sans"/>
          <w:b/>
          <w:spacing w:val="-2"/>
          <w:szCs w:val="19"/>
        </w:rPr>
        <w:t>oniunktury gospodarczej GUS dla Polski (</w:t>
      </w:r>
      <w:r w:rsidR="00EB4340" w:rsidRPr="003E170B">
        <w:rPr>
          <w:rFonts w:ascii="Fira Sans" w:hAnsi="Fira Sans"/>
          <w:b/>
          <w:spacing w:val="-2"/>
          <w:szCs w:val="19"/>
        </w:rPr>
        <w:t>SI</w:t>
      </w:r>
      <w:r w:rsidR="00276811" w:rsidRPr="003E170B">
        <w:rPr>
          <w:rFonts w:ascii="Fira Sans" w:hAnsi="Fira Sans"/>
          <w:b/>
          <w:spacing w:val="-2"/>
          <w:szCs w:val="19"/>
        </w:rPr>
        <w:t xml:space="preserve">) w </w:t>
      </w:r>
      <w:r w:rsidR="00530B2D">
        <w:rPr>
          <w:rFonts w:ascii="Fira Sans" w:hAnsi="Fira Sans"/>
          <w:b/>
          <w:spacing w:val="-2"/>
          <w:szCs w:val="19"/>
        </w:rPr>
        <w:t>lutym</w:t>
      </w:r>
      <w:r w:rsidR="00804892">
        <w:rPr>
          <w:rFonts w:ascii="Fira Sans" w:hAnsi="Fira Sans"/>
          <w:b/>
          <w:spacing w:val="-2"/>
          <w:szCs w:val="19"/>
        </w:rPr>
        <w:t xml:space="preserve"> 2019</w:t>
      </w:r>
      <w:r w:rsidR="003E170B" w:rsidRPr="003E170B">
        <w:rPr>
          <w:rFonts w:ascii="Fira Sans" w:hAnsi="Fira Sans"/>
          <w:b/>
          <w:spacing w:val="-2"/>
          <w:szCs w:val="19"/>
        </w:rPr>
        <w:t> </w:t>
      </w:r>
      <w:r w:rsidR="00276811" w:rsidRPr="003E170B">
        <w:rPr>
          <w:rFonts w:ascii="Fira Sans" w:hAnsi="Fira Sans"/>
          <w:b/>
          <w:spacing w:val="-2"/>
          <w:szCs w:val="19"/>
        </w:rPr>
        <w:t>r.</w:t>
      </w:r>
    </w:p>
    <w:p w:rsidR="005F0DD0" w:rsidRDefault="00DA0179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>Składowa</w:t>
      </w:r>
      <w:r w:rsidR="00D41C37" w:rsidRPr="00C75940">
        <w:rPr>
          <w:rFonts w:ascii="Fira Sans" w:hAnsi="Fira Sans"/>
          <w:spacing w:val="-4"/>
          <w:sz w:val="19"/>
          <w:szCs w:val="19"/>
        </w:rPr>
        <w:t xml:space="preserve"> </w:t>
      </w:r>
      <w:r w:rsidR="00D41C37">
        <w:rPr>
          <w:rFonts w:ascii="Fira Sans" w:hAnsi="Fira Sans"/>
          <w:spacing w:val="-4"/>
          <w:sz w:val="19"/>
          <w:szCs w:val="19"/>
        </w:rPr>
        <w:t>odnosząc</w:t>
      </w:r>
      <w:r>
        <w:rPr>
          <w:rFonts w:ascii="Fira Sans" w:hAnsi="Fira Sans"/>
          <w:spacing w:val="-4"/>
          <w:sz w:val="19"/>
          <w:szCs w:val="19"/>
        </w:rPr>
        <w:t>a</w:t>
      </w:r>
      <w:r w:rsidR="00D41C37">
        <w:rPr>
          <w:rFonts w:ascii="Fira Sans" w:hAnsi="Fira Sans"/>
          <w:spacing w:val="-4"/>
          <w:sz w:val="19"/>
          <w:szCs w:val="19"/>
        </w:rPr>
        <w:t xml:space="preserve"> się do </w:t>
      </w:r>
      <w:r w:rsidR="00804892">
        <w:rPr>
          <w:rFonts w:ascii="Fira Sans" w:hAnsi="Fira Sans"/>
          <w:spacing w:val="-4"/>
          <w:sz w:val="19"/>
          <w:szCs w:val="19"/>
        </w:rPr>
        <w:t>przetwórstwa przemysłowego</w:t>
      </w:r>
      <w:r w:rsidR="005F0DD0">
        <w:rPr>
          <w:rFonts w:ascii="Fira Sans" w:hAnsi="Fira Sans"/>
          <w:spacing w:val="-4"/>
          <w:sz w:val="19"/>
          <w:szCs w:val="19"/>
        </w:rPr>
        <w:t xml:space="preserve"> kształtuje się na poziomie wyższym </w:t>
      </w:r>
      <w:r w:rsidR="00711297">
        <w:rPr>
          <w:rFonts w:ascii="Fira Sans" w:hAnsi="Fira Sans"/>
          <w:spacing w:val="-4"/>
          <w:sz w:val="19"/>
          <w:szCs w:val="19"/>
        </w:rPr>
        <w:br/>
      </w:r>
      <w:r w:rsidR="005F0DD0">
        <w:rPr>
          <w:rFonts w:ascii="Fira Sans" w:hAnsi="Fira Sans"/>
          <w:spacing w:val="-4"/>
          <w:sz w:val="19"/>
          <w:szCs w:val="19"/>
        </w:rPr>
        <w:t xml:space="preserve">od notowanego w styczniu, a dotycząca budownictwa i usług na poziomie zbliżonym. Tylko wartość składowej odnoszącej się do handlu detalicznego jest niższa niż przed miesiącem. W stosunku do lutego 2018 r. wartości wszystkich składowych są niższe. </w:t>
      </w:r>
    </w:p>
    <w:p w:rsidR="00482BBE" w:rsidRDefault="006D4318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3E170B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1712" behindDoc="1" locked="0" layoutInCell="1" allowOverlap="1" wp14:anchorId="502640BE" wp14:editId="668E98DB">
                <wp:simplePos x="0" y="0"/>
                <wp:positionH relativeFrom="column">
                  <wp:posOffset>5224145</wp:posOffset>
                </wp:positionH>
                <wp:positionV relativeFrom="paragraph">
                  <wp:posOffset>467386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 w ostatnich sześciu </w:t>
                            </w: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640BE" id="Pole tekstowe 4" o:spid="_x0000_s1029" type="#_x0000_t202" style="position:absolute;left:0;text-align:left;margin-left:411.35pt;margin-top:36.8pt;width:135.85pt;height:38.55pt;z-index:-25142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" filled="f" stroked="f">
                <v:textbox>
                  <w:txbxContent>
                    <w:p w:rsidR="00193BDE" w:rsidRPr="00445683" w:rsidRDefault="00193BDE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 w ostatnich sześciu </w:t>
                      </w: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D2F16" w:rsidRPr="00482FAD">
        <w:rPr>
          <w:rFonts w:ascii="Fira Sans" w:hAnsi="Fira Sans"/>
          <w:spacing w:val="-4"/>
          <w:sz w:val="19"/>
          <w:szCs w:val="19"/>
        </w:rPr>
        <w:t>Wskaźnik</w:t>
      </w:r>
      <w:r w:rsidR="003D2F16">
        <w:rPr>
          <w:rFonts w:ascii="Fira Sans" w:hAnsi="Fira Sans"/>
          <w:spacing w:val="-4"/>
          <w:sz w:val="19"/>
          <w:szCs w:val="19"/>
        </w:rPr>
        <w:t>i</w:t>
      </w:r>
      <w:r w:rsidR="003D2F16" w:rsidRPr="00482FAD">
        <w:rPr>
          <w:rFonts w:ascii="Fira Sans" w:hAnsi="Fira Sans"/>
          <w:spacing w:val="-4"/>
          <w:sz w:val="19"/>
          <w:szCs w:val="19"/>
        </w:rPr>
        <w:t xml:space="preserve"> ocen diagnostycznych i prognostycznych </w:t>
      </w:r>
      <w:r w:rsidR="003D2F16">
        <w:rPr>
          <w:rFonts w:ascii="Fira Sans" w:hAnsi="Fira Sans"/>
          <w:spacing w:val="-4"/>
          <w:sz w:val="19"/>
          <w:szCs w:val="19"/>
        </w:rPr>
        <w:t xml:space="preserve">są </w:t>
      </w:r>
      <w:r w:rsidR="008C0242">
        <w:rPr>
          <w:rFonts w:ascii="Fira Sans" w:hAnsi="Fira Sans"/>
          <w:spacing w:val="-4"/>
          <w:sz w:val="19"/>
          <w:szCs w:val="19"/>
        </w:rPr>
        <w:t xml:space="preserve">istotnie </w:t>
      </w:r>
      <w:r w:rsidR="00804892">
        <w:rPr>
          <w:rFonts w:ascii="Fira Sans" w:hAnsi="Fira Sans"/>
          <w:spacing w:val="-4"/>
          <w:sz w:val="19"/>
          <w:szCs w:val="19"/>
        </w:rPr>
        <w:t>niższe</w:t>
      </w:r>
      <w:r w:rsidR="003D2F16" w:rsidRPr="00482FAD">
        <w:rPr>
          <w:rFonts w:ascii="Fira Sans" w:hAnsi="Fira Sans"/>
          <w:spacing w:val="-4"/>
          <w:sz w:val="19"/>
          <w:szCs w:val="19"/>
        </w:rPr>
        <w:t xml:space="preserve"> od zgłaszan</w:t>
      </w:r>
      <w:r w:rsidR="003D2F16">
        <w:rPr>
          <w:rFonts w:ascii="Fira Sans" w:hAnsi="Fira Sans"/>
          <w:spacing w:val="-4"/>
          <w:sz w:val="19"/>
          <w:szCs w:val="19"/>
        </w:rPr>
        <w:t>ych</w:t>
      </w:r>
      <w:r w:rsidR="00482BBE">
        <w:rPr>
          <w:rFonts w:ascii="Fira Sans" w:hAnsi="Fira Sans"/>
          <w:spacing w:val="-4"/>
          <w:sz w:val="19"/>
          <w:szCs w:val="19"/>
        </w:rPr>
        <w:t xml:space="preserve"> przed </w:t>
      </w:r>
      <w:r w:rsidR="00A66C2E">
        <w:rPr>
          <w:rFonts w:ascii="Fira Sans" w:hAnsi="Fira Sans"/>
          <w:spacing w:val="-4"/>
          <w:sz w:val="19"/>
          <w:szCs w:val="19"/>
        </w:rPr>
        <w:t xml:space="preserve">rokiem, natomiast w stosunku do poprzedniego miesiąca </w:t>
      </w:r>
      <w:r w:rsidR="005F0DD0">
        <w:rPr>
          <w:rFonts w:ascii="Fira Sans" w:hAnsi="Fira Sans"/>
          <w:spacing w:val="-4"/>
          <w:sz w:val="19"/>
          <w:szCs w:val="19"/>
        </w:rPr>
        <w:t>rośnie</w:t>
      </w:r>
      <w:r w:rsidR="00A66C2E">
        <w:rPr>
          <w:rFonts w:ascii="Fira Sans" w:hAnsi="Fira Sans"/>
          <w:spacing w:val="-4"/>
          <w:sz w:val="19"/>
          <w:szCs w:val="19"/>
        </w:rPr>
        <w:t xml:space="preserve"> składowa ocen </w:t>
      </w:r>
      <w:r w:rsidR="005F0DD0">
        <w:rPr>
          <w:rFonts w:ascii="Fira Sans" w:hAnsi="Fira Sans"/>
          <w:spacing w:val="-4"/>
          <w:sz w:val="19"/>
          <w:szCs w:val="19"/>
        </w:rPr>
        <w:t>diagnostycznych</w:t>
      </w:r>
      <w:r w:rsidR="00303D35">
        <w:rPr>
          <w:rFonts w:ascii="Fira Sans" w:hAnsi="Fira Sans"/>
          <w:spacing w:val="-4"/>
          <w:sz w:val="19"/>
          <w:szCs w:val="19"/>
        </w:rPr>
        <w:t>, a </w:t>
      </w:r>
      <w:r w:rsidR="00804892">
        <w:rPr>
          <w:rFonts w:ascii="Fira Sans" w:hAnsi="Fira Sans"/>
          <w:spacing w:val="-4"/>
          <w:sz w:val="19"/>
          <w:szCs w:val="19"/>
        </w:rPr>
        <w:t>utrzymuje się</w:t>
      </w:r>
      <w:r w:rsidR="00A66C2E">
        <w:rPr>
          <w:rFonts w:ascii="Fira Sans" w:hAnsi="Fira Sans"/>
          <w:spacing w:val="-4"/>
          <w:sz w:val="19"/>
          <w:szCs w:val="19"/>
        </w:rPr>
        <w:t xml:space="preserve"> – ocen</w:t>
      </w:r>
      <w:r w:rsidR="005F0DD0" w:rsidRPr="005F0DD0">
        <w:rPr>
          <w:rFonts w:ascii="Fira Sans" w:hAnsi="Fira Sans"/>
          <w:spacing w:val="-4"/>
          <w:sz w:val="19"/>
          <w:szCs w:val="19"/>
        </w:rPr>
        <w:t xml:space="preserve"> </w:t>
      </w:r>
      <w:r w:rsidR="005F0DD0">
        <w:rPr>
          <w:rFonts w:ascii="Fira Sans" w:hAnsi="Fira Sans"/>
          <w:spacing w:val="-4"/>
          <w:sz w:val="19"/>
          <w:szCs w:val="19"/>
        </w:rPr>
        <w:t>prognostycznych</w:t>
      </w:r>
      <w:r w:rsidR="00A66C2E">
        <w:rPr>
          <w:rFonts w:ascii="Fira Sans" w:hAnsi="Fira Sans"/>
          <w:spacing w:val="-4"/>
          <w:sz w:val="19"/>
          <w:szCs w:val="19"/>
        </w:rPr>
        <w:t>.</w:t>
      </w:r>
      <w:r w:rsidR="00482BBE">
        <w:rPr>
          <w:rFonts w:ascii="Fira Sans" w:hAnsi="Fira Sans"/>
          <w:spacing w:val="-4"/>
          <w:sz w:val="19"/>
          <w:szCs w:val="19"/>
        </w:rPr>
        <w:t xml:space="preserve"> </w:t>
      </w:r>
    </w:p>
    <w:p w:rsidR="00DA0179" w:rsidRDefault="00AE14B1" w:rsidP="001B48F9">
      <w:pPr>
        <w:spacing w:before="120" w:after="120"/>
        <w:ind w:left="794" w:hanging="794"/>
        <w:rPr>
          <w:rFonts w:ascii="Fira Sans" w:hAnsi="Fira Sans"/>
          <w:b/>
          <w:spacing w:val="-2"/>
          <w:sz w:val="18"/>
        </w:rPr>
      </w:pPr>
      <w:r w:rsidRPr="00AE14B1">
        <w:rPr>
          <w:noProof/>
          <w:lang w:eastAsia="pl-PL"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345567</wp:posOffset>
            </wp:positionV>
            <wp:extent cx="1407600" cy="1972800"/>
            <wp:effectExtent l="0" t="0" r="0" b="0"/>
            <wp:wrapTopAndBottom/>
            <wp:docPr id="31" name="Obraz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4B1">
        <w:rPr>
          <w:noProof/>
          <w:lang w:eastAsia="pl-PL"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358648</wp:posOffset>
            </wp:positionV>
            <wp:extent cx="5122800" cy="1962000"/>
            <wp:effectExtent l="0" t="0" r="1905" b="635"/>
            <wp:wrapTopAndBottom/>
            <wp:docPr id="14" name="Obraz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318" w:rsidRPr="003E170B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3760" behindDoc="1" locked="0" layoutInCell="1" allowOverlap="1" wp14:anchorId="0B5A7663" wp14:editId="287C693E">
                <wp:simplePos x="0" y="0"/>
                <wp:positionH relativeFrom="column">
                  <wp:posOffset>5224780</wp:posOffset>
                </wp:positionH>
                <wp:positionV relativeFrom="paragraph">
                  <wp:posOffset>2219325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 oraz EU.ESI w 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7663" id="Pole tekstowe 5" o:spid="_x0000_s1030" type="#_x0000_t202" style="position:absolute;left:0;text-align:left;margin-left:411.4pt;margin-top:174.75pt;width:135.85pt;height:38.55pt;z-index:-25142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" filled="f" stroked="f">
                <v:textbox>
                  <w:txbxContent>
                    <w:p w:rsidR="00193BDE" w:rsidRPr="00445683" w:rsidRDefault="00193BDE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 oraz EU.ESI w 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0179" w:rsidRPr="00001C5B">
        <w:rPr>
          <w:rFonts w:ascii="Fira Sans" w:hAnsi="Fira Sans"/>
          <w:b/>
          <w:spacing w:val="-2"/>
          <w:sz w:val="18"/>
        </w:rPr>
        <w:t xml:space="preserve">Wykres </w:t>
      </w:r>
      <w:r w:rsidR="00DA0179">
        <w:rPr>
          <w:rFonts w:ascii="Fira Sans" w:hAnsi="Fira Sans"/>
          <w:b/>
          <w:spacing w:val="-2"/>
          <w:sz w:val="18"/>
        </w:rPr>
        <w:t>1</w:t>
      </w:r>
      <w:r w:rsidR="00DA0179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DA0179">
        <w:rPr>
          <w:rFonts w:ascii="Fira Sans" w:hAnsi="Fira Sans"/>
          <w:b/>
          <w:spacing w:val="-2"/>
          <w:sz w:val="18"/>
        </w:rPr>
        <w:t xml:space="preserve">(SI) </w:t>
      </w:r>
      <w:r w:rsidR="00DA0179">
        <w:rPr>
          <w:rFonts w:ascii="Fira Sans" w:hAnsi="Fira Sans"/>
          <w:b/>
          <w:spacing w:val="-2"/>
          <w:sz w:val="18"/>
        </w:rPr>
        <w:br/>
      </w:r>
      <w:r w:rsidR="00DA0179" w:rsidRPr="00001C5B">
        <w:rPr>
          <w:rFonts w:ascii="Fira Sans" w:hAnsi="Fira Sans"/>
          <w:b/>
          <w:spacing w:val="-2"/>
          <w:sz w:val="18"/>
        </w:rPr>
        <w:t>i jego dekompozycja</w:t>
      </w:r>
      <w:r w:rsidR="00134852" w:rsidRPr="00134852">
        <w:rPr>
          <w:rFonts w:ascii="Fira Sans" w:hAnsi="Fira Sans"/>
          <w:b/>
          <w:spacing w:val="-2"/>
          <w:sz w:val="18"/>
        </w:rPr>
        <w:t xml:space="preserve"> </w:t>
      </w:r>
    </w:p>
    <w:p w:rsidR="0098156A" w:rsidRDefault="00AE14B1" w:rsidP="001B48F9">
      <w:pPr>
        <w:pStyle w:val="tytuwykresu"/>
        <w:ind w:left="794" w:hanging="794"/>
      </w:pPr>
      <w:r w:rsidRPr="00AE14B1">
        <w:rPr>
          <w:noProof/>
          <w:lang w:eastAsia="pl-PL"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2325003</wp:posOffset>
            </wp:positionV>
            <wp:extent cx="1407600" cy="1972800"/>
            <wp:effectExtent l="0" t="0" r="2540" b="0"/>
            <wp:wrapTopAndBottom/>
            <wp:docPr id="32" name="Obraz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B2" w:rsidRPr="00001C5B">
        <w:t xml:space="preserve">Wykres </w:t>
      </w:r>
      <w:r w:rsidR="00DA0179">
        <w:t>2</w:t>
      </w:r>
      <w:r w:rsidR="009C1AB2" w:rsidRPr="00001C5B">
        <w:t>. Ogóln</w:t>
      </w:r>
      <w:r w:rsidR="004118D1">
        <w:t>y</w:t>
      </w:r>
      <w:r w:rsidR="009C1AB2" w:rsidRPr="00001C5B">
        <w:t xml:space="preserve"> wskaźnik syntetyczny koniunktury gospodarczej GUS dla Polski</w:t>
      </w:r>
      <w:r w:rsidR="003D5EA6">
        <w:t xml:space="preserve"> (SI)</w:t>
      </w:r>
      <w:r w:rsidR="009C1AB2" w:rsidRPr="00001C5B">
        <w:t xml:space="preserve">, wskaźniki </w:t>
      </w:r>
      <w:r w:rsidR="001B48F9">
        <w:br/>
      </w:r>
      <w:r w:rsidR="009C1AB2" w:rsidRPr="00001C5B">
        <w:t xml:space="preserve">odczuć ekonomicznych dla Unii Europejskiej </w:t>
      </w:r>
      <w:r w:rsidR="000E7ED0">
        <w:t>(EU.ESI)</w:t>
      </w:r>
      <w:r w:rsidR="0037077F" w:rsidRPr="00001C5B">
        <w:rPr>
          <w:rStyle w:val="Odwoanieprzypisudolnego"/>
        </w:rPr>
        <w:footnoteReference w:id="1"/>
      </w:r>
      <w:r w:rsidR="00D715DF" w:rsidRPr="00D715DF">
        <w:rPr>
          <w:b w:val="0"/>
        </w:rPr>
        <w:t xml:space="preserve"> </w:t>
      </w:r>
    </w:p>
    <w:p w:rsidR="00804892" w:rsidRPr="00001C5B" w:rsidRDefault="00AE14B1" w:rsidP="00E664C5">
      <w:pPr>
        <w:pStyle w:val="tytuwykresu"/>
      </w:pPr>
      <w:r w:rsidRPr="00AE14B1">
        <w:rPr>
          <w:noProof/>
          <w:lang w:eastAsia="pl-PL"/>
        </w:rPr>
        <w:drawing>
          <wp:anchor distT="0" distB="0" distL="114300" distR="114300" simplePos="0" relativeHeight="25189683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5113418" cy="1962000"/>
            <wp:effectExtent l="0" t="0" r="0" b="635"/>
            <wp:wrapTopAndBottom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418" cy="19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56A" w:rsidRPr="00001C5B" w:rsidRDefault="00996693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rightMargin">
                  <wp:posOffset>131775</wp:posOffset>
                </wp:positionH>
                <wp:positionV relativeFrom="paragraph">
                  <wp:posOffset>165913</wp:posOffset>
                </wp:positionV>
                <wp:extent cx="1725295" cy="10166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BE8" w:rsidRPr="00D616D2" w:rsidRDefault="00322D35" w:rsidP="009C016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22D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przetwórstwie przemysłowym kształtuje się na dodatni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 poziomie, nieco wyższym niż w </w:t>
                            </w:r>
                            <w:r w:rsidRPr="00322D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styczniu</w:t>
                            </w:r>
                            <w:r w:rsidR="00A965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 r</w:t>
                            </w:r>
                            <w:r w:rsidRPr="00322D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E46F4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31" type="#_x0000_t202" style="position:absolute;margin-left:10.4pt;margin-top:13.05pt;width:135.85pt;height:80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" filled="f" stroked="f">
                <v:textbox>
                  <w:txbxContent>
                    <w:p w:rsidR="00391BE8" w:rsidRPr="00D616D2" w:rsidRDefault="00322D35" w:rsidP="009C016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322D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przetwórstwie przemysłowym kształtuje się na dodatni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 poziomie, nieco wyższym niż w </w:t>
                      </w:r>
                      <w:r w:rsidRPr="00322D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styczniu</w:t>
                      </w:r>
                      <w:r w:rsidR="00A965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 r</w:t>
                      </w:r>
                      <w:r w:rsidRPr="00322D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P</w:t>
      </w:r>
      <w:r w:rsidR="00276811" w:rsidRPr="00E01436">
        <w:rPr>
          <w:rFonts w:ascii="Fira Sans" w:hAnsi="Fira Sans"/>
          <w:b/>
          <w:spacing w:val="-2"/>
          <w:szCs w:val="19"/>
        </w:rPr>
        <w:t>rzetwórstwo przemysłowe</w:t>
      </w:r>
    </w:p>
    <w:p w:rsidR="00E5190C" w:rsidRPr="00E5190C" w:rsidRDefault="00322D35" w:rsidP="00711297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322D35">
        <w:rPr>
          <w:rFonts w:ascii="Fira Sans" w:hAnsi="Fira Sans"/>
          <w:spacing w:val="-4"/>
          <w:sz w:val="19"/>
          <w:szCs w:val="19"/>
        </w:rPr>
        <w:t xml:space="preserve">Wskaźnik ufności w przetwórstwie przemysłowym kształtuje się na dodatnim poziomie, nieco wyższym niż przed miesiącem. Bieżący portfel zamówień (krajowy i zagraniczny) oceniany jest </w:t>
      </w:r>
      <w:r w:rsidR="00711297">
        <w:rPr>
          <w:rFonts w:ascii="Fira Sans" w:hAnsi="Fira Sans"/>
          <w:spacing w:val="-4"/>
          <w:sz w:val="19"/>
          <w:szCs w:val="19"/>
        </w:rPr>
        <w:br/>
      </w:r>
      <w:r w:rsidRPr="00322D35">
        <w:rPr>
          <w:rFonts w:ascii="Fira Sans" w:hAnsi="Fira Sans"/>
          <w:spacing w:val="-4"/>
          <w:sz w:val="19"/>
          <w:szCs w:val="19"/>
        </w:rPr>
        <w:t>pozytywnie, a prognozy produkcji są negatywne, podobnie jak w styczniu. Zgłaszany jest niedo</w:t>
      </w:r>
      <w:r w:rsidR="00711297">
        <w:rPr>
          <w:rFonts w:ascii="Fira Sans" w:hAnsi="Fira Sans"/>
          <w:spacing w:val="-4"/>
          <w:sz w:val="19"/>
          <w:szCs w:val="19"/>
        </w:rPr>
        <w:t>-</w:t>
      </w:r>
      <w:r w:rsidRPr="00322D35">
        <w:rPr>
          <w:rFonts w:ascii="Fira Sans" w:hAnsi="Fira Sans"/>
          <w:spacing w:val="-4"/>
          <w:sz w:val="19"/>
          <w:szCs w:val="19"/>
        </w:rPr>
        <w:t>bór zapasów wyrobów gotowych - najwyższy od sierpnia 2018 r.</w:t>
      </w:r>
      <w:r w:rsidR="00CB77D4" w:rsidRPr="00CB77D4">
        <w:rPr>
          <w:rFonts w:ascii="Fira Sans" w:hAnsi="Fira Sans"/>
          <w:spacing w:val="-4"/>
          <w:sz w:val="19"/>
          <w:szCs w:val="19"/>
        </w:rPr>
        <w:t xml:space="preserve"> </w:t>
      </w:r>
    </w:p>
    <w:p w:rsidR="0098156A" w:rsidRDefault="009C22CC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9C22CC">
        <w:rPr>
          <w:noProof/>
          <w:lang w:eastAsia="pl-PL"/>
        </w:rPr>
        <w:drawing>
          <wp:anchor distT="0" distB="0" distL="114300" distR="114300" simplePos="0" relativeHeight="251908096" behindDoc="0" locked="0" layoutInCell="1" allowOverlap="1">
            <wp:simplePos x="0" y="0"/>
            <wp:positionH relativeFrom="column">
              <wp:posOffset>5287701</wp:posOffset>
            </wp:positionH>
            <wp:positionV relativeFrom="paragraph">
              <wp:posOffset>242289</wp:posOffset>
            </wp:positionV>
            <wp:extent cx="1407600" cy="1972800"/>
            <wp:effectExtent l="0" t="0" r="0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D35" w:rsidRPr="00322D35">
        <w:rPr>
          <w:noProof/>
          <w:lang w:eastAsia="pl-PL"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218013</wp:posOffset>
            </wp:positionV>
            <wp:extent cx="5122800" cy="2268000"/>
            <wp:effectExtent l="0" t="0" r="1905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D74A5A" w:rsidRPr="00001C5B" w:rsidRDefault="00D74A5A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E01436" w:rsidRDefault="00D74A5A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5262880</wp:posOffset>
                </wp:positionH>
                <wp:positionV relativeFrom="paragraph">
                  <wp:posOffset>249555</wp:posOffset>
                </wp:positionV>
                <wp:extent cx="1725295" cy="1075055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186B0A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86B0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budownictwie kształtuje się na poziomie</w:t>
                            </w:r>
                            <w:r w:rsidR="002213D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dodatnim, zbliżonym do </w:t>
                            </w:r>
                            <w:r w:rsidRPr="00186B0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notowanego w styczniu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2F61" id="Pole tekstowe 18" o:spid="_x0000_s1032" type="#_x0000_t202" style="position:absolute;margin-left:414.4pt;margin-top:19.65pt;width:135.85pt;height:84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" filled="f" stroked="f">
                <v:textbox>
                  <w:txbxContent>
                    <w:p w:rsidR="00397D18" w:rsidRPr="00D616D2" w:rsidRDefault="00186B0A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86B0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budownictwie kształtuje się na poziomie</w:t>
                      </w:r>
                      <w:r w:rsidR="002213DC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dodatnim, zbliżonym do </w:t>
                      </w:r>
                      <w:r w:rsidRPr="00186B0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notowanego w styczniu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B</w:t>
      </w:r>
      <w:r w:rsidR="00276811" w:rsidRPr="00E01436">
        <w:rPr>
          <w:rFonts w:ascii="Fira Sans" w:hAnsi="Fira Sans"/>
          <w:b/>
          <w:spacing w:val="-2"/>
          <w:szCs w:val="19"/>
        </w:rPr>
        <w:t>udownictwo</w:t>
      </w:r>
    </w:p>
    <w:p w:rsidR="0098156A" w:rsidRPr="00001C5B" w:rsidRDefault="009F7BAC" w:rsidP="00711297">
      <w:pPr>
        <w:spacing w:before="120" w:after="120"/>
        <w:rPr>
          <w:rFonts w:ascii="Fira Sans" w:hAnsi="Fira Sans"/>
          <w:sz w:val="19"/>
          <w:szCs w:val="19"/>
        </w:rPr>
      </w:pPr>
      <w:r w:rsidRPr="009F7BAC">
        <w:rPr>
          <w:rFonts w:ascii="Fira Sans" w:hAnsi="Fira Sans"/>
          <w:sz w:val="19"/>
          <w:szCs w:val="19"/>
        </w:rPr>
        <w:t xml:space="preserve">Wskaźnik ufności w budownictwie kształtuje się w lutym na dodatnim poziomie, zbliżonym </w:t>
      </w:r>
      <w:r w:rsidR="00711297">
        <w:rPr>
          <w:rFonts w:ascii="Fira Sans" w:hAnsi="Fira Sans"/>
          <w:sz w:val="19"/>
          <w:szCs w:val="19"/>
        </w:rPr>
        <w:br/>
      </w:r>
      <w:r w:rsidR="002213DC">
        <w:rPr>
          <w:rFonts w:ascii="Fira Sans" w:hAnsi="Fira Sans"/>
          <w:sz w:val="19"/>
          <w:szCs w:val="19"/>
        </w:rPr>
        <w:t>do notowanego przed miesiącem</w:t>
      </w:r>
      <w:r w:rsidRPr="009F7BAC">
        <w:rPr>
          <w:rFonts w:ascii="Fira Sans" w:hAnsi="Fira Sans"/>
          <w:sz w:val="19"/>
          <w:szCs w:val="19"/>
        </w:rPr>
        <w:t xml:space="preserve">. Oceny bieżącego portfela zamówień na rynku krajowym </w:t>
      </w:r>
      <w:r w:rsidR="00711297">
        <w:rPr>
          <w:rFonts w:ascii="Fira Sans" w:hAnsi="Fira Sans"/>
          <w:sz w:val="19"/>
          <w:szCs w:val="19"/>
        </w:rPr>
        <w:br/>
      </w:r>
      <w:r w:rsidRPr="009F7BAC">
        <w:rPr>
          <w:rFonts w:ascii="Fira Sans" w:hAnsi="Fira Sans"/>
          <w:sz w:val="19"/>
          <w:szCs w:val="19"/>
        </w:rPr>
        <w:t>i zagranicznym są bardziej pozytywne niż w styczniu, natomiast prognozy zatrudnienia – mniej optymistyczne od formułowanych w ubiegłym miesiącu.</w:t>
      </w:r>
      <w:r w:rsidR="00CB77D4" w:rsidRPr="00CB77D4">
        <w:rPr>
          <w:rFonts w:ascii="Fira Sans" w:hAnsi="Fira Sans"/>
          <w:sz w:val="19"/>
          <w:szCs w:val="19"/>
        </w:rPr>
        <w:t xml:space="preserve"> </w:t>
      </w:r>
    </w:p>
    <w:p w:rsidR="007E3314" w:rsidRPr="00001C5B" w:rsidRDefault="009C22CC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9C22CC">
        <w:rPr>
          <w:noProof/>
          <w:lang w:eastAsia="pl-PL"/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column">
              <wp:posOffset>5320165</wp:posOffset>
            </wp:positionH>
            <wp:positionV relativeFrom="paragraph">
              <wp:posOffset>286014</wp:posOffset>
            </wp:positionV>
            <wp:extent cx="1407600" cy="1972800"/>
            <wp:effectExtent l="0" t="0" r="0" b="0"/>
            <wp:wrapTopAndBottom/>
            <wp:docPr id="42" name="Obraz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D35" w:rsidRPr="00322D35">
        <w:rPr>
          <w:noProof/>
          <w:lang w:eastAsia="pl-PL"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5122800" cy="2268000"/>
            <wp:effectExtent l="0" t="0" r="1905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Pr="00001C5B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582408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5221312</wp:posOffset>
                </wp:positionH>
                <wp:positionV relativeFrom="paragraph">
                  <wp:posOffset>152986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2476AC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476A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handlu detalicznym kształtuje się na dodatnim poziomie, podobnym 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 odnotowanego</w:t>
                            </w:r>
                            <w:r w:rsidR="00A965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styczniu 2019 r</w:t>
                            </w:r>
                            <w:r w:rsidRPr="002476A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744C" id="Pole tekstowe 19" o:spid="_x0000_s1033" type="#_x0000_t202" style="position:absolute;margin-left:411.15pt;margin-top:12.05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yFEg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" filled="f" stroked="f">
                <v:textbox>
                  <w:txbxContent>
                    <w:p w:rsidR="00EB1390" w:rsidRPr="00D616D2" w:rsidRDefault="002476AC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2476AC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handlu detalicznym kształtuje się na dodatnim poziomie, podobnym 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 odnotowanego</w:t>
                      </w:r>
                      <w:r w:rsidR="00A965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styczniu 2019 r</w:t>
                      </w:r>
                      <w:r w:rsidRPr="002476AC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H</w:t>
      </w:r>
      <w:r w:rsidR="00276811" w:rsidRPr="00E01436">
        <w:rPr>
          <w:rFonts w:ascii="Fira Sans" w:hAnsi="Fira Sans"/>
          <w:b/>
          <w:spacing w:val="-2"/>
          <w:szCs w:val="19"/>
        </w:rPr>
        <w:t>andel detaliczny</w:t>
      </w:r>
    </w:p>
    <w:p w:rsidR="008E6D40" w:rsidRDefault="002476AC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2476A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Wskaźnik ufności w handlu detalicznym kształtuje się w lutym na dodatnim poziomie, zbliżonym do sygnalizowanego przed miesiącem. Oceny sprzedaży zrealizowanej w ostatnich trzech miesiącach oraz przewidywania dotyczące sprzedaży są również korzystne, podobne do formułowanych w styczniu br. Bieżący stan zapasów towarów jest uznawany za zbliżony do odpowiedniego.</w:t>
      </w:r>
      <w:r w:rsidR="00CB77D4" w:rsidRPr="00CB77D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</w:p>
    <w:p w:rsidR="003D60A9" w:rsidRDefault="009C22CC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9C22CC">
        <w:rPr>
          <w:noProof/>
          <w:lang w:eastAsia="pl-PL"/>
        </w:rPr>
        <w:drawing>
          <wp:anchor distT="0" distB="0" distL="114300" distR="114300" simplePos="0" relativeHeight="251910144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227965</wp:posOffset>
            </wp:positionV>
            <wp:extent cx="1407160" cy="1998345"/>
            <wp:effectExtent l="0" t="0" r="0" b="0"/>
            <wp:wrapTopAndBottom/>
            <wp:docPr id="43" name="Obraz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D35" w:rsidRPr="00322D35">
        <w:rPr>
          <w:noProof/>
          <w:lang w:eastAsia="pl-PL"/>
        </w:rPr>
        <w:drawing>
          <wp:anchor distT="0" distB="0" distL="114300" distR="114300" simplePos="0" relativeHeight="2519019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212298</wp:posOffset>
            </wp:positionV>
            <wp:extent cx="5122800" cy="2268000"/>
            <wp:effectExtent l="0" t="0" r="1905" b="0"/>
            <wp:wrapTopAndBottom/>
            <wp:docPr id="35" name="Obraz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321A79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001C5B" w:rsidRDefault="00321A79" w:rsidP="00E76D26">
      <w:pPr>
        <w:pStyle w:val="Nagwek1"/>
      </w:pPr>
      <w:r w:rsidRPr="00001C5B">
        <w:rPr>
          <w:rFonts w:ascii="Fira Sans" w:hAnsi="Fira Sans"/>
          <w:b/>
          <w:noProof/>
          <w:color w:val="212492"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5230749</wp:posOffset>
                </wp:positionH>
                <wp:positionV relativeFrom="paragraph">
                  <wp:posOffset>246253</wp:posOffset>
                </wp:positionV>
                <wp:extent cx="1725295" cy="906145"/>
                <wp:effectExtent l="0" t="0" r="0" b="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0366E9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usługach kształtuje się na ujemnym poziomie, zbliżonym do prezentowanego w styczniu 2019 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8DD" id="Pole tekstowe 20" o:spid="_x0000_s1034" type="#_x0000_t202" style="position:absolute;margin-left:411.85pt;margin-top:19.4pt;width:135.85pt;height:71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" filled="f" stroked="f">
                <v:textbox>
                  <w:txbxContent>
                    <w:p w:rsidR="00ED55C0" w:rsidRPr="00D616D2" w:rsidRDefault="000366E9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usługach kształtuje się na ujemnym poziomie, zbliżonym do prezentowanego w styczniu 2019 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E01436">
        <w:rPr>
          <w:rFonts w:ascii="Fira Sans" w:hAnsi="Fira Sans"/>
          <w:b/>
          <w:spacing w:val="-2"/>
          <w:szCs w:val="19"/>
        </w:rPr>
        <w:t>Wskaźniki ufności – Usługi</w:t>
      </w:r>
    </w:p>
    <w:p w:rsidR="0044644A" w:rsidRPr="0044644A" w:rsidRDefault="000366E9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lutym wskaźnik ufności w usługach kształtuje się na ujemnym poziomie, zbliżonym do prezentowanego przed miesiącem. Oceny formułowane dla ostatnich trzech miesięcy zarówno dla ogólnej sytuacji gospodarczej, jak i dla popytu są negatywne. Prognozy popytu są pesymistyczne </w:t>
      </w:r>
      <w:r w:rsidR="00711297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br/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i gorsze od przewidywań ze stycznia.</w:t>
      </w:r>
      <w:r w:rsidR="00CB77D4" w:rsidRPr="00CB77D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</w:p>
    <w:p w:rsidR="00ED0A2A" w:rsidRDefault="009C22CC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9C22CC">
        <w:rPr>
          <w:noProof/>
          <w:lang w:eastAsia="pl-PL"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5303520</wp:posOffset>
            </wp:positionH>
            <wp:positionV relativeFrom="paragraph">
              <wp:posOffset>281940</wp:posOffset>
            </wp:positionV>
            <wp:extent cx="1407160" cy="1948815"/>
            <wp:effectExtent l="0" t="0" r="0" b="0"/>
            <wp:wrapTopAndBottom/>
            <wp:docPr id="45" name="Obraz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D35" w:rsidRPr="00322D35">
        <w:rPr>
          <w:noProof/>
          <w:lang w:eastAsia="pl-PL"/>
        </w:rPr>
        <w:drawing>
          <wp:anchor distT="0" distB="0" distL="114300" distR="114300" simplePos="0" relativeHeight="2519029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252404</wp:posOffset>
            </wp:positionV>
            <wp:extent cx="5122800" cy="2268000"/>
            <wp:effectExtent l="0" t="0" r="1905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D361F" w:rsidRPr="008D361F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spacing w:val="-2"/>
          <w:sz w:val="18"/>
        </w:rPr>
        <w:t>A</w:t>
      </w:r>
      <w:r w:rsidR="008D361F">
        <w:rPr>
          <w:rFonts w:ascii="Fira Sans" w:hAnsi="Fira Sans"/>
          <w:b/>
          <w:spacing w:val="-2"/>
          <w:sz w:val="18"/>
        </w:rPr>
        <w:t>nalizy z zakresu barier</w:t>
      </w:r>
      <w:r w:rsidR="008D361F" w:rsidRPr="008D361F">
        <w:rPr>
          <w:rFonts w:ascii="Fira Sans" w:hAnsi="Fira Sans"/>
          <w:b/>
          <w:spacing w:val="-2"/>
          <w:sz w:val="18"/>
        </w:rPr>
        <w:t xml:space="preserve"> działalności przedsiębiorstw</w:t>
      </w:r>
      <w:r w:rsidR="008D361F">
        <w:rPr>
          <w:rFonts w:ascii="Fira Sans" w:hAnsi="Fira Sans"/>
          <w:b/>
          <w:spacing w:val="-2"/>
          <w:sz w:val="18"/>
        </w:rPr>
        <w:t xml:space="preserve"> </w:t>
      </w:r>
      <w:r w:rsidR="008278E4">
        <w:rPr>
          <w:rFonts w:ascii="Fira Sans" w:hAnsi="Fira Sans"/>
          <w:b/>
          <w:spacing w:val="-2"/>
          <w:sz w:val="18"/>
        </w:rPr>
        <w:t>są dostępne w</w:t>
      </w:r>
      <w:r w:rsidR="008D361F">
        <w:rPr>
          <w:rFonts w:ascii="Fira Sans" w:hAnsi="Fira Sans"/>
          <w:b/>
          <w:spacing w:val="-2"/>
          <w:sz w:val="18"/>
        </w:rPr>
        <w:t xml:space="preserve"> publikacji </w:t>
      </w:r>
      <w:r w:rsidR="008D361F">
        <w:rPr>
          <w:rFonts w:ascii="Fira Sans" w:hAnsi="Fira Sans"/>
          <w:b/>
          <w:i/>
          <w:spacing w:val="-2"/>
          <w:sz w:val="18"/>
        </w:rPr>
        <w:t>Koniunktura w przetwórstwie przemysłowym, budownictwie, handlu i usługach 2000-2019</w:t>
      </w:r>
      <w:r w:rsidR="008D361F">
        <w:rPr>
          <w:rFonts w:ascii="Fira Sans" w:hAnsi="Fira Sans"/>
          <w:b/>
          <w:spacing w:val="-2"/>
          <w:sz w:val="18"/>
        </w:rPr>
        <w:t xml:space="preserve">, która ukaże się </w:t>
      </w:r>
      <w:r w:rsidR="002476AC">
        <w:rPr>
          <w:rFonts w:ascii="Fira Sans" w:hAnsi="Fira Sans"/>
          <w:b/>
          <w:spacing w:val="-2"/>
          <w:sz w:val="18"/>
        </w:rPr>
        <w:t>25</w:t>
      </w:r>
      <w:r w:rsidR="0092753D">
        <w:rPr>
          <w:rFonts w:ascii="Fira Sans" w:hAnsi="Fira Sans"/>
          <w:b/>
          <w:spacing w:val="-2"/>
          <w:sz w:val="18"/>
        </w:rPr>
        <w:t xml:space="preserve"> </w:t>
      </w:r>
      <w:r w:rsidR="002476AC">
        <w:rPr>
          <w:rFonts w:ascii="Fira Sans" w:hAnsi="Fira Sans"/>
          <w:b/>
          <w:spacing w:val="-2"/>
          <w:sz w:val="18"/>
        </w:rPr>
        <w:t>lutego</w:t>
      </w:r>
      <w:r w:rsidR="0092753D">
        <w:rPr>
          <w:rFonts w:ascii="Fira Sans" w:hAnsi="Fira Sans"/>
          <w:b/>
          <w:spacing w:val="-2"/>
          <w:sz w:val="18"/>
        </w:rPr>
        <w:t xml:space="preserve"> 2019 r.</w:t>
      </w:r>
    </w:p>
    <w:p w:rsidR="00B560E4" w:rsidRDefault="00DC10F1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spacing w:val="-2"/>
          <w:szCs w:val="19"/>
        </w:rPr>
        <w:t xml:space="preserve"> </w:t>
      </w:r>
      <w:r w:rsidR="00B560E4">
        <w:rPr>
          <w:rFonts w:ascii="Fira Sans" w:hAnsi="Fira Sans"/>
          <w:b/>
          <w:spacing w:val="-2"/>
          <w:szCs w:val="19"/>
        </w:rPr>
        <w:br w:type="page"/>
      </w:r>
    </w:p>
    <w:p w:rsidR="00843795" w:rsidRPr="00001C5B" w:rsidRDefault="00843795" w:rsidP="00E76D26">
      <w:pPr>
        <w:spacing w:before="120" w:after="120"/>
        <w:rPr>
          <w:rFonts w:ascii="Fira Sans" w:hAnsi="Fira Sans"/>
          <w:sz w:val="18"/>
        </w:rPr>
        <w:sectPr w:rsidR="00843795" w:rsidRPr="00001C5B" w:rsidSect="001448A7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6"/>
        <w:gridCol w:w="3821"/>
      </w:tblGrid>
      <w:tr w:rsidR="00AB6D25" w:rsidRPr="00711297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A051F6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A051F6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Tel: 22 608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3651</w:t>
            </w:r>
          </w:p>
          <w:p w:rsidR="001951DA" w:rsidRPr="008D361F" w:rsidRDefault="001951DA" w:rsidP="0088188F">
            <w:pPr>
              <w:rPr>
                <w:lang w:val="it-IT"/>
              </w:rPr>
            </w:pPr>
            <w:r w:rsidRPr="008D36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hyperlink r:id="rId26" w:history="1">
              <w:r w:rsidR="0088188F" w:rsidRPr="008D361F">
                <w:rPr>
                  <w:rStyle w:val="Hipercze"/>
                  <w:rFonts w:ascii="Fira Sans" w:eastAsiaTheme="majorEastAsia" w:hAnsi="Fira Sans" w:cs="Arial"/>
                  <w:b/>
                  <w:color w:val="000000" w:themeColor="text1"/>
                  <w:sz w:val="20"/>
                  <w:szCs w:val="20"/>
                  <w:lang w:val="it-IT"/>
                </w:rPr>
                <w:t>o.gaca@stat.gov.pl</w:t>
              </w:r>
            </w:hyperlink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3475, 22 608 3009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6467C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7" w:history="1">
              <w:r w:rsidRPr="006467C3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tel.: </w:t>
            </w:r>
            <w:r w:rsidRPr="00001C5B">
              <w:rPr>
                <w:rFonts w:ascii="Fira Sans" w:hAnsi="Fira Sans"/>
                <w:sz w:val="20"/>
              </w:rPr>
              <w:t xml:space="preserve">22 608 3491, </w:t>
            </w:r>
            <w:r w:rsidR="001B48F9">
              <w:rPr>
                <w:rFonts w:ascii="Fira Sans" w:hAnsi="Fira Sans"/>
                <w:sz w:val="20"/>
              </w:rPr>
              <w:t>22</w:t>
            </w:r>
            <w:r w:rsidRPr="00001C5B">
              <w:rPr>
                <w:rFonts w:ascii="Fira Sans" w:hAnsi="Fira Sans"/>
                <w:sz w:val="20"/>
              </w:rPr>
              <w:t xml:space="preserve"> 608 3804 </w:t>
            </w:r>
          </w:p>
          <w:p w:rsidR="00521BC3" w:rsidRPr="006F57E5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6F57E5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6F57E5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28" w:history="1">
              <w:r w:rsidRPr="008E6509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6F57E5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A3B60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928F9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2BILxDECAABP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5520D8">
                              <w:rPr>
                                <w:rFonts w:ascii="Fira Sans" w:hAnsi="Fira Sans"/>
                                <w:b/>
                              </w:rPr>
                              <w:t>Powiązane</w:t>
                            </w:r>
                            <w:r>
                              <w:rPr>
                                <w:rFonts w:ascii="Fira Sans" w:hAnsi="Fira Sans"/>
                                <w:b/>
                              </w:rPr>
                              <w:t xml:space="preserve"> opracowania</w:t>
                            </w:r>
                          </w:p>
                          <w:p w:rsidR="00A53132" w:rsidRPr="004C7599" w:rsidRDefault="006D0101" w:rsidP="00A5313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BC512B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przetwórstwie przemysłowym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, budownictwie, handlu i usługach 2000 – 201</w:t>
                              </w:r>
                            </w:hyperlink>
                            <w:r w:rsidR="00BC512B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9</w:t>
                            </w:r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A53132">
                            <w:pPr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11518C" w:rsidRDefault="006D010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5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11518C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6D0101" w:rsidP="00A53132">
                            <w:pP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B6D25" w:rsidRPr="00805B46" w:rsidRDefault="006D0101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6D0101" w:rsidP="00A53132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B6D25" w:rsidRPr="00805B46" w:rsidRDefault="006D0101" w:rsidP="00AB6D25">
                            <w:pPr>
                              <w:pStyle w:val="Nagwek4"/>
                              <w:spacing w:before="195" w:after="195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9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7A3C6F" w:rsidRDefault="006D0101" w:rsidP="00AB6D25">
                            <w:pPr>
                              <w:pStyle w:val="Nagwek4"/>
                              <w:spacing w:before="195" w:after="195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7A3C6F" w:rsidRPr="007A3C6F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Wskaźnik ufności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29F7C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xx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WIc+7DB&#10;+pHEdziuAa0tHVp0vzjraQUq7n/uwEnO9GdLDVxM5/O4M8mYF+9nZLhTz+bUA1YQVMUDZ+NxHdKe&#10;Ra4Wr6jRjUoteGFy4EyjnTQ8rGHcnVM7Rb38LFZP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W1dxx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  <w:r w:rsidRPr="005520D8">
                        <w:rPr>
                          <w:rFonts w:ascii="Fira Sans" w:hAnsi="Fira Sans"/>
                          <w:b/>
                        </w:rPr>
                        <w:t>Powiązane</w:t>
                      </w:r>
                      <w:r>
                        <w:rPr>
                          <w:rFonts w:ascii="Fira Sans" w:hAnsi="Fira Sans"/>
                          <w:b/>
                        </w:rPr>
                        <w:t xml:space="preserve"> opracowania</w:t>
                      </w:r>
                    </w:p>
                    <w:p w:rsidR="00A53132" w:rsidRPr="004C7599" w:rsidRDefault="001557B1" w:rsidP="00A5313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BC512B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przetwórstwie przemysłowym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budownictwie, handlu i usługach 2000 – 201</w:t>
                        </w:r>
                      </w:hyperlink>
                      <w:r w:rsidR="00BC512B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9</w:t>
                      </w:r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A53132">
                      <w:pPr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  <w:bookmarkStart w:id="1" w:name="_GoBack"/>
                      <w:bookmarkEnd w:id="1"/>
                    </w:p>
                    <w:p w:rsidR="001951DA" w:rsidRPr="0011518C" w:rsidRDefault="001557B1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2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olsce</w:t>
                        </w:r>
                      </w:hyperlink>
                      <w:r w:rsidR="001951DA" w:rsidRPr="0011518C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1557B1" w:rsidP="00A53132">
                      <w:pPr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B6D25" w:rsidRPr="00805B46" w:rsidRDefault="001557B1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1557B1" w:rsidP="00A53132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B6D25" w:rsidRPr="00805B46" w:rsidRDefault="001557B1" w:rsidP="00AB6D25">
                      <w:pPr>
                        <w:pStyle w:val="Nagwek4"/>
                        <w:spacing w:before="195" w:after="195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46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7A3C6F" w:rsidRDefault="001557B1" w:rsidP="00AB6D25">
                      <w:pPr>
                        <w:pStyle w:val="Nagwek4"/>
                        <w:spacing w:before="195" w:after="195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7" w:history="1">
                        <w:r w:rsidR="007A3C6F" w:rsidRPr="007A3C6F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Wskaźnik ufności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101" w:rsidRDefault="006D0101" w:rsidP="000662E2">
      <w:pPr>
        <w:spacing w:after="0" w:line="240" w:lineRule="auto"/>
      </w:pPr>
      <w:r>
        <w:separator/>
      </w:r>
    </w:p>
  </w:endnote>
  <w:endnote w:type="continuationSeparator" w:id="0">
    <w:p w:rsidR="006D0101" w:rsidRDefault="006D010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E415ED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6D0101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101" w:rsidRDefault="006D0101" w:rsidP="000662E2">
      <w:pPr>
        <w:spacing w:after="0" w:line="240" w:lineRule="auto"/>
      </w:pPr>
      <w:r>
        <w:separator/>
      </w:r>
    </w:p>
  </w:footnote>
  <w:footnote w:type="continuationSeparator" w:id="0">
    <w:p w:rsidR="006D0101" w:rsidRDefault="006D0101" w:rsidP="000662E2">
      <w:pPr>
        <w:spacing w:after="0" w:line="240" w:lineRule="auto"/>
      </w:pPr>
      <w:r>
        <w:continuationSeparator/>
      </w:r>
    </w:p>
  </w:footnote>
  <w:footnote w:id="1">
    <w:p w:rsidR="0037077F" w:rsidRPr="0037077F" w:rsidRDefault="0037077F" w:rsidP="0037077F">
      <w:pPr>
        <w:pStyle w:val="Tekstprzypisudolnego"/>
        <w:rPr>
          <w:rFonts w:ascii="Fira Sans" w:hAnsi="Fira Sans"/>
          <w:sz w:val="14"/>
          <w:szCs w:val="14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r w:rsidRPr="000F3461">
        <w:rPr>
          <w:rFonts w:ascii="Fira Sans" w:hAnsi="Fira Sans"/>
          <w:sz w:val="14"/>
          <w:szCs w:val="14"/>
          <w:lang w:val="en-GB"/>
        </w:rPr>
        <w:t>Patrz</w:t>
      </w:r>
      <w:r w:rsidRPr="00001C5B">
        <w:rPr>
          <w:rFonts w:ascii="Fira Sans" w:hAnsi="Fira Sans"/>
          <w:sz w:val="14"/>
          <w:szCs w:val="14"/>
          <w:lang w:val="en-US"/>
        </w:rPr>
        <w:t xml:space="preserve"> </w:t>
      </w:r>
      <w:r w:rsidRPr="00783CA4">
        <w:rPr>
          <w:rFonts w:ascii="Fira Sans" w:hAnsi="Fira Sans"/>
          <w:sz w:val="14"/>
          <w:szCs w:val="14"/>
          <w:lang w:val="en-US"/>
        </w:rPr>
        <w:t>Business and Consumer Surveys</w:t>
      </w:r>
      <w:r w:rsidRPr="00001C5B">
        <w:rPr>
          <w:rFonts w:ascii="Fira Sans" w:hAnsi="Fira Sans"/>
          <w:sz w:val="14"/>
          <w:szCs w:val="14"/>
          <w:lang w:val="en-US"/>
        </w:rPr>
        <w:t xml:space="preserve">, </w:t>
      </w:r>
      <w:r w:rsidRPr="000F3461">
        <w:rPr>
          <w:rFonts w:ascii="Fira Sans" w:hAnsi="Fira Sans"/>
          <w:sz w:val="14"/>
          <w:szCs w:val="14"/>
          <w:lang w:val="en-GB"/>
        </w:rPr>
        <w:t>Komisja Europejska</w:t>
      </w:r>
      <w:r w:rsidRPr="00001C5B">
        <w:rPr>
          <w:rFonts w:ascii="Fira Sans" w:hAnsi="Fira Sans"/>
          <w:sz w:val="14"/>
          <w:szCs w:val="14"/>
          <w:lang w:val="en-US"/>
        </w:rPr>
        <w:t>, DG ECFIN</w:t>
      </w:r>
    </w:p>
    <w:p w:rsidR="0037077F" w:rsidRPr="0037077F" w:rsidRDefault="006D0101" w:rsidP="0037077F">
      <w:pPr>
        <w:pStyle w:val="Tekstprzypisudolnego"/>
        <w:rPr>
          <w:lang w:val="en-US"/>
        </w:rPr>
      </w:pPr>
      <w:hyperlink r:id="rId1" w:history="1">
        <w:r w:rsidR="0037077F" w:rsidRPr="0037077F">
          <w:rPr>
            <w:rStyle w:val="Hipercze"/>
            <w:rFonts w:ascii="Fira Sans" w:hAnsi="Fira Sans" w:cstheme="minorBidi"/>
            <w:sz w:val="14"/>
            <w:szCs w:val="14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5A11D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7561C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114E77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526B0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711297">
                            <w:rPr>
                              <w:rFonts w:ascii="Fira Sans SemiBold" w:hAnsi="Fira Sans SemiBold"/>
                              <w:color w:val="001D77"/>
                            </w:rPr>
                            <w:t>.02.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C97596" w:rsidRDefault="00526B0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711297">
                      <w:rPr>
                        <w:rFonts w:ascii="Fira Sans SemiBold" w:hAnsi="Fira Sans SemiBold"/>
                        <w:color w:val="001D77"/>
                      </w:rPr>
                      <w:t>.02.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C5B"/>
    <w:rsid w:val="00003437"/>
    <w:rsid w:val="00005CE7"/>
    <w:rsid w:val="0000709F"/>
    <w:rsid w:val="000108B8"/>
    <w:rsid w:val="00011C7D"/>
    <w:rsid w:val="000152F5"/>
    <w:rsid w:val="000259F3"/>
    <w:rsid w:val="00034B19"/>
    <w:rsid w:val="000366E9"/>
    <w:rsid w:val="0004582E"/>
    <w:rsid w:val="00051931"/>
    <w:rsid w:val="00057B5C"/>
    <w:rsid w:val="00057BCF"/>
    <w:rsid w:val="00057CA1"/>
    <w:rsid w:val="000662E2"/>
    <w:rsid w:val="00066883"/>
    <w:rsid w:val="00074600"/>
    <w:rsid w:val="00075359"/>
    <w:rsid w:val="00076C1A"/>
    <w:rsid w:val="000806F7"/>
    <w:rsid w:val="000834E9"/>
    <w:rsid w:val="00090DEE"/>
    <w:rsid w:val="0009359E"/>
    <w:rsid w:val="0009439B"/>
    <w:rsid w:val="00096BB4"/>
    <w:rsid w:val="000A0C17"/>
    <w:rsid w:val="000B0727"/>
    <w:rsid w:val="000B1421"/>
    <w:rsid w:val="000C135D"/>
    <w:rsid w:val="000C362F"/>
    <w:rsid w:val="000C411C"/>
    <w:rsid w:val="000D1D43"/>
    <w:rsid w:val="000D225C"/>
    <w:rsid w:val="000E0918"/>
    <w:rsid w:val="000E7ED0"/>
    <w:rsid w:val="000F3461"/>
    <w:rsid w:val="000F42CD"/>
    <w:rsid w:val="001005D5"/>
    <w:rsid w:val="001011C3"/>
    <w:rsid w:val="00101BB6"/>
    <w:rsid w:val="001027F5"/>
    <w:rsid w:val="00110D87"/>
    <w:rsid w:val="00110DEB"/>
    <w:rsid w:val="00112E06"/>
    <w:rsid w:val="00114DB9"/>
    <w:rsid w:val="00114E77"/>
    <w:rsid w:val="00114F89"/>
    <w:rsid w:val="0011518C"/>
    <w:rsid w:val="00116087"/>
    <w:rsid w:val="00123319"/>
    <w:rsid w:val="00130296"/>
    <w:rsid w:val="00134852"/>
    <w:rsid w:val="00134F39"/>
    <w:rsid w:val="001423B6"/>
    <w:rsid w:val="001448A7"/>
    <w:rsid w:val="00146621"/>
    <w:rsid w:val="001479AC"/>
    <w:rsid w:val="001523FD"/>
    <w:rsid w:val="001557B1"/>
    <w:rsid w:val="00162325"/>
    <w:rsid w:val="00171A1E"/>
    <w:rsid w:val="00172E2E"/>
    <w:rsid w:val="001762A6"/>
    <w:rsid w:val="0018029F"/>
    <w:rsid w:val="00186B0A"/>
    <w:rsid w:val="00187A01"/>
    <w:rsid w:val="00187EC6"/>
    <w:rsid w:val="00193BDE"/>
    <w:rsid w:val="001951DA"/>
    <w:rsid w:val="001A1B86"/>
    <w:rsid w:val="001A1D09"/>
    <w:rsid w:val="001A42E2"/>
    <w:rsid w:val="001B48F9"/>
    <w:rsid w:val="001B56B5"/>
    <w:rsid w:val="001B64F3"/>
    <w:rsid w:val="001C3269"/>
    <w:rsid w:val="001D1DB4"/>
    <w:rsid w:val="001D5205"/>
    <w:rsid w:val="001E155C"/>
    <w:rsid w:val="001E668B"/>
    <w:rsid w:val="001F0E57"/>
    <w:rsid w:val="002053BC"/>
    <w:rsid w:val="00205BC2"/>
    <w:rsid w:val="00207ED8"/>
    <w:rsid w:val="002112C0"/>
    <w:rsid w:val="002140F5"/>
    <w:rsid w:val="00216024"/>
    <w:rsid w:val="002213DC"/>
    <w:rsid w:val="00223D5A"/>
    <w:rsid w:val="002248CD"/>
    <w:rsid w:val="00224BF7"/>
    <w:rsid w:val="00224FBD"/>
    <w:rsid w:val="00236D7C"/>
    <w:rsid w:val="0023792A"/>
    <w:rsid w:val="002476AC"/>
    <w:rsid w:val="00252628"/>
    <w:rsid w:val="002574F9"/>
    <w:rsid w:val="00276811"/>
    <w:rsid w:val="00281218"/>
    <w:rsid w:val="00282699"/>
    <w:rsid w:val="0029253E"/>
    <w:rsid w:val="002926DF"/>
    <w:rsid w:val="002946A4"/>
    <w:rsid w:val="00296697"/>
    <w:rsid w:val="002B0472"/>
    <w:rsid w:val="002B1A65"/>
    <w:rsid w:val="002B5972"/>
    <w:rsid w:val="002B6B12"/>
    <w:rsid w:val="002C01DB"/>
    <w:rsid w:val="002C22D7"/>
    <w:rsid w:val="002C39DC"/>
    <w:rsid w:val="002C4FF0"/>
    <w:rsid w:val="002D3F81"/>
    <w:rsid w:val="002D5A7F"/>
    <w:rsid w:val="002E6140"/>
    <w:rsid w:val="002E6985"/>
    <w:rsid w:val="002E71B6"/>
    <w:rsid w:val="002F14FA"/>
    <w:rsid w:val="002F2B58"/>
    <w:rsid w:val="002F4D66"/>
    <w:rsid w:val="002F77C8"/>
    <w:rsid w:val="00301633"/>
    <w:rsid w:val="00303D35"/>
    <w:rsid w:val="00304F22"/>
    <w:rsid w:val="00306C7C"/>
    <w:rsid w:val="00310C8E"/>
    <w:rsid w:val="00311059"/>
    <w:rsid w:val="00321A79"/>
    <w:rsid w:val="00322D35"/>
    <w:rsid w:val="00322EDD"/>
    <w:rsid w:val="00323111"/>
    <w:rsid w:val="003239A4"/>
    <w:rsid w:val="00332320"/>
    <w:rsid w:val="00335366"/>
    <w:rsid w:val="003407E4"/>
    <w:rsid w:val="00346D76"/>
    <w:rsid w:val="0034734A"/>
    <w:rsid w:val="00347A0E"/>
    <w:rsid w:val="00347D72"/>
    <w:rsid w:val="00354A53"/>
    <w:rsid w:val="00357F62"/>
    <w:rsid w:val="00367237"/>
    <w:rsid w:val="0036763D"/>
    <w:rsid w:val="003703DC"/>
    <w:rsid w:val="0037077F"/>
    <w:rsid w:val="00371234"/>
    <w:rsid w:val="00373882"/>
    <w:rsid w:val="003904F8"/>
    <w:rsid w:val="00391BE8"/>
    <w:rsid w:val="003972AF"/>
    <w:rsid w:val="00397D18"/>
    <w:rsid w:val="003A0ABA"/>
    <w:rsid w:val="003A1B36"/>
    <w:rsid w:val="003A2905"/>
    <w:rsid w:val="003A2DFB"/>
    <w:rsid w:val="003A42AD"/>
    <w:rsid w:val="003A48C2"/>
    <w:rsid w:val="003A5036"/>
    <w:rsid w:val="003B1FED"/>
    <w:rsid w:val="003B5B72"/>
    <w:rsid w:val="003C4464"/>
    <w:rsid w:val="003C4528"/>
    <w:rsid w:val="003C59E0"/>
    <w:rsid w:val="003C6C8D"/>
    <w:rsid w:val="003D2F16"/>
    <w:rsid w:val="003D4F95"/>
    <w:rsid w:val="003D5EA6"/>
    <w:rsid w:val="003D5F42"/>
    <w:rsid w:val="003D60A9"/>
    <w:rsid w:val="003E1635"/>
    <w:rsid w:val="003E170B"/>
    <w:rsid w:val="003E781B"/>
    <w:rsid w:val="003F4C97"/>
    <w:rsid w:val="003F7FE6"/>
    <w:rsid w:val="004002B7"/>
    <w:rsid w:val="00403C6B"/>
    <w:rsid w:val="004040CC"/>
    <w:rsid w:val="0040435C"/>
    <w:rsid w:val="004118D1"/>
    <w:rsid w:val="004159FA"/>
    <w:rsid w:val="004232C1"/>
    <w:rsid w:val="00423D86"/>
    <w:rsid w:val="0042406F"/>
    <w:rsid w:val="0042446D"/>
    <w:rsid w:val="00427BF8"/>
    <w:rsid w:val="00431C02"/>
    <w:rsid w:val="00432D84"/>
    <w:rsid w:val="00432E3F"/>
    <w:rsid w:val="004366B1"/>
    <w:rsid w:val="00437395"/>
    <w:rsid w:val="00445047"/>
    <w:rsid w:val="00445683"/>
    <w:rsid w:val="0044644A"/>
    <w:rsid w:val="00454346"/>
    <w:rsid w:val="004546ED"/>
    <w:rsid w:val="00454A5C"/>
    <w:rsid w:val="00463E39"/>
    <w:rsid w:val="004657FC"/>
    <w:rsid w:val="004662CE"/>
    <w:rsid w:val="00470A70"/>
    <w:rsid w:val="004733F6"/>
    <w:rsid w:val="00473463"/>
    <w:rsid w:val="00474E69"/>
    <w:rsid w:val="00482BBE"/>
    <w:rsid w:val="00482FAD"/>
    <w:rsid w:val="004853D3"/>
    <w:rsid w:val="0049621B"/>
    <w:rsid w:val="004A569A"/>
    <w:rsid w:val="004B059E"/>
    <w:rsid w:val="004B0752"/>
    <w:rsid w:val="004B1FEA"/>
    <w:rsid w:val="004B7384"/>
    <w:rsid w:val="004C0E8B"/>
    <w:rsid w:val="004C1895"/>
    <w:rsid w:val="004C21B2"/>
    <w:rsid w:val="004C6D40"/>
    <w:rsid w:val="004C7599"/>
    <w:rsid w:val="004D211A"/>
    <w:rsid w:val="004D30A4"/>
    <w:rsid w:val="004D4BCB"/>
    <w:rsid w:val="004E070B"/>
    <w:rsid w:val="004E6AB5"/>
    <w:rsid w:val="004F096D"/>
    <w:rsid w:val="004F0C3C"/>
    <w:rsid w:val="004F2AEE"/>
    <w:rsid w:val="004F4B2E"/>
    <w:rsid w:val="004F63FC"/>
    <w:rsid w:val="0050144E"/>
    <w:rsid w:val="0050225F"/>
    <w:rsid w:val="00505A92"/>
    <w:rsid w:val="005203F1"/>
    <w:rsid w:val="00521BC3"/>
    <w:rsid w:val="00526B0F"/>
    <w:rsid w:val="00530B2D"/>
    <w:rsid w:val="00532B4D"/>
    <w:rsid w:val="0054251F"/>
    <w:rsid w:val="005462FF"/>
    <w:rsid w:val="005520D8"/>
    <w:rsid w:val="00556CF1"/>
    <w:rsid w:val="00560493"/>
    <w:rsid w:val="005762A7"/>
    <w:rsid w:val="0057767A"/>
    <w:rsid w:val="00582408"/>
    <w:rsid w:val="005828BF"/>
    <w:rsid w:val="0058585A"/>
    <w:rsid w:val="005916D7"/>
    <w:rsid w:val="005A698C"/>
    <w:rsid w:val="005B11DA"/>
    <w:rsid w:val="005B44E2"/>
    <w:rsid w:val="005B5280"/>
    <w:rsid w:val="005C4F00"/>
    <w:rsid w:val="005E0799"/>
    <w:rsid w:val="005E14A3"/>
    <w:rsid w:val="005E2CB6"/>
    <w:rsid w:val="005E4ABD"/>
    <w:rsid w:val="005E5E39"/>
    <w:rsid w:val="005F0DD0"/>
    <w:rsid w:val="005F5A80"/>
    <w:rsid w:val="005F6DFA"/>
    <w:rsid w:val="00601033"/>
    <w:rsid w:val="006044FF"/>
    <w:rsid w:val="00605F33"/>
    <w:rsid w:val="00606660"/>
    <w:rsid w:val="00607CC5"/>
    <w:rsid w:val="00611E75"/>
    <w:rsid w:val="006140C6"/>
    <w:rsid w:val="00617632"/>
    <w:rsid w:val="006218D3"/>
    <w:rsid w:val="00632056"/>
    <w:rsid w:val="00633014"/>
    <w:rsid w:val="0063437B"/>
    <w:rsid w:val="0063792B"/>
    <w:rsid w:val="00640F41"/>
    <w:rsid w:val="006467C3"/>
    <w:rsid w:val="00652FE9"/>
    <w:rsid w:val="0065356C"/>
    <w:rsid w:val="00655B16"/>
    <w:rsid w:val="00661D83"/>
    <w:rsid w:val="006650CE"/>
    <w:rsid w:val="006667DB"/>
    <w:rsid w:val="00666FE6"/>
    <w:rsid w:val="006673CA"/>
    <w:rsid w:val="00667C4F"/>
    <w:rsid w:val="00676B47"/>
    <w:rsid w:val="00683277"/>
    <w:rsid w:val="006932A5"/>
    <w:rsid w:val="00694612"/>
    <w:rsid w:val="00695688"/>
    <w:rsid w:val="00695D66"/>
    <w:rsid w:val="006A41E2"/>
    <w:rsid w:val="006B05FA"/>
    <w:rsid w:val="006B0E9E"/>
    <w:rsid w:val="006B3239"/>
    <w:rsid w:val="006B3857"/>
    <w:rsid w:val="006B5AE4"/>
    <w:rsid w:val="006D0101"/>
    <w:rsid w:val="006D4054"/>
    <w:rsid w:val="006D4318"/>
    <w:rsid w:val="006D6347"/>
    <w:rsid w:val="006E02EC"/>
    <w:rsid w:val="006E4BB4"/>
    <w:rsid w:val="006F57E5"/>
    <w:rsid w:val="00702737"/>
    <w:rsid w:val="00711297"/>
    <w:rsid w:val="00711571"/>
    <w:rsid w:val="007205CE"/>
    <w:rsid w:val="007211B1"/>
    <w:rsid w:val="00730184"/>
    <w:rsid w:val="00732809"/>
    <w:rsid w:val="0073602C"/>
    <w:rsid w:val="00737ADD"/>
    <w:rsid w:val="00746187"/>
    <w:rsid w:val="00752B07"/>
    <w:rsid w:val="00754106"/>
    <w:rsid w:val="00754C63"/>
    <w:rsid w:val="007623ED"/>
    <w:rsid w:val="00762403"/>
    <w:rsid w:val="0076254F"/>
    <w:rsid w:val="007700E4"/>
    <w:rsid w:val="0077196D"/>
    <w:rsid w:val="00774C6B"/>
    <w:rsid w:val="007801F5"/>
    <w:rsid w:val="00783CA4"/>
    <w:rsid w:val="007842FB"/>
    <w:rsid w:val="00786124"/>
    <w:rsid w:val="00792ACE"/>
    <w:rsid w:val="0079514B"/>
    <w:rsid w:val="007A2DC1"/>
    <w:rsid w:val="007A3C6F"/>
    <w:rsid w:val="007A7C0E"/>
    <w:rsid w:val="007B5805"/>
    <w:rsid w:val="007B7014"/>
    <w:rsid w:val="007D3319"/>
    <w:rsid w:val="007D335D"/>
    <w:rsid w:val="007D5ACA"/>
    <w:rsid w:val="007E3301"/>
    <w:rsid w:val="007E3314"/>
    <w:rsid w:val="007E4B03"/>
    <w:rsid w:val="007F324B"/>
    <w:rsid w:val="007F5697"/>
    <w:rsid w:val="00804892"/>
    <w:rsid w:val="0080553C"/>
    <w:rsid w:val="00805B46"/>
    <w:rsid w:val="0081118B"/>
    <w:rsid w:val="00825DC2"/>
    <w:rsid w:val="008278E4"/>
    <w:rsid w:val="00827A31"/>
    <w:rsid w:val="00834AD3"/>
    <w:rsid w:val="0083594E"/>
    <w:rsid w:val="00835F27"/>
    <w:rsid w:val="00843795"/>
    <w:rsid w:val="008468C4"/>
    <w:rsid w:val="00846BFF"/>
    <w:rsid w:val="00847F0F"/>
    <w:rsid w:val="0085032D"/>
    <w:rsid w:val="00852448"/>
    <w:rsid w:val="00854334"/>
    <w:rsid w:val="008672E8"/>
    <w:rsid w:val="0087165C"/>
    <w:rsid w:val="00872B57"/>
    <w:rsid w:val="00875D1F"/>
    <w:rsid w:val="00880870"/>
    <w:rsid w:val="0088188F"/>
    <w:rsid w:val="0088258A"/>
    <w:rsid w:val="00883AA9"/>
    <w:rsid w:val="00884717"/>
    <w:rsid w:val="00886332"/>
    <w:rsid w:val="00886696"/>
    <w:rsid w:val="008A26D9"/>
    <w:rsid w:val="008B1EC9"/>
    <w:rsid w:val="008B6C73"/>
    <w:rsid w:val="008C0242"/>
    <w:rsid w:val="008D361F"/>
    <w:rsid w:val="008E0426"/>
    <w:rsid w:val="008E3158"/>
    <w:rsid w:val="008E3FD2"/>
    <w:rsid w:val="008E6509"/>
    <w:rsid w:val="008E6D40"/>
    <w:rsid w:val="008E7B86"/>
    <w:rsid w:val="008F3638"/>
    <w:rsid w:val="008F423C"/>
    <w:rsid w:val="008F6CB7"/>
    <w:rsid w:val="008F6F31"/>
    <w:rsid w:val="008F74DF"/>
    <w:rsid w:val="00903EC3"/>
    <w:rsid w:val="00910C4C"/>
    <w:rsid w:val="009127BA"/>
    <w:rsid w:val="0091509B"/>
    <w:rsid w:val="00920B7D"/>
    <w:rsid w:val="009227A6"/>
    <w:rsid w:val="009269E1"/>
    <w:rsid w:val="0092753D"/>
    <w:rsid w:val="00933EC1"/>
    <w:rsid w:val="0094021A"/>
    <w:rsid w:val="00941C5E"/>
    <w:rsid w:val="00943F43"/>
    <w:rsid w:val="009530DB"/>
    <w:rsid w:val="00953676"/>
    <w:rsid w:val="00961A8B"/>
    <w:rsid w:val="009647C9"/>
    <w:rsid w:val="00964B83"/>
    <w:rsid w:val="00967F99"/>
    <w:rsid w:val="009705EE"/>
    <w:rsid w:val="00977927"/>
    <w:rsid w:val="0098135C"/>
    <w:rsid w:val="0098156A"/>
    <w:rsid w:val="0098537F"/>
    <w:rsid w:val="00985CAD"/>
    <w:rsid w:val="00996693"/>
    <w:rsid w:val="009A24B0"/>
    <w:rsid w:val="009A40B0"/>
    <w:rsid w:val="009B068E"/>
    <w:rsid w:val="009B4CC8"/>
    <w:rsid w:val="009C0165"/>
    <w:rsid w:val="009C1335"/>
    <w:rsid w:val="009C1AB2"/>
    <w:rsid w:val="009C22CC"/>
    <w:rsid w:val="009C5DCB"/>
    <w:rsid w:val="009C7251"/>
    <w:rsid w:val="009D0E86"/>
    <w:rsid w:val="009D48BF"/>
    <w:rsid w:val="009E1846"/>
    <w:rsid w:val="009E1D0F"/>
    <w:rsid w:val="009E2E91"/>
    <w:rsid w:val="009F7BAC"/>
    <w:rsid w:val="00A0402E"/>
    <w:rsid w:val="00A051F6"/>
    <w:rsid w:val="00A06BD8"/>
    <w:rsid w:val="00A139F5"/>
    <w:rsid w:val="00A13D15"/>
    <w:rsid w:val="00A24EE1"/>
    <w:rsid w:val="00A25E14"/>
    <w:rsid w:val="00A321E4"/>
    <w:rsid w:val="00A33F4A"/>
    <w:rsid w:val="00A365F4"/>
    <w:rsid w:val="00A36BA6"/>
    <w:rsid w:val="00A4019F"/>
    <w:rsid w:val="00A44AB4"/>
    <w:rsid w:val="00A47D80"/>
    <w:rsid w:val="00A521CD"/>
    <w:rsid w:val="00A53132"/>
    <w:rsid w:val="00A563F2"/>
    <w:rsid w:val="00A566E8"/>
    <w:rsid w:val="00A57A69"/>
    <w:rsid w:val="00A62657"/>
    <w:rsid w:val="00A66A57"/>
    <w:rsid w:val="00A66C2E"/>
    <w:rsid w:val="00A66EAC"/>
    <w:rsid w:val="00A70B9B"/>
    <w:rsid w:val="00A72F76"/>
    <w:rsid w:val="00A73ABE"/>
    <w:rsid w:val="00A74B25"/>
    <w:rsid w:val="00A758C8"/>
    <w:rsid w:val="00A852B4"/>
    <w:rsid w:val="00A86ECC"/>
    <w:rsid w:val="00A86FCC"/>
    <w:rsid w:val="00A96559"/>
    <w:rsid w:val="00AA6722"/>
    <w:rsid w:val="00AA710D"/>
    <w:rsid w:val="00AB5850"/>
    <w:rsid w:val="00AB6D25"/>
    <w:rsid w:val="00AC2BAC"/>
    <w:rsid w:val="00AC3527"/>
    <w:rsid w:val="00AC7777"/>
    <w:rsid w:val="00AD699B"/>
    <w:rsid w:val="00AE14B1"/>
    <w:rsid w:val="00AE269F"/>
    <w:rsid w:val="00AE2D4B"/>
    <w:rsid w:val="00AE4F99"/>
    <w:rsid w:val="00AE62E6"/>
    <w:rsid w:val="00AF2781"/>
    <w:rsid w:val="00AF4F89"/>
    <w:rsid w:val="00B14952"/>
    <w:rsid w:val="00B23D69"/>
    <w:rsid w:val="00B24A8B"/>
    <w:rsid w:val="00B25B97"/>
    <w:rsid w:val="00B31E5A"/>
    <w:rsid w:val="00B36FEF"/>
    <w:rsid w:val="00B41A2C"/>
    <w:rsid w:val="00B44F0A"/>
    <w:rsid w:val="00B50344"/>
    <w:rsid w:val="00B511F2"/>
    <w:rsid w:val="00B51E9F"/>
    <w:rsid w:val="00B560E4"/>
    <w:rsid w:val="00B56BFB"/>
    <w:rsid w:val="00B60A9B"/>
    <w:rsid w:val="00B60C8B"/>
    <w:rsid w:val="00B60CAA"/>
    <w:rsid w:val="00B60EB4"/>
    <w:rsid w:val="00B653AB"/>
    <w:rsid w:val="00B653BB"/>
    <w:rsid w:val="00B65F9E"/>
    <w:rsid w:val="00B66B19"/>
    <w:rsid w:val="00B7359B"/>
    <w:rsid w:val="00B86633"/>
    <w:rsid w:val="00B8712B"/>
    <w:rsid w:val="00B914E9"/>
    <w:rsid w:val="00B956EE"/>
    <w:rsid w:val="00BA0245"/>
    <w:rsid w:val="00BA2BA1"/>
    <w:rsid w:val="00BB127F"/>
    <w:rsid w:val="00BC512B"/>
    <w:rsid w:val="00BD4E33"/>
    <w:rsid w:val="00BE0358"/>
    <w:rsid w:val="00BE6E57"/>
    <w:rsid w:val="00BF1A32"/>
    <w:rsid w:val="00BF21DD"/>
    <w:rsid w:val="00C030DE"/>
    <w:rsid w:val="00C17BB9"/>
    <w:rsid w:val="00C22105"/>
    <w:rsid w:val="00C22830"/>
    <w:rsid w:val="00C244B6"/>
    <w:rsid w:val="00C2702E"/>
    <w:rsid w:val="00C3244F"/>
    <w:rsid w:val="00C3598D"/>
    <w:rsid w:val="00C41277"/>
    <w:rsid w:val="00C4751D"/>
    <w:rsid w:val="00C537C3"/>
    <w:rsid w:val="00C548B8"/>
    <w:rsid w:val="00C64A37"/>
    <w:rsid w:val="00C6574D"/>
    <w:rsid w:val="00C7158E"/>
    <w:rsid w:val="00C7250B"/>
    <w:rsid w:val="00C7346B"/>
    <w:rsid w:val="00C75437"/>
    <w:rsid w:val="00C75940"/>
    <w:rsid w:val="00C77C0E"/>
    <w:rsid w:val="00C91687"/>
    <w:rsid w:val="00C924A8"/>
    <w:rsid w:val="00C93EB3"/>
    <w:rsid w:val="00C945FE"/>
    <w:rsid w:val="00C96FAA"/>
    <w:rsid w:val="00C97A04"/>
    <w:rsid w:val="00CA107B"/>
    <w:rsid w:val="00CA484D"/>
    <w:rsid w:val="00CB61AE"/>
    <w:rsid w:val="00CB77D4"/>
    <w:rsid w:val="00CB7B94"/>
    <w:rsid w:val="00CC4F14"/>
    <w:rsid w:val="00CC739E"/>
    <w:rsid w:val="00CD58B7"/>
    <w:rsid w:val="00CE06F1"/>
    <w:rsid w:val="00CF0700"/>
    <w:rsid w:val="00CF4099"/>
    <w:rsid w:val="00D05C62"/>
    <w:rsid w:val="00D07944"/>
    <w:rsid w:val="00D144D4"/>
    <w:rsid w:val="00D23A75"/>
    <w:rsid w:val="00D261A2"/>
    <w:rsid w:val="00D32E28"/>
    <w:rsid w:val="00D33ADF"/>
    <w:rsid w:val="00D4076C"/>
    <w:rsid w:val="00D41C37"/>
    <w:rsid w:val="00D424E9"/>
    <w:rsid w:val="00D475CA"/>
    <w:rsid w:val="00D50F65"/>
    <w:rsid w:val="00D608CF"/>
    <w:rsid w:val="00D616D2"/>
    <w:rsid w:val="00D635A9"/>
    <w:rsid w:val="00D63B5F"/>
    <w:rsid w:val="00D64C6A"/>
    <w:rsid w:val="00D7099F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94EED"/>
    <w:rsid w:val="00D96026"/>
    <w:rsid w:val="00DA0110"/>
    <w:rsid w:val="00DA0179"/>
    <w:rsid w:val="00DA42BA"/>
    <w:rsid w:val="00DA70D1"/>
    <w:rsid w:val="00DB147A"/>
    <w:rsid w:val="00DB1B7A"/>
    <w:rsid w:val="00DC10F1"/>
    <w:rsid w:val="00DC25CD"/>
    <w:rsid w:val="00DC58EC"/>
    <w:rsid w:val="00DC6708"/>
    <w:rsid w:val="00DD4D9D"/>
    <w:rsid w:val="00DD54A4"/>
    <w:rsid w:val="00DD6C42"/>
    <w:rsid w:val="00DE0352"/>
    <w:rsid w:val="00DE2DE3"/>
    <w:rsid w:val="00DE6052"/>
    <w:rsid w:val="00DF3B68"/>
    <w:rsid w:val="00E00298"/>
    <w:rsid w:val="00E01436"/>
    <w:rsid w:val="00E045BD"/>
    <w:rsid w:val="00E0664E"/>
    <w:rsid w:val="00E06DD1"/>
    <w:rsid w:val="00E16D71"/>
    <w:rsid w:val="00E17B77"/>
    <w:rsid w:val="00E21369"/>
    <w:rsid w:val="00E30AAF"/>
    <w:rsid w:val="00E31714"/>
    <w:rsid w:val="00E318F3"/>
    <w:rsid w:val="00E32061"/>
    <w:rsid w:val="00E36AD5"/>
    <w:rsid w:val="00E415ED"/>
    <w:rsid w:val="00E42FF9"/>
    <w:rsid w:val="00E454B8"/>
    <w:rsid w:val="00E4714C"/>
    <w:rsid w:val="00E5190C"/>
    <w:rsid w:val="00E51AEB"/>
    <w:rsid w:val="00E522A7"/>
    <w:rsid w:val="00E54452"/>
    <w:rsid w:val="00E664C5"/>
    <w:rsid w:val="00E671A2"/>
    <w:rsid w:val="00E7165D"/>
    <w:rsid w:val="00E7180B"/>
    <w:rsid w:val="00E74B3C"/>
    <w:rsid w:val="00E76D26"/>
    <w:rsid w:val="00E77CC5"/>
    <w:rsid w:val="00EA0278"/>
    <w:rsid w:val="00EA1D9A"/>
    <w:rsid w:val="00EA45BA"/>
    <w:rsid w:val="00EB1390"/>
    <w:rsid w:val="00EB2C71"/>
    <w:rsid w:val="00EB4340"/>
    <w:rsid w:val="00EC41F8"/>
    <w:rsid w:val="00EC5695"/>
    <w:rsid w:val="00ED0A2A"/>
    <w:rsid w:val="00ED55C0"/>
    <w:rsid w:val="00ED682B"/>
    <w:rsid w:val="00ED6FDF"/>
    <w:rsid w:val="00ED7F3A"/>
    <w:rsid w:val="00EE096A"/>
    <w:rsid w:val="00EE0F10"/>
    <w:rsid w:val="00EE4180"/>
    <w:rsid w:val="00EE41D5"/>
    <w:rsid w:val="00F037A4"/>
    <w:rsid w:val="00F0474B"/>
    <w:rsid w:val="00F070E2"/>
    <w:rsid w:val="00F07A6E"/>
    <w:rsid w:val="00F10EB2"/>
    <w:rsid w:val="00F27C8F"/>
    <w:rsid w:val="00F32749"/>
    <w:rsid w:val="00F37172"/>
    <w:rsid w:val="00F37483"/>
    <w:rsid w:val="00F37D5F"/>
    <w:rsid w:val="00F4061B"/>
    <w:rsid w:val="00F4477E"/>
    <w:rsid w:val="00F67D8F"/>
    <w:rsid w:val="00F70A4C"/>
    <w:rsid w:val="00F71749"/>
    <w:rsid w:val="00F86024"/>
    <w:rsid w:val="00F8611A"/>
    <w:rsid w:val="00F86708"/>
    <w:rsid w:val="00F8700B"/>
    <w:rsid w:val="00F94BC4"/>
    <w:rsid w:val="00FA05E8"/>
    <w:rsid w:val="00FA2604"/>
    <w:rsid w:val="00FA3557"/>
    <w:rsid w:val="00FA5128"/>
    <w:rsid w:val="00FA733A"/>
    <w:rsid w:val="00FB42D4"/>
    <w:rsid w:val="00FB5906"/>
    <w:rsid w:val="00FB762F"/>
    <w:rsid w:val="00FC2AED"/>
    <w:rsid w:val="00FC4A0F"/>
    <w:rsid w:val="00FD0C73"/>
    <w:rsid w:val="00FD36B3"/>
    <w:rsid w:val="00FD3DD3"/>
    <w:rsid w:val="00FD4C00"/>
    <w:rsid w:val="00FD52C7"/>
    <w:rsid w:val="00FE1393"/>
    <w:rsid w:val="00FE2B04"/>
    <w:rsid w:val="00FE489B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yperlink" Target="mailto:o.gaca@stat.gov.pl" TargetMode="External"/><Relationship Id="rId39" Type="http://schemas.openxmlformats.org/officeDocument/2006/relationships/hyperlink" Target="http://stat.gov.pl/metainformacje/slownik-pojec/pojecia-stosowane-w-statystyce-publicznej/2076,pojecie.html" TargetMode="External"/><Relationship Id="rId21" Type="http://schemas.openxmlformats.org/officeDocument/2006/relationships/image" Target="media/image15.emf"/><Relationship Id="rId34" Type="http://schemas.openxmlformats.org/officeDocument/2006/relationships/hyperlink" Target="http://stat.gov.pl/obszary-tematyczne/koniunktura/koniunktura/publikacja,4.html" TargetMode="External"/><Relationship Id="rId42" Type="http://schemas.openxmlformats.org/officeDocument/2006/relationships/hyperlink" Target="http://stat.gov.pl/infografiki-widzety/infografiki/publikacja,38.html" TargetMode="External"/><Relationship Id="rId47" Type="http://schemas.openxmlformats.org/officeDocument/2006/relationships/hyperlink" Target="http://stat.gov.pl/metainformacje/slownik-pojec/pojecia-stosowane-w-statystyce-publicznej/3977,pojecie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17.png"/><Relationship Id="rId11" Type="http://schemas.openxmlformats.org/officeDocument/2006/relationships/image" Target="media/image5.emf"/><Relationship Id="rId24" Type="http://schemas.openxmlformats.org/officeDocument/2006/relationships/header" Target="header2.xml"/><Relationship Id="rId32" Type="http://schemas.openxmlformats.org/officeDocument/2006/relationships/image" Target="media/image20.png"/><Relationship Id="rId37" Type="http://schemas.openxmlformats.org/officeDocument/2006/relationships/hyperlink" Target="http://swaid.stat.gov.pl/SitePagesDBW/KoniunkturaGospodarcza.aspx" TargetMode="External"/><Relationship Id="rId40" Type="http://schemas.openxmlformats.org/officeDocument/2006/relationships/hyperlink" Target="http://stat.gov.pl/metainformacje/slownik-pojec/pojecia-stosowane-w-statystyce-publicznej/3977,pojecie.html" TargetMode="External"/><Relationship Id="rId45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://stat.gov.pl/obszary-tematyczne/koniunktura/koniunktura/badanie-koniunktury-gospodarczej-zeszyt-metodologiczny,5,9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19.png"/><Relationship Id="rId44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image" Target="media/image8.emf"/><Relationship Id="rId22" Type="http://schemas.openxmlformats.org/officeDocument/2006/relationships/header" Target="header1.xml"/><Relationship Id="rId27" Type="http://schemas.openxmlformats.org/officeDocument/2006/relationships/hyperlink" Target="mailto:rzecznik@stat.gov.pl" TargetMode="External"/><Relationship Id="rId30" Type="http://schemas.openxmlformats.org/officeDocument/2006/relationships/image" Target="media/image18.png"/><Relationship Id="rId35" Type="http://schemas.openxmlformats.org/officeDocument/2006/relationships/hyperlink" Target="http://stat.gov.pl/infografiki-widzety/infografiki/publikacja,38.html" TargetMode="External"/><Relationship Id="rId43" Type="http://schemas.openxmlformats.org/officeDocument/2006/relationships/hyperlink" Target="http://stat.gov.pl/obszary-tematyczne/koniunktura/koniunktura/badanie-koniunktury-gospodarczej-zeszyt-metodologiczny,5,9.html" TargetMode="External"/><Relationship Id="rId48" Type="http://schemas.openxmlformats.org/officeDocument/2006/relationships/header" Target="header3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oter" Target="footer2.xml"/><Relationship Id="rId33" Type="http://schemas.openxmlformats.org/officeDocument/2006/relationships/image" Target="media/image21.png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4.emf"/><Relationship Id="rId41" Type="http://schemas.openxmlformats.org/officeDocument/2006/relationships/hyperlink" Target="http://stat.gov.pl/obszary-tematyczne/koniunktura/koniunktura/publikacja,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5ED2-9CFA-40B6-9AD3-88565CE8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Żołynia Marcin</cp:lastModifiedBy>
  <cp:revision>2</cp:revision>
  <cp:lastPrinted>2019-02-20T09:25:00Z</cp:lastPrinted>
  <dcterms:created xsi:type="dcterms:W3CDTF">2019-02-22T08:37:00Z</dcterms:created>
  <dcterms:modified xsi:type="dcterms:W3CDTF">2019-02-22T08:37:00Z</dcterms:modified>
</cp:coreProperties>
</file>