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drawings/drawing20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drawings/drawing21.xml" ContentType="application/vnd.openxmlformats-officedocument.drawingml.chartshap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9C" w:rsidRPr="00F377FA" w:rsidRDefault="00764D9C" w:rsidP="00764D9C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shd w:val="clear" w:color="auto" w:fill="FFFFFF"/>
          <w:lang w:eastAsia="pl-PL"/>
        </w:rPr>
      </w:pPr>
      <w:bookmarkStart w:id="0" w:name="_GoBack"/>
      <w:bookmarkEnd w:id="0"/>
      <w:r w:rsidRPr="00F377FA">
        <w:rPr>
          <w:shd w:val="clear" w:color="auto" w:fill="FFFFFF"/>
        </w:rPr>
        <w:t>Sytuacja gospodarstw domowych w 2018 r. w świetle wyników badania budżetów gospodarstw domowych</w:t>
      </w:r>
      <w:r w:rsidRPr="00F377FA">
        <w:rPr>
          <w:rFonts w:ascii="Fira Sans" w:hAnsi="Fira Sans"/>
          <w:b/>
          <w:noProof/>
          <w:color w:val="212492"/>
          <w:spacing w:val="-2"/>
          <w:sz w:val="19"/>
          <w:szCs w:val="19"/>
          <w:shd w:val="clear" w:color="auto" w:fill="FFFFFF"/>
          <w:lang w:eastAsia="pl-PL"/>
        </w:rPr>
        <w:t xml:space="preserve"> </w:t>
      </w:r>
    </w:p>
    <w:p w:rsidR="00764D9C" w:rsidRPr="00F377FA" w:rsidRDefault="00173D6C" w:rsidP="00764D9C">
      <w:pPr>
        <w:pStyle w:val="tytuinformacji"/>
        <w:rPr>
          <w:i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10719784" wp14:editId="70CE6A22">
                <wp:simplePos x="0" y="0"/>
                <wp:positionH relativeFrom="column">
                  <wp:posOffset>5219700</wp:posOffset>
                </wp:positionH>
                <wp:positionV relativeFrom="paragraph">
                  <wp:posOffset>331470</wp:posOffset>
                </wp:positionV>
                <wp:extent cx="1725295" cy="1209675"/>
                <wp:effectExtent l="0" t="0" r="0" b="0"/>
                <wp:wrapTight wrapText="bothSides">
                  <wp:wrapPolygon edited="0">
                    <wp:start x="715" y="0"/>
                    <wp:lineTo x="715" y="21090"/>
                    <wp:lineTo x="20749" y="21090"/>
                    <wp:lineTo x="20749" y="0"/>
                    <wp:lineTo x="715" y="0"/>
                  </wp:wrapPolygon>
                </wp:wrapTight>
                <wp:docPr id="227" name="Pole tekstow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2D4EF9" w:rsidRDefault="001F4E44" w:rsidP="00764D9C">
                            <w:pPr>
                              <w:pStyle w:val="tekstzboku"/>
                            </w:pPr>
                            <w:r>
                              <w:t>W 2018 r. p</w:t>
                            </w:r>
                            <w:r w:rsidRPr="002D4EF9">
                              <w:t>opraw</w:t>
                            </w:r>
                            <w:r>
                              <w:t>iła</w:t>
                            </w:r>
                            <w:r w:rsidRPr="002D4EF9">
                              <w:t xml:space="preserve"> </w:t>
                            </w:r>
                            <w:r>
                              <w:t>się sytuacja</w:t>
                            </w:r>
                            <w:r w:rsidRPr="002D4EF9">
                              <w:t xml:space="preserve"> </w:t>
                            </w:r>
                            <w:r>
                              <w:t xml:space="preserve">dochodowa </w:t>
                            </w:r>
                            <w:r w:rsidRPr="002D4EF9">
                              <w:t>gospodarstw domo</w:t>
                            </w:r>
                            <w:r>
                              <w:t>wych, chociaż skala zmiany była mniejsza niż w roku poprzednim</w:t>
                            </w:r>
                            <w:r w:rsidR="003849E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19784" id="_x0000_t202" coordsize="21600,21600" o:spt="202" path="m,l,21600r21600,l21600,xe">
                <v:stroke joinstyle="miter"/>
                <v:path gradientshapeok="t" o:connecttype="rect"/>
              </v:shapetype>
              <v:shape id="Pole tekstowe 227" o:spid="_x0000_s1026" type="#_x0000_t202" style="position:absolute;margin-left:411pt;margin-top:26.1pt;width:135.85pt;height:95.2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" filled="f" stroked="f">
                <v:textbox>
                  <w:txbxContent>
                    <w:p w:rsidR="001F4E44" w:rsidRPr="002D4EF9" w:rsidRDefault="001F4E44" w:rsidP="00764D9C">
                      <w:pPr>
                        <w:pStyle w:val="tekstzboku"/>
                      </w:pPr>
                      <w:r>
                        <w:t>W 2018 r. p</w:t>
                      </w:r>
                      <w:r w:rsidRPr="002D4EF9">
                        <w:t>opraw</w:t>
                      </w:r>
                      <w:r>
                        <w:t>iła</w:t>
                      </w:r>
                      <w:r w:rsidRPr="002D4EF9">
                        <w:t xml:space="preserve"> </w:t>
                      </w:r>
                      <w:r>
                        <w:t>się sytuacja</w:t>
                      </w:r>
                      <w:r w:rsidRPr="002D4EF9">
                        <w:t xml:space="preserve"> </w:t>
                      </w:r>
                      <w:r>
                        <w:t xml:space="preserve">dochodowa </w:t>
                      </w:r>
                      <w:r w:rsidRPr="002D4EF9">
                        <w:t>gospodarstw domo</w:t>
                      </w:r>
                      <w:r>
                        <w:t>wych, chociaż skala zmiany była mniejsza niż w roku poprzednim</w:t>
                      </w:r>
                      <w:r w:rsidR="003849E2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64D9C" w:rsidRPr="00422A69" w:rsidRDefault="00A219FA" w:rsidP="00764D9C">
      <w:pPr>
        <w:pStyle w:val="LID"/>
        <w:rPr>
          <w:b w:val="0"/>
          <w:spacing w:val="-2"/>
        </w:rPr>
      </w:pPr>
      <w:r w:rsidRPr="00422A69">
        <w:rPr>
          <w:spacing w:val="-2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36B5409" wp14:editId="0783BA42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470660"/>
                <wp:effectExtent l="0" t="0" r="0" b="0"/>
                <wp:wrapSquare wrapText="bothSides"/>
                <wp:docPr id="226" name="Pole tekstow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706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2D4EF9" w:rsidRDefault="001F4E44" w:rsidP="00764D9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i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D576010" wp14:editId="1C0D33F6">
                                  <wp:extent cx="342900" cy="342900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0A48">
                              <w:rPr>
                                <w:i/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2D4EF9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  <w:t>4,3%</w:t>
                            </w:r>
                          </w:p>
                          <w:p w:rsidR="001F4E44" w:rsidRPr="002D4EF9" w:rsidRDefault="001F4E44" w:rsidP="00764D9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2D4EF9">
                              <w:t>Realny wzrost przeciętnego miesięcznego dochodu rozporządzalnego na osobę w</w:t>
                            </w:r>
                            <w:r>
                              <w:t>  gospodarstwach domowych w 2018</w:t>
                            </w:r>
                            <w:r w:rsidRPr="002D4EF9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5409" id="Pole tekstowe 226" o:spid="_x0000_s1027" type="#_x0000_t202" style="position:absolute;margin-left:0;margin-top:6.55pt;width:2in;height:115.8pt;z-index:251799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" fillcolor="#001d77" stroked="f">
                <v:textbox>
                  <w:txbxContent>
                    <w:p w:rsidR="001F4E44" w:rsidRPr="002D4EF9" w:rsidRDefault="001F4E44" w:rsidP="00764D9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i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D576010" wp14:editId="1C0D33F6">
                            <wp:extent cx="342900" cy="342900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0A48">
                        <w:rPr>
                          <w:i/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2D4EF9"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  <w:t>4,3%</w:t>
                      </w:r>
                    </w:p>
                    <w:p w:rsidR="001F4E44" w:rsidRPr="002D4EF9" w:rsidRDefault="001F4E44" w:rsidP="00764D9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2D4EF9">
                        <w:t>Realny wzrost przeciętnego miesięcznego dochodu rozporządzalnego na osobę w</w:t>
                      </w:r>
                      <w:r>
                        <w:t>  gospodarstwach domowych w 2018</w:t>
                      </w:r>
                      <w:r w:rsidRPr="002D4EF9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7F9D">
        <w:rPr>
          <w:spacing w:val="-2"/>
        </w:rPr>
        <w:t>W</w:t>
      </w:r>
      <w:r w:rsidR="00073583" w:rsidRPr="00422A69">
        <w:rPr>
          <w:spacing w:val="-2"/>
        </w:rPr>
        <w:t xml:space="preserve"> roku</w:t>
      </w:r>
      <w:r w:rsidR="00157C8F" w:rsidRPr="00422A69">
        <w:rPr>
          <w:spacing w:val="-2"/>
        </w:rPr>
        <w:t xml:space="preserve"> 2018</w:t>
      </w:r>
      <w:r w:rsidR="00764D9C" w:rsidRPr="00422A69">
        <w:rPr>
          <w:spacing w:val="-2"/>
        </w:rPr>
        <w:t xml:space="preserve"> </w:t>
      </w:r>
      <w:r w:rsidR="00073583" w:rsidRPr="00422A69">
        <w:rPr>
          <w:spacing w:val="-2"/>
        </w:rPr>
        <w:t>na</w:t>
      </w:r>
      <w:r w:rsidR="00764D9C" w:rsidRPr="00422A69">
        <w:rPr>
          <w:spacing w:val="-2"/>
        </w:rPr>
        <w:t>stąpiła poprawa sytuacji mat</w:t>
      </w:r>
      <w:r w:rsidR="0059075A" w:rsidRPr="00422A69">
        <w:rPr>
          <w:spacing w:val="-2"/>
        </w:rPr>
        <w:t>erialnej gospodarstw domowych w </w:t>
      </w:r>
      <w:r w:rsidR="00764D9C" w:rsidRPr="00422A69">
        <w:rPr>
          <w:spacing w:val="-2"/>
        </w:rPr>
        <w:t>Polsce</w:t>
      </w:r>
      <w:r w:rsidR="00957F9D">
        <w:rPr>
          <w:spacing w:val="-2"/>
        </w:rPr>
        <w:t>, chociaż skala zmiany była mniejsza niż przed rokiem</w:t>
      </w:r>
      <w:r w:rsidR="00764D9C" w:rsidRPr="00422A69">
        <w:rPr>
          <w:spacing w:val="-2"/>
        </w:rPr>
        <w:t xml:space="preserve">. Gospodarstwa domowe osiągały wyższe dochody </w:t>
      </w:r>
      <w:r w:rsidR="00073583" w:rsidRPr="00422A69">
        <w:rPr>
          <w:spacing w:val="-2"/>
        </w:rPr>
        <w:t>natomiast</w:t>
      </w:r>
      <w:r w:rsidR="00764D9C" w:rsidRPr="00422A69">
        <w:rPr>
          <w:spacing w:val="-2"/>
        </w:rPr>
        <w:t xml:space="preserve"> </w:t>
      </w:r>
      <w:r w:rsidR="00CE755A" w:rsidRPr="00422A69">
        <w:rPr>
          <w:spacing w:val="-2"/>
        </w:rPr>
        <w:t xml:space="preserve">ich </w:t>
      </w:r>
      <w:r w:rsidR="00764D9C" w:rsidRPr="00422A69">
        <w:rPr>
          <w:spacing w:val="-2"/>
        </w:rPr>
        <w:t xml:space="preserve">wydatki </w:t>
      </w:r>
      <w:r w:rsidR="00CE755A" w:rsidRPr="00422A69">
        <w:rPr>
          <w:spacing w:val="-2"/>
        </w:rPr>
        <w:t>pozostały</w:t>
      </w:r>
      <w:r w:rsidR="00764D9C" w:rsidRPr="00422A69">
        <w:rPr>
          <w:spacing w:val="-2"/>
        </w:rPr>
        <w:t xml:space="preserve"> na podobnym poziomie</w:t>
      </w:r>
      <w:r w:rsidR="00073583" w:rsidRPr="00422A69">
        <w:rPr>
          <w:spacing w:val="-2"/>
        </w:rPr>
        <w:t xml:space="preserve">, w związku z </w:t>
      </w:r>
      <w:r w:rsidR="00C01B88" w:rsidRPr="00422A69">
        <w:rPr>
          <w:spacing w:val="-2"/>
        </w:rPr>
        <w:t>t</w:t>
      </w:r>
      <w:r w:rsidR="00073583" w:rsidRPr="00422A69">
        <w:rPr>
          <w:spacing w:val="-2"/>
        </w:rPr>
        <w:t>ym wzrosła nadwyżka dochodów nad wydatkami</w:t>
      </w:r>
      <w:r w:rsidR="004C348C" w:rsidRPr="00422A69">
        <w:rPr>
          <w:spacing w:val="-2"/>
        </w:rPr>
        <w:t>.</w:t>
      </w:r>
      <w:r w:rsidR="00C01B88" w:rsidRPr="00422A69">
        <w:rPr>
          <w:spacing w:val="-2"/>
        </w:rPr>
        <w:t xml:space="preserve"> </w:t>
      </w:r>
      <w:r w:rsidR="00764D9C" w:rsidRPr="00422A69">
        <w:rPr>
          <w:spacing w:val="-2"/>
        </w:rPr>
        <w:t>Poziom przeciętnego mi</w:t>
      </w:r>
      <w:r w:rsidR="00332A25" w:rsidRPr="00422A69">
        <w:rPr>
          <w:spacing w:val="-2"/>
        </w:rPr>
        <w:t>esięcznego dochodu rozporządzal</w:t>
      </w:r>
      <w:r w:rsidR="00764D9C" w:rsidRPr="00422A69">
        <w:rPr>
          <w:spacing w:val="-2"/>
        </w:rPr>
        <w:t>nego na osobę</w:t>
      </w:r>
      <w:r w:rsidR="00332A25" w:rsidRPr="00422A69">
        <w:rPr>
          <w:spacing w:val="-2"/>
        </w:rPr>
        <w:t xml:space="preserve"> w</w:t>
      </w:r>
      <w:r w:rsidR="00C44200">
        <w:rPr>
          <w:spacing w:val="-2"/>
        </w:rPr>
        <w:t> </w:t>
      </w:r>
      <w:r w:rsidR="00332A25" w:rsidRPr="00422A69">
        <w:rPr>
          <w:spacing w:val="-2"/>
        </w:rPr>
        <w:t>zaokrągleniu do 1 </w:t>
      </w:r>
      <w:r w:rsidR="00764D9C" w:rsidRPr="00422A69">
        <w:rPr>
          <w:spacing w:val="-2"/>
        </w:rPr>
        <w:t xml:space="preserve">zł wyniósł </w:t>
      </w:r>
      <w:r w:rsidR="009C5ABA" w:rsidRPr="00422A69">
        <w:rPr>
          <w:spacing w:val="-2"/>
        </w:rPr>
        <w:t xml:space="preserve">w 2018 r. </w:t>
      </w:r>
      <w:r w:rsidR="00764D9C" w:rsidRPr="00422A69">
        <w:rPr>
          <w:spacing w:val="-2"/>
        </w:rPr>
        <w:t>169</w:t>
      </w:r>
      <w:r w:rsidR="00332A25" w:rsidRPr="00422A69">
        <w:rPr>
          <w:spacing w:val="-2"/>
        </w:rPr>
        <w:t>3</w:t>
      </w:r>
      <w:r w:rsidR="00764D9C" w:rsidRPr="00422A69">
        <w:rPr>
          <w:spacing w:val="-2"/>
        </w:rPr>
        <w:t xml:space="preserve"> zł i był realnie wyższy o 4,3% od dochodu z roku 2017</w:t>
      </w:r>
      <w:r w:rsidR="00E52E6F" w:rsidRPr="00422A69">
        <w:rPr>
          <w:spacing w:val="-2"/>
        </w:rPr>
        <w:t>.</w:t>
      </w:r>
      <w:r w:rsidR="00764D9C" w:rsidRPr="00422A69">
        <w:rPr>
          <w:spacing w:val="-2"/>
        </w:rPr>
        <w:t xml:space="preserve"> </w:t>
      </w:r>
      <w:r w:rsidR="0059075A" w:rsidRPr="00422A69">
        <w:rPr>
          <w:spacing w:val="-2"/>
        </w:rPr>
        <w:t xml:space="preserve">Przeciętne miesięczne wydatki </w:t>
      </w:r>
      <w:r w:rsidR="00422A69">
        <w:rPr>
          <w:spacing w:val="-2"/>
        </w:rPr>
        <w:t>na 1 </w:t>
      </w:r>
      <w:r w:rsidR="002B7B1C" w:rsidRPr="00422A69">
        <w:rPr>
          <w:spacing w:val="-2"/>
        </w:rPr>
        <w:t xml:space="preserve">osobę </w:t>
      </w:r>
      <w:r w:rsidR="0059075A" w:rsidRPr="00422A69">
        <w:rPr>
          <w:spacing w:val="-2"/>
        </w:rPr>
        <w:t>w </w:t>
      </w:r>
      <w:r w:rsidR="00764D9C" w:rsidRPr="00422A69">
        <w:rPr>
          <w:spacing w:val="-2"/>
        </w:rPr>
        <w:t>gospodarstwac</w:t>
      </w:r>
      <w:r w:rsidR="002B7B1C" w:rsidRPr="00422A69">
        <w:rPr>
          <w:spacing w:val="-2"/>
        </w:rPr>
        <w:t xml:space="preserve">h domowych </w:t>
      </w:r>
      <w:r w:rsidR="00157C8F" w:rsidRPr="00422A69">
        <w:rPr>
          <w:spacing w:val="-2"/>
        </w:rPr>
        <w:t>osiągnęły w </w:t>
      </w:r>
      <w:r w:rsidR="00422A69" w:rsidRPr="00422A69">
        <w:rPr>
          <w:spacing w:val="-2"/>
        </w:rPr>
        <w:t>2018 r.</w:t>
      </w:r>
      <w:r w:rsidR="002B7B1C" w:rsidRPr="00422A69">
        <w:rPr>
          <w:spacing w:val="-2"/>
        </w:rPr>
        <w:t xml:space="preserve"> </w:t>
      </w:r>
      <w:r w:rsidR="00764D9C" w:rsidRPr="00422A69">
        <w:rPr>
          <w:spacing w:val="-2"/>
        </w:rPr>
        <w:t>wartość 1187 zł i były realnie niższe o 0,7% od wydatków z</w:t>
      </w:r>
      <w:r w:rsidR="002B7B1C" w:rsidRPr="00422A69">
        <w:rPr>
          <w:spacing w:val="-2"/>
        </w:rPr>
        <w:t xml:space="preserve"> 2017 roku a w</w:t>
      </w:r>
      <w:r w:rsidR="004C348C" w:rsidRPr="00422A69">
        <w:rPr>
          <w:spacing w:val="-2"/>
        </w:rPr>
        <w:t>ydatki na towary i </w:t>
      </w:r>
      <w:r w:rsidR="00764D9C" w:rsidRPr="00422A69">
        <w:rPr>
          <w:spacing w:val="-2"/>
        </w:rPr>
        <w:t>usługi konsumpcyjne wyniosły 1137 zł</w:t>
      </w:r>
      <w:r w:rsidR="00157C8F" w:rsidRPr="00422A69">
        <w:rPr>
          <w:spacing w:val="-2"/>
        </w:rPr>
        <w:t xml:space="preserve"> i były realnie niższe o 0,8% w </w:t>
      </w:r>
      <w:r w:rsidR="00764D9C" w:rsidRPr="00422A69">
        <w:rPr>
          <w:spacing w:val="-2"/>
        </w:rPr>
        <w:t>stosunku do 2017 r.</w:t>
      </w:r>
      <w:r w:rsidR="00764D9C" w:rsidRPr="00705419">
        <w:rPr>
          <w:rStyle w:val="Odwoanieprzypisudolnego"/>
          <w:color w:val="FFFFFF" w:themeColor="background1"/>
          <w:spacing w:val="-2"/>
          <w:shd w:val="clear" w:color="auto" w:fill="FFFFFF"/>
        </w:rPr>
        <w:footnoteReference w:id="1"/>
      </w:r>
    </w:p>
    <w:p w:rsidR="00764D9C" w:rsidRPr="0059075A" w:rsidRDefault="00764D9C" w:rsidP="00764D9C">
      <w:pPr>
        <w:jc w:val="both"/>
      </w:pPr>
    </w:p>
    <w:p w:rsidR="00764D9C" w:rsidRPr="00F377FA" w:rsidRDefault="001D5B0C" w:rsidP="00764D9C">
      <w:pPr>
        <w:spacing w:line="240" w:lineRule="auto"/>
        <w:rPr>
          <w:i/>
          <w:lang w:eastAsia="pl-PL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1" locked="0" layoutInCell="1" allowOverlap="1" wp14:anchorId="37C51C66" wp14:editId="1FDF4049">
                <wp:simplePos x="0" y="0"/>
                <wp:positionH relativeFrom="column">
                  <wp:posOffset>5218430</wp:posOffset>
                </wp:positionH>
                <wp:positionV relativeFrom="paragraph">
                  <wp:posOffset>1327150</wp:posOffset>
                </wp:positionV>
                <wp:extent cx="1725295" cy="1228725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224" name="Pole tekstow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3B1FC1" w:rsidRDefault="001F4E44" w:rsidP="00764D9C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Pr="003B1FC1">
                              <w:t> latach 2004–</w:t>
                            </w:r>
                            <w:r>
                              <w:t>2018 sytuacja materialna gospodarstw domowych systematycznie poprawiała się.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1C66" id="Pole tekstowe 224" o:spid="_x0000_s1028" type="#_x0000_t202" style="position:absolute;margin-left:410.9pt;margin-top:104.5pt;width:135.85pt;height:96.75pt;z-index:-251505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" filled="f" stroked="f">
                <v:textbox>
                  <w:txbxContent>
                    <w:p w:rsidR="001F4E44" w:rsidRPr="003B1FC1" w:rsidRDefault="001F4E44" w:rsidP="00764D9C">
                      <w:pPr>
                        <w:pStyle w:val="tekstzboku"/>
                      </w:pPr>
                      <w:r>
                        <w:t>W</w:t>
                      </w:r>
                      <w:r w:rsidRPr="003B1FC1">
                        <w:t> latach 2004–</w:t>
                      </w:r>
                      <w:r>
                        <w:t>2018 sytuacja materialna gospodarstw domowych systematycznie poprawiała się.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A3711">
        <w:rPr>
          <w:noProof/>
          <w:lang w:eastAsia="pl-PL"/>
        </w:rPr>
        <w:drawing>
          <wp:inline distT="0" distB="0" distL="0" distR="0" wp14:anchorId="3AB35D02" wp14:editId="0E03E9CD">
            <wp:extent cx="5122800" cy="3021272"/>
            <wp:effectExtent l="0" t="0" r="1905" b="8255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4D9C" w:rsidRPr="00F377FA" w:rsidRDefault="00764D9C" w:rsidP="00764D9C">
      <w:pPr>
        <w:jc w:val="both"/>
        <w:rPr>
          <w:i/>
          <w:shd w:val="clear" w:color="auto" w:fill="FFFFFF"/>
        </w:rPr>
      </w:pPr>
    </w:p>
    <w:p w:rsidR="00764D9C" w:rsidRPr="00E2516C" w:rsidRDefault="00A219FA" w:rsidP="00764D9C">
      <w:pPr>
        <w:spacing w:before="24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172085</wp:posOffset>
                </wp:positionV>
                <wp:extent cx="1725295" cy="2051050"/>
                <wp:effectExtent l="0" t="0" r="0" b="635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223" name="Pole tekstow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5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501A27" w:rsidRDefault="001F4E44" w:rsidP="00764D9C">
                            <w:pPr>
                              <w:pStyle w:val="tekstzboku"/>
                            </w:pPr>
                            <w:r w:rsidRPr="005800C0">
                              <w:t xml:space="preserve">Gospodarstwa domowe pracujących na własny rachunek poza gospodarstwem rolnym dysponowały najwyższym przeciętnym miesięcznym dochodem rozporządzalnym na </w:t>
                            </w:r>
                            <w:r>
                              <w:t xml:space="preserve">1 </w:t>
                            </w:r>
                            <w:r w:rsidRPr="005800C0">
                              <w:t>osobę – 2012 zł oraz ponosiły największe przeciętne miesię</w:t>
                            </w:r>
                            <w:r>
                              <w:t>czne wydatki na 1 osobę – 1400 zł.</w:t>
                            </w:r>
                          </w:p>
                          <w:p w:rsidR="001F4E44" w:rsidRPr="00B31DA4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23" o:spid="_x0000_s1029" type="#_x0000_t202" style="position:absolute;margin-left:410.4pt;margin-top:13.55pt;width:135.85pt;height:161.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" filled="f" stroked="f">
                <v:textbox>
                  <w:txbxContent>
                    <w:p w:rsidR="001F4E44" w:rsidRPr="00501A27" w:rsidRDefault="001F4E44" w:rsidP="00764D9C">
                      <w:pPr>
                        <w:pStyle w:val="tekstzboku"/>
                      </w:pPr>
                      <w:r w:rsidRPr="005800C0">
                        <w:t xml:space="preserve">Gospodarstwa domowe pracujących na własny rachunek poza gospodarstwem rolnym dysponowały najwyższym przeciętnym miesięcznym dochodem rozporządzalnym na </w:t>
                      </w:r>
                      <w:r>
                        <w:t xml:space="preserve">1 </w:t>
                      </w:r>
                      <w:r w:rsidRPr="005800C0">
                        <w:t>osobę – 2012 zł oraz ponosiły największe przeciętne miesię</w:t>
                      </w:r>
                      <w:r>
                        <w:t>czne wydatki na 1 osobę – 1400 zł.</w:t>
                      </w:r>
                    </w:p>
                    <w:p w:rsidR="001F4E44" w:rsidRPr="00B31DA4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91260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Dochody</w:t>
      </w:r>
      <w:r w:rsidR="00764D9C" w:rsidRPr="00E2516C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 xml:space="preserve"> </w:t>
      </w:r>
      <w:r w:rsidR="00991260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 xml:space="preserve">i </w:t>
      </w:r>
      <w:r w:rsidR="00764D9C" w:rsidRPr="00E2516C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wydatki</w:t>
      </w:r>
    </w:p>
    <w:p w:rsidR="00764D9C" w:rsidRPr="001550A2" w:rsidRDefault="00764D9C" w:rsidP="00764D9C">
      <w:pPr>
        <w:rPr>
          <w:spacing w:val="-2"/>
          <w:shd w:val="clear" w:color="auto" w:fill="FFFFFF"/>
        </w:rPr>
      </w:pPr>
      <w:r w:rsidRPr="001550A2">
        <w:rPr>
          <w:spacing w:val="-2"/>
          <w:shd w:val="clear" w:color="auto" w:fill="FFFFFF"/>
        </w:rPr>
        <w:t xml:space="preserve">W 2018 roku </w:t>
      </w:r>
      <w:r w:rsidR="00E84EE4" w:rsidRPr="001550A2">
        <w:rPr>
          <w:spacing w:val="-2"/>
          <w:shd w:val="clear" w:color="auto" w:fill="FFFFFF"/>
        </w:rPr>
        <w:t xml:space="preserve">nadal </w:t>
      </w:r>
      <w:r w:rsidRPr="001550A2">
        <w:rPr>
          <w:spacing w:val="-2"/>
          <w:shd w:val="clear" w:color="auto" w:fill="FFFFFF"/>
        </w:rPr>
        <w:t>utrzym</w:t>
      </w:r>
      <w:r w:rsidR="00E84EE4" w:rsidRPr="001550A2">
        <w:rPr>
          <w:spacing w:val="-2"/>
          <w:shd w:val="clear" w:color="auto" w:fill="FFFFFF"/>
        </w:rPr>
        <w:t>ywa</w:t>
      </w:r>
      <w:r w:rsidRPr="001550A2">
        <w:rPr>
          <w:spacing w:val="-2"/>
          <w:shd w:val="clear" w:color="auto" w:fill="FFFFFF"/>
        </w:rPr>
        <w:t xml:space="preserve">ło się relatywnie duże zróżnicowanie przeciętnych miesięcznych dochodów i wydatków pomiędzy </w:t>
      </w:r>
      <w:r w:rsidR="00E84EE4" w:rsidRPr="001550A2">
        <w:rPr>
          <w:spacing w:val="-2"/>
          <w:shd w:val="clear" w:color="auto" w:fill="FFFFFF"/>
        </w:rPr>
        <w:t>różnymi</w:t>
      </w:r>
      <w:r w:rsidRPr="001550A2">
        <w:rPr>
          <w:spacing w:val="-2"/>
          <w:shd w:val="clear" w:color="auto" w:fill="FFFFFF"/>
        </w:rPr>
        <w:t xml:space="preserve"> grupami społeczno-ekonomicznymi gospodarstw domowych. </w:t>
      </w:r>
      <w:r w:rsidR="00E84EE4" w:rsidRPr="001550A2">
        <w:rPr>
          <w:spacing w:val="-2"/>
          <w:shd w:val="clear" w:color="auto" w:fill="FFFFFF"/>
        </w:rPr>
        <w:t>N</w:t>
      </w:r>
      <w:r w:rsidRPr="001550A2">
        <w:rPr>
          <w:spacing w:val="-2"/>
          <w:shd w:val="clear" w:color="auto" w:fill="FFFFFF"/>
        </w:rPr>
        <w:t xml:space="preserve">ajwyższy przeciętny miesięczny dochód rozporządzalny </w:t>
      </w:r>
      <w:r w:rsidR="00044796">
        <w:rPr>
          <w:spacing w:val="-2"/>
          <w:shd w:val="clear" w:color="auto" w:fill="FFFFFF"/>
        </w:rPr>
        <w:t xml:space="preserve">na 1 osobę w gospodarstwach domowych </w:t>
      </w:r>
      <w:r w:rsidRPr="001550A2">
        <w:rPr>
          <w:spacing w:val="-2"/>
          <w:shd w:val="clear" w:color="auto" w:fill="FFFFFF"/>
        </w:rPr>
        <w:t xml:space="preserve">(2012 zł) oraz przeciętne miesięczne wydatki (1400 zł) na osobę </w:t>
      </w:r>
      <w:r w:rsidR="00E84EE4" w:rsidRPr="001550A2">
        <w:rPr>
          <w:spacing w:val="-2"/>
          <w:shd w:val="clear" w:color="auto" w:fill="FFFFFF"/>
        </w:rPr>
        <w:t>wystąpiły,</w:t>
      </w:r>
      <w:r w:rsidRPr="001550A2">
        <w:rPr>
          <w:spacing w:val="-2"/>
          <w:shd w:val="clear" w:color="auto" w:fill="FFFFFF"/>
        </w:rPr>
        <w:t xml:space="preserve"> </w:t>
      </w:r>
      <w:r w:rsidR="00E84EE4" w:rsidRPr="001550A2">
        <w:rPr>
          <w:spacing w:val="-2"/>
          <w:shd w:val="clear" w:color="auto" w:fill="FFFFFF"/>
        </w:rPr>
        <w:t xml:space="preserve">podobnie jak w latach poprzednich, </w:t>
      </w:r>
      <w:r w:rsidRPr="001550A2">
        <w:rPr>
          <w:spacing w:val="-2"/>
          <w:shd w:val="clear" w:color="auto" w:fill="FFFFFF"/>
        </w:rPr>
        <w:t xml:space="preserve">w gospodarstwach osób pracujących na własny rachunek poza gospodarstwem rolnym. </w:t>
      </w:r>
      <w:r w:rsidR="007E1F14" w:rsidRPr="001550A2">
        <w:rPr>
          <w:spacing w:val="-2"/>
          <w:shd w:val="clear" w:color="auto" w:fill="FFFFFF"/>
        </w:rPr>
        <w:t>W</w:t>
      </w:r>
      <w:r w:rsidR="00E84EE4" w:rsidRPr="001550A2">
        <w:rPr>
          <w:spacing w:val="-2"/>
          <w:shd w:val="clear" w:color="auto" w:fill="FFFFFF"/>
        </w:rPr>
        <w:t xml:space="preserve"> tej grupie gospodarstw domowych w porównaniu </w:t>
      </w:r>
      <w:r w:rsidR="00044796">
        <w:rPr>
          <w:spacing w:val="-2"/>
          <w:shd w:val="clear" w:color="auto" w:fill="FFFFFF"/>
        </w:rPr>
        <w:t>do przeciętnej dla ogółu</w:t>
      </w:r>
      <w:r w:rsidR="00242FCB">
        <w:rPr>
          <w:spacing w:val="-2"/>
          <w:shd w:val="clear" w:color="auto" w:fill="FFFFFF"/>
        </w:rPr>
        <w:t xml:space="preserve"> gospodarstw domowych w Polsce</w:t>
      </w:r>
      <w:r w:rsidR="00E84EE4" w:rsidRPr="001550A2">
        <w:rPr>
          <w:spacing w:val="-2"/>
          <w:shd w:val="clear" w:color="auto" w:fill="FFFFFF"/>
        </w:rPr>
        <w:t xml:space="preserve"> – zarówno d</w:t>
      </w:r>
      <w:r w:rsidRPr="001550A2">
        <w:rPr>
          <w:spacing w:val="-2"/>
          <w:shd w:val="clear" w:color="auto" w:fill="FFFFFF"/>
        </w:rPr>
        <w:t>ochód</w:t>
      </w:r>
      <w:r w:rsidR="00157C8F" w:rsidRPr="001550A2">
        <w:rPr>
          <w:spacing w:val="-2"/>
          <w:shd w:val="clear" w:color="auto" w:fill="FFFFFF"/>
        </w:rPr>
        <w:t>, jak i </w:t>
      </w:r>
      <w:r w:rsidR="00E84EE4" w:rsidRPr="001550A2">
        <w:rPr>
          <w:spacing w:val="-2"/>
          <w:shd w:val="clear" w:color="auto" w:fill="FFFFFF"/>
        </w:rPr>
        <w:t xml:space="preserve">wydatki </w:t>
      </w:r>
      <w:r w:rsidRPr="001550A2">
        <w:rPr>
          <w:spacing w:val="-2"/>
          <w:shd w:val="clear" w:color="auto" w:fill="FFFFFF"/>
        </w:rPr>
        <w:t>był</w:t>
      </w:r>
      <w:r w:rsidR="00E84EE4" w:rsidRPr="001550A2">
        <w:rPr>
          <w:spacing w:val="-2"/>
          <w:shd w:val="clear" w:color="auto" w:fill="FFFFFF"/>
        </w:rPr>
        <w:t>y wyższe</w:t>
      </w:r>
      <w:r w:rsidR="00F23108" w:rsidRPr="001550A2">
        <w:rPr>
          <w:spacing w:val="-2"/>
          <w:shd w:val="clear" w:color="auto" w:fill="FFFFFF"/>
        </w:rPr>
        <w:t>, odpowiednio</w:t>
      </w:r>
      <w:r w:rsidR="007E1F14" w:rsidRPr="001550A2">
        <w:rPr>
          <w:spacing w:val="-2"/>
          <w:shd w:val="clear" w:color="auto" w:fill="FFFFFF"/>
        </w:rPr>
        <w:t xml:space="preserve"> o 18,8%</w:t>
      </w:r>
      <w:r w:rsidR="00F23108" w:rsidRPr="001550A2">
        <w:rPr>
          <w:spacing w:val="-2"/>
          <w:shd w:val="clear" w:color="auto" w:fill="FFFFFF"/>
        </w:rPr>
        <w:t xml:space="preserve"> i </w:t>
      </w:r>
      <w:r w:rsidR="00044796">
        <w:rPr>
          <w:spacing w:val="-2"/>
          <w:shd w:val="clear" w:color="auto" w:fill="FFFFFF"/>
        </w:rPr>
        <w:t>o 17,9% (w </w:t>
      </w:r>
      <w:r w:rsidRPr="001550A2">
        <w:rPr>
          <w:spacing w:val="-2"/>
          <w:shd w:val="clear" w:color="auto" w:fill="FFFFFF"/>
        </w:rPr>
        <w:t xml:space="preserve">2017 r. odpowiednio </w:t>
      </w:r>
      <w:r w:rsidR="00F23108" w:rsidRPr="001550A2">
        <w:rPr>
          <w:spacing w:val="-2"/>
          <w:shd w:val="clear" w:color="auto" w:fill="FFFFFF"/>
        </w:rPr>
        <w:t xml:space="preserve">o </w:t>
      </w:r>
      <w:r w:rsidRPr="001550A2">
        <w:rPr>
          <w:spacing w:val="-2"/>
          <w:shd w:val="clear" w:color="auto" w:fill="FFFFFF"/>
        </w:rPr>
        <w:t>20,1% i 16,3%).</w:t>
      </w:r>
    </w:p>
    <w:p w:rsidR="00764D9C" w:rsidRPr="00936260" w:rsidRDefault="00764D9C" w:rsidP="00764D9C">
      <w:pPr>
        <w:rPr>
          <w:i/>
          <w:spacing w:val="-2"/>
          <w:shd w:val="clear" w:color="auto" w:fill="FFFFFF"/>
        </w:rPr>
      </w:pPr>
      <w:r w:rsidRPr="00936260">
        <w:rPr>
          <w:spacing w:val="-2"/>
          <w:shd w:val="clear" w:color="auto" w:fill="FFFFFF"/>
        </w:rPr>
        <w:lastRenderedPageBreak/>
        <w:t xml:space="preserve">Najniższym przeciętnym miesięcznym dochodem rozporządzalnym na </w:t>
      </w:r>
      <w:r w:rsidR="00242FCB" w:rsidRPr="00936260">
        <w:rPr>
          <w:spacing w:val="-2"/>
          <w:shd w:val="clear" w:color="auto" w:fill="FFFFFF"/>
        </w:rPr>
        <w:t xml:space="preserve">1 </w:t>
      </w:r>
      <w:r w:rsidRPr="00936260">
        <w:rPr>
          <w:spacing w:val="-2"/>
          <w:shd w:val="clear" w:color="auto" w:fill="FFFFFF"/>
        </w:rPr>
        <w:t>osobę w 2018 r. dysponowały gospodarstwa domowe rencistów</w:t>
      </w:r>
      <w:r w:rsidR="00972330" w:rsidRPr="00936260">
        <w:rPr>
          <w:spacing w:val="-2"/>
          <w:shd w:val="clear" w:color="auto" w:fill="FFFFFF"/>
        </w:rPr>
        <w:t xml:space="preserve">. Ich </w:t>
      </w:r>
      <w:r w:rsidR="00936260" w:rsidRPr="00936260">
        <w:rPr>
          <w:spacing w:val="-2"/>
          <w:shd w:val="clear" w:color="auto" w:fill="FFFFFF"/>
        </w:rPr>
        <w:t xml:space="preserve">przeciętny </w:t>
      </w:r>
      <w:r w:rsidR="00972330" w:rsidRPr="00936260">
        <w:rPr>
          <w:spacing w:val="-2"/>
          <w:shd w:val="clear" w:color="auto" w:fill="FFFFFF"/>
        </w:rPr>
        <w:t>dochód</w:t>
      </w:r>
      <w:r w:rsidR="00F23108" w:rsidRPr="00936260">
        <w:rPr>
          <w:spacing w:val="-2"/>
          <w:shd w:val="clear" w:color="auto" w:fill="FFFFFF"/>
        </w:rPr>
        <w:t xml:space="preserve"> </w:t>
      </w:r>
      <w:r w:rsidR="00936260" w:rsidRPr="00936260">
        <w:rPr>
          <w:spacing w:val="-2"/>
          <w:shd w:val="clear" w:color="auto" w:fill="FFFFFF"/>
        </w:rPr>
        <w:t xml:space="preserve">na 1 osobę </w:t>
      </w:r>
      <w:r w:rsidR="00F23108" w:rsidRPr="00936260">
        <w:rPr>
          <w:spacing w:val="-2"/>
          <w:shd w:val="clear" w:color="auto" w:fill="FFFFFF"/>
        </w:rPr>
        <w:t xml:space="preserve">wyniósł </w:t>
      </w:r>
      <w:r w:rsidRPr="00936260">
        <w:rPr>
          <w:spacing w:val="-2"/>
          <w:shd w:val="clear" w:color="auto" w:fill="FFFFFF"/>
        </w:rPr>
        <w:t>1355 zł</w:t>
      </w:r>
      <w:r w:rsidR="00936260" w:rsidRPr="00936260">
        <w:rPr>
          <w:spacing w:val="-2"/>
          <w:shd w:val="clear" w:color="auto" w:fill="FFFFFF"/>
        </w:rPr>
        <w:t xml:space="preserve"> i </w:t>
      </w:r>
      <w:r w:rsidRPr="00936260">
        <w:rPr>
          <w:spacing w:val="-2"/>
          <w:shd w:val="clear" w:color="auto" w:fill="FFFFFF"/>
        </w:rPr>
        <w:t xml:space="preserve">był o 20,0% niższy od średniej ogólnopolskiej (w 2017 r. niższy o 18,9%). </w:t>
      </w:r>
      <w:r w:rsidR="00F23108" w:rsidRPr="00936260">
        <w:rPr>
          <w:spacing w:val="-2"/>
          <w:shd w:val="clear" w:color="auto" w:fill="FFFFFF"/>
        </w:rPr>
        <w:t>Natomiast n</w:t>
      </w:r>
      <w:r w:rsidR="00157C8F" w:rsidRPr="00936260">
        <w:rPr>
          <w:spacing w:val="-2"/>
          <w:shd w:val="clear" w:color="auto" w:fill="FFFFFF"/>
        </w:rPr>
        <w:t xml:space="preserve">ajniższe </w:t>
      </w:r>
      <w:r w:rsidR="00936260" w:rsidRPr="00936260">
        <w:rPr>
          <w:spacing w:val="-2"/>
          <w:shd w:val="clear" w:color="auto" w:fill="FFFFFF"/>
        </w:rPr>
        <w:t xml:space="preserve">przeciętne </w:t>
      </w:r>
      <w:r w:rsidR="00157C8F" w:rsidRPr="00936260">
        <w:rPr>
          <w:spacing w:val="-2"/>
          <w:shd w:val="clear" w:color="auto" w:fill="FFFFFF"/>
        </w:rPr>
        <w:t xml:space="preserve">wydatki </w:t>
      </w:r>
      <w:r w:rsidR="00972330" w:rsidRPr="00936260">
        <w:rPr>
          <w:spacing w:val="-2"/>
          <w:shd w:val="clear" w:color="auto" w:fill="FFFFFF"/>
        </w:rPr>
        <w:t xml:space="preserve">na 1 osobę </w:t>
      </w:r>
      <w:r w:rsidR="00157C8F" w:rsidRPr="00936260">
        <w:rPr>
          <w:spacing w:val="-2"/>
          <w:shd w:val="clear" w:color="auto" w:fill="FFFFFF"/>
        </w:rPr>
        <w:t>odnotowano w </w:t>
      </w:r>
      <w:r w:rsidRPr="00936260">
        <w:rPr>
          <w:spacing w:val="-2"/>
          <w:shd w:val="clear" w:color="auto" w:fill="FFFFFF"/>
        </w:rPr>
        <w:t>gospodarstwach domo</w:t>
      </w:r>
      <w:r w:rsidR="00F23108" w:rsidRPr="00936260">
        <w:rPr>
          <w:spacing w:val="-2"/>
          <w:shd w:val="clear" w:color="auto" w:fill="FFFFFF"/>
        </w:rPr>
        <w:t>wych rolników (872 zł)</w:t>
      </w:r>
      <w:r w:rsidRPr="00936260">
        <w:rPr>
          <w:spacing w:val="-2"/>
          <w:shd w:val="clear" w:color="auto" w:fill="FFFFFF"/>
        </w:rPr>
        <w:t xml:space="preserve"> </w:t>
      </w:r>
      <w:r w:rsidR="00F23108" w:rsidRPr="00936260">
        <w:rPr>
          <w:spacing w:val="-2"/>
          <w:shd w:val="clear" w:color="auto" w:fill="FFFFFF"/>
        </w:rPr>
        <w:t>i</w:t>
      </w:r>
      <w:r w:rsidR="00936260">
        <w:rPr>
          <w:spacing w:val="-2"/>
          <w:shd w:val="clear" w:color="auto" w:fill="FFFFFF"/>
        </w:rPr>
        <w:t> </w:t>
      </w:r>
      <w:r w:rsidRPr="00936260">
        <w:rPr>
          <w:spacing w:val="-2"/>
          <w:shd w:val="clear" w:color="auto" w:fill="FFFFFF"/>
        </w:rPr>
        <w:t xml:space="preserve">były </w:t>
      </w:r>
      <w:r w:rsidR="00F23108" w:rsidRPr="00936260">
        <w:rPr>
          <w:spacing w:val="-2"/>
          <w:shd w:val="clear" w:color="auto" w:fill="FFFFFF"/>
        </w:rPr>
        <w:t xml:space="preserve">one </w:t>
      </w:r>
      <w:r w:rsidR="00936260" w:rsidRPr="00936260">
        <w:rPr>
          <w:spacing w:val="-2"/>
          <w:shd w:val="clear" w:color="auto" w:fill="FFFFFF"/>
        </w:rPr>
        <w:t>o </w:t>
      </w:r>
      <w:r w:rsidRPr="00936260">
        <w:rPr>
          <w:spacing w:val="-2"/>
          <w:shd w:val="clear" w:color="auto" w:fill="FFFFFF"/>
        </w:rPr>
        <w:t>26,5% niższe od średnich wydatków dla gospodarstw ogółem (w 2017 r. – niż</w:t>
      </w:r>
      <w:r w:rsidR="00936260">
        <w:rPr>
          <w:spacing w:val="-2"/>
          <w:shd w:val="clear" w:color="auto" w:fill="FFFFFF"/>
        </w:rPr>
        <w:t>sze o </w:t>
      </w:r>
      <w:r w:rsidRPr="00936260">
        <w:rPr>
          <w:spacing w:val="-2"/>
          <w:shd w:val="clear" w:color="auto" w:fill="FFFFFF"/>
        </w:rPr>
        <w:t>26,2%).</w:t>
      </w:r>
    </w:p>
    <w:p w:rsidR="00764D9C" w:rsidRPr="00F377FA" w:rsidRDefault="00A219FA" w:rsidP="00764D9C">
      <w:pPr>
        <w:spacing w:line="240" w:lineRule="auto"/>
        <w:jc w:val="both"/>
        <w:rPr>
          <w:b/>
          <w:i/>
          <w:spacing w:val="-2"/>
          <w:sz w:val="18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1840" behindDoc="1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1171575</wp:posOffset>
                </wp:positionV>
                <wp:extent cx="1725295" cy="1676400"/>
                <wp:effectExtent l="0" t="0" r="0" b="0"/>
                <wp:wrapTight wrapText="bothSides">
                  <wp:wrapPolygon edited="0">
                    <wp:start x="715" y="0"/>
                    <wp:lineTo x="715" y="21355"/>
                    <wp:lineTo x="20749" y="21355"/>
                    <wp:lineTo x="20749" y="0"/>
                    <wp:lineTo x="715" y="0"/>
                  </wp:wrapPolygon>
                </wp:wrapTight>
                <wp:docPr id="222" name="Pole tekstow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5800C0" w:rsidRDefault="001F4E44" w:rsidP="00764D9C">
                            <w:pPr>
                              <w:pStyle w:val="tekstzboku"/>
                            </w:pPr>
                            <w:r w:rsidRPr="005800C0">
                              <w:t>Najwyższy udział wydatków w dochodzie rozporządzalnym odnotowano w gospodarstwach domowych rencistów, zaś najniższy w gospodarstwach domo</w:t>
                            </w:r>
                            <w:r>
                              <w:t>wych rolników.</w:t>
                            </w:r>
                          </w:p>
                          <w:p w:rsidR="001F4E44" w:rsidRPr="00F377FA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i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22" o:spid="_x0000_s1030" type="#_x0000_t202" style="position:absolute;left:0;text-align:left;margin-left:410.25pt;margin-top:92.25pt;width:135.85pt;height:132pt;z-index:-25150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" filled="f" stroked="f">
                <v:textbox>
                  <w:txbxContent>
                    <w:p w:rsidR="001F4E44" w:rsidRPr="005800C0" w:rsidRDefault="001F4E44" w:rsidP="00764D9C">
                      <w:pPr>
                        <w:pStyle w:val="tekstzboku"/>
                      </w:pPr>
                      <w:r w:rsidRPr="005800C0">
                        <w:t>Najwyższy udział wydatków w dochodzie rozporządzalnym odnotowano w gospodarstwach domowych rencistów, zaś najniższy w gospodarstwach domo</w:t>
                      </w:r>
                      <w:r>
                        <w:t>wych rolników.</w:t>
                      </w:r>
                    </w:p>
                    <w:p w:rsidR="001F4E44" w:rsidRPr="00F377FA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i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64D9C" w:rsidRPr="00764D9C">
        <w:rPr>
          <w:noProof/>
          <w:lang w:eastAsia="pl-PL"/>
        </w:rPr>
        <w:t xml:space="preserve"> </w:t>
      </w:r>
      <w:r w:rsidR="000363C8">
        <w:rPr>
          <w:noProof/>
          <w:lang w:eastAsia="pl-PL"/>
        </w:rPr>
        <w:drawing>
          <wp:inline distT="0" distB="0" distL="0" distR="0">
            <wp:extent cx="5120640" cy="3014345"/>
            <wp:effectExtent l="0" t="0" r="381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4D9C" w:rsidRPr="00F377FA" w:rsidRDefault="00764D9C" w:rsidP="00764D9C">
      <w:pPr>
        <w:jc w:val="both"/>
        <w:rPr>
          <w:i/>
          <w:shd w:val="clear" w:color="auto" w:fill="FFFFFF"/>
        </w:rPr>
      </w:pPr>
    </w:p>
    <w:p w:rsidR="00764D9C" w:rsidRPr="00972330" w:rsidRDefault="00764D9C" w:rsidP="00764D9C">
      <w:pPr>
        <w:rPr>
          <w:spacing w:val="-2"/>
          <w:shd w:val="clear" w:color="auto" w:fill="FFFFFF"/>
        </w:rPr>
      </w:pPr>
      <w:r w:rsidRPr="00972330">
        <w:rPr>
          <w:spacing w:val="-2"/>
          <w:shd w:val="clear" w:color="auto" w:fill="FFFFFF"/>
        </w:rPr>
        <w:t>Rozpiętość wskaźnika przeciętnych miesięcznych dochodów i wydatków według grup społeczno-ekonomicznych w odniesieniu do średniej krajowej</w:t>
      </w:r>
      <w:r w:rsidR="000E02F4" w:rsidRPr="00972330">
        <w:rPr>
          <w:spacing w:val="-2"/>
          <w:shd w:val="clear" w:color="auto" w:fill="FFFFFF"/>
        </w:rPr>
        <w:t>,</w:t>
      </w:r>
      <w:r w:rsidRPr="00972330">
        <w:rPr>
          <w:spacing w:val="-2"/>
          <w:shd w:val="clear" w:color="auto" w:fill="FFFFFF"/>
        </w:rPr>
        <w:t xml:space="preserve"> </w:t>
      </w:r>
      <w:r w:rsidR="00DA2277" w:rsidRPr="00972330">
        <w:rPr>
          <w:spacing w:val="-2"/>
          <w:shd w:val="clear" w:color="auto" w:fill="FFFFFF"/>
        </w:rPr>
        <w:t xml:space="preserve">w przypadku </w:t>
      </w:r>
      <w:r w:rsidRPr="00972330">
        <w:rPr>
          <w:spacing w:val="-2"/>
          <w:shd w:val="clear" w:color="auto" w:fill="FFFFFF"/>
        </w:rPr>
        <w:t>do</w:t>
      </w:r>
      <w:r w:rsidR="00DA2277" w:rsidRPr="00972330">
        <w:rPr>
          <w:spacing w:val="-2"/>
          <w:shd w:val="clear" w:color="auto" w:fill="FFFFFF"/>
        </w:rPr>
        <w:t xml:space="preserve">chodów </w:t>
      </w:r>
      <w:r w:rsidR="00972330" w:rsidRPr="00972330">
        <w:rPr>
          <w:spacing w:val="-2"/>
          <w:shd w:val="clear" w:color="auto" w:fill="FFFFFF"/>
        </w:rPr>
        <w:t>pozostała na podobnym poziomie</w:t>
      </w:r>
      <w:r w:rsidR="000E02F4" w:rsidRPr="00972330">
        <w:rPr>
          <w:spacing w:val="-2"/>
          <w:shd w:val="clear" w:color="auto" w:fill="FFFFFF"/>
        </w:rPr>
        <w:t xml:space="preserve"> </w:t>
      </w:r>
      <w:r w:rsidR="00972330" w:rsidRPr="00972330">
        <w:rPr>
          <w:spacing w:val="-2"/>
          <w:shd w:val="clear" w:color="auto" w:fill="FFFFFF"/>
        </w:rPr>
        <w:t>co w roku 2017</w:t>
      </w:r>
      <w:r w:rsidR="00DA2277" w:rsidRPr="00972330">
        <w:rPr>
          <w:spacing w:val="-2"/>
          <w:shd w:val="clear" w:color="auto" w:fill="FFFFFF"/>
        </w:rPr>
        <w:t xml:space="preserve"> </w:t>
      </w:r>
      <w:r w:rsidR="00972330" w:rsidRPr="00972330">
        <w:rPr>
          <w:spacing w:val="-2"/>
          <w:shd w:val="clear" w:color="auto" w:fill="FFFFFF"/>
        </w:rPr>
        <w:t xml:space="preserve">i wyniosła </w:t>
      </w:r>
      <w:r w:rsidRPr="00972330">
        <w:rPr>
          <w:spacing w:val="-2"/>
          <w:shd w:val="clear" w:color="auto" w:fill="FFFFFF"/>
        </w:rPr>
        <w:t>38,8 p. proc. (spadek o 0,</w:t>
      </w:r>
      <w:r w:rsidR="00972330" w:rsidRPr="00972330">
        <w:rPr>
          <w:spacing w:val="-2"/>
          <w:shd w:val="clear" w:color="auto" w:fill="FFFFFF"/>
        </w:rPr>
        <w:t>2 p. proc.</w:t>
      </w:r>
      <w:r w:rsidRPr="00972330">
        <w:rPr>
          <w:spacing w:val="-2"/>
          <w:shd w:val="clear" w:color="auto" w:fill="FFFFFF"/>
        </w:rPr>
        <w:t>)</w:t>
      </w:r>
      <w:r w:rsidR="00972330">
        <w:rPr>
          <w:spacing w:val="-2"/>
          <w:shd w:val="clear" w:color="auto" w:fill="FFFFFF"/>
        </w:rPr>
        <w:t xml:space="preserve">, </w:t>
      </w:r>
      <w:r w:rsidR="00972330" w:rsidRPr="00972330">
        <w:rPr>
          <w:spacing w:val="-2"/>
          <w:shd w:val="clear" w:color="auto" w:fill="FFFFFF"/>
        </w:rPr>
        <w:t>zaś</w:t>
      </w:r>
      <w:r w:rsidRPr="00972330">
        <w:rPr>
          <w:spacing w:val="-2"/>
          <w:shd w:val="clear" w:color="auto" w:fill="FFFFFF"/>
        </w:rPr>
        <w:t> </w:t>
      </w:r>
      <w:r w:rsidR="00972330" w:rsidRPr="00972330">
        <w:rPr>
          <w:spacing w:val="-2"/>
          <w:shd w:val="clear" w:color="auto" w:fill="FFFFFF"/>
        </w:rPr>
        <w:t>w</w:t>
      </w:r>
      <w:r w:rsidR="00972330">
        <w:rPr>
          <w:spacing w:val="-2"/>
          <w:shd w:val="clear" w:color="auto" w:fill="FFFFFF"/>
        </w:rPr>
        <w:t xml:space="preserve"> </w:t>
      </w:r>
      <w:r w:rsidR="00DA2277" w:rsidRPr="00972330">
        <w:rPr>
          <w:spacing w:val="-2"/>
          <w:shd w:val="clear" w:color="auto" w:fill="FFFFFF"/>
        </w:rPr>
        <w:t xml:space="preserve">przypadku wydatków </w:t>
      </w:r>
      <w:r w:rsidRPr="00972330">
        <w:rPr>
          <w:spacing w:val="-2"/>
          <w:shd w:val="clear" w:color="auto" w:fill="FFFFFF"/>
        </w:rPr>
        <w:t xml:space="preserve">zwiększyła </w:t>
      </w:r>
      <w:r w:rsidR="00B33ED6">
        <w:rPr>
          <w:spacing w:val="-2"/>
          <w:shd w:val="clear" w:color="auto" w:fill="FFFFFF"/>
        </w:rPr>
        <w:t xml:space="preserve">się </w:t>
      </w:r>
      <w:r w:rsidRPr="00972330">
        <w:rPr>
          <w:spacing w:val="-2"/>
          <w:shd w:val="clear" w:color="auto" w:fill="FFFFFF"/>
        </w:rPr>
        <w:t>do 44,4 p. p</w:t>
      </w:r>
      <w:r w:rsidR="00AD60A7" w:rsidRPr="00972330">
        <w:rPr>
          <w:spacing w:val="-2"/>
          <w:shd w:val="clear" w:color="auto" w:fill="FFFFFF"/>
        </w:rPr>
        <w:t>roc. (wzrost o 1,9</w:t>
      </w:r>
      <w:r w:rsidRPr="00972330">
        <w:rPr>
          <w:spacing w:val="-2"/>
          <w:shd w:val="clear" w:color="auto" w:fill="FFFFFF"/>
        </w:rPr>
        <w:t xml:space="preserve"> p. proc. w stosunku do 2017 r.).</w:t>
      </w:r>
    </w:p>
    <w:p w:rsidR="00764D9C" w:rsidRPr="001550A2" w:rsidRDefault="000E02F4" w:rsidP="00764D9C">
      <w:pPr>
        <w:rPr>
          <w:spacing w:val="-2"/>
          <w:shd w:val="clear" w:color="auto" w:fill="FFFFFF"/>
        </w:rPr>
      </w:pPr>
      <w:r w:rsidRPr="001550A2">
        <w:rPr>
          <w:spacing w:val="-2"/>
          <w:shd w:val="clear" w:color="auto" w:fill="FFFFFF"/>
        </w:rPr>
        <w:t>Podobnie</w:t>
      </w:r>
      <w:r w:rsidR="00764D9C" w:rsidRPr="001550A2">
        <w:rPr>
          <w:spacing w:val="-2"/>
          <w:shd w:val="clear" w:color="auto" w:fill="FFFFFF"/>
        </w:rPr>
        <w:t xml:space="preserve"> jak w latach poprzednich, najwyższy udział wydatków w dochodach (8</w:t>
      </w:r>
      <w:r w:rsidR="000363C8" w:rsidRPr="001550A2">
        <w:rPr>
          <w:spacing w:val="-2"/>
          <w:shd w:val="clear" w:color="auto" w:fill="FFFFFF"/>
        </w:rPr>
        <w:t>4</w:t>
      </w:r>
      <w:r w:rsidR="00764D9C" w:rsidRPr="001550A2">
        <w:rPr>
          <w:spacing w:val="-2"/>
          <w:shd w:val="clear" w:color="auto" w:fill="FFFFFF"/>
        </w:rPr>
        <w:t>,</w:t>
      </w:r>
      <w:r w:rsidR="000363C8" w:rsidRPr="001550A2">
        <w:rPr>
          <w:spacing w:val="-2"/>
          <w:shd w:val="clear" w:color="auto" w:fill="FFFFFF"/>
        </w:rPr>
        <w:t>2</w:t>
      </w:r>
      <w:r w:rsidR="00764D9C" w:rsidRPr="001550A2">
        <w:rPr>
          <w:spacing w:val="-2"/>
          <w:shd w:val="clear" w:color="auto" w:fill="FFFFFF"/>
        </w:rPr>
        <w:t>%) i najniższą kwotę nadwyżki przeciętnych miesięcznych doch</w:t>
      </w:r>
      <w:r w:rsidR="00AD60A7" w:rsidRPr="001550A2">
        <w:rPr>
          <w:spacing w:val="-2"/>
          <w:shd w:val="clear" w:color="auto" w:fill="FFFFFF"/>
        </w:rPr>
        <w:t>odów nad średnimi wydatkami (214</w:t>
      </w:r>
      <w:r w:rsidR="00764D9C" w:rsidRPr="001550A2">
        <w:rPr>
          <w:spacing w:val="-2"/>
          <w:shd w:val="clear" w:color="auto" w:fill="FFFFFF"/>
        </w:rPr>
        <w:t xml:space="preserve"> zł), odnotowano w gospodarstwach domowych rencistów. Najniższy udział wydatków w dochodach </w:t>
      </w:r>
      <w:r w:rsidRPr="001550A2">
        <w:rPr>
          <w:spacing w:val="-2"/>
          <w:shd w:val="clear" w:color="auto" w:fill="FFFFFF"/>
        </w:rPr>
        <w:t>(55,2%) i największa średnia kwota</w:t>
      </w:r>
      <w:r w:rsidR="00764D9C" w:rsidRPr="001550A2">
        <w:rPr>
          <w:spacing w:val="-2"/>
          <w:shd w:val="clear" w:color="auto" w:fill="FFFFFF"/>
        </w:rPr>
        <w:t xml:space="preserve"> nadwyżki dochodu nad wydatkami (707</w:t>
      </w:r>
      <w:r w:rsidR="00972330">
        <w:rPr>
          <w:spacing w:val="-2"/>
          <w:shd w:val="clear" w:color="auto" w:fill="FFFFFF"/>
        </w:rPr>
        <w:t xml:space="preserve"> </w:t>
      </w:r>
      <w:r w:rsidR="00764D9C" w:rsidRPr="001550A2">
        <w:rPr>
          <w:spacing w:val="-2"/>
          <w:shd w:val="clear" w:color="auto" w:fill="FFFFFF"/>
        </w:rPr>
        <w:t xml:space="preserve">zł) </w:t>
      </w:r>
      <w:r w:rsidRPr="001550A2">
        <w:rPr>
          <w:spacing w:val="-2"/>
          <w:shd w:val="clear" w:color="auto" w:fill="FFFFFF"/>
        </w:rPr>
        <w:t>wystąpiły</w:t>
      </w:r>
      <w:r w:rsidR="00764D9C" w:rsidRPr="001550A2">
        <w:rPr>
          <w:spacing w:val="-2"/>
          <w:shd w:val="clear" w:color="auto" w:fill="FFFFFF"/>
        </w:rPr>
        <w:t xml:space="preserve"> w gospodarstwach domowych rolników</w:t>
      </w:r>
      <w:r w:rsidR="00972330">
        <w:rPr>
          <w:spacing w:val="-2"/>
          <w:shd w:val="clear" w:color="auto" w:fill="FFFFFF"/>
        </w:rPr>
        <w:t>.</w:t>
      </w:r>
      <w:r w:rsidR="00764D9C" w:rsidRPr="001550A2">
        <w:rPr>
          <w:spacing w:val="-2"/>
          <w:shd w:val="clear" w:color="auto" w:fill="FFFFFF"/>
        </w:rPr>
        <w:t xml:space="preserve"> </w:t>
      </w:r>
      <w:r w:rsidR="00972330">
        <w:rPr>
          <w:spacing w:val="-2"/>
          <w:shd w:val="clear" w:color="auto" w:fill="FFFFFF"/>
        </w:rPr>
        <w:t>P</w:t>
      </w:r>
      <w:r w:rsidR="00764D9C" w:rsidRPr="001550A2">
        <w:rPr>
          <w:spacing w:val="-2"/>
          <w:shd w:val="clear" w:color="auto" w:fill="FFFFFF"/>
        </w:rPr>
        <w:t xml:space="preserve">oziom średnich dochodów </w:t>
      </w:r>
      <w:r w:rsidR="00972330">
        <w:rPr>
          <w:spacing w:val="-2"/>
          <w:shd w:val="clear" w:color="auto" w:fill="FFFFFF"/>
        </w:rPr>
        <w:t xml:space="preserve">i wydatków </w:t>
      </w:r>
      <w:r w:rsidR="00764D9C" w:rsidRPr="001550A2">
        <w:rPr>
          <w:spacing w:val="-2"/>
          <w:shd w:val="clear" w:color="auto" w:fill="FFFFFF"/>
        </w:rPr>
        <w:t xml:space="preserve">w tej grupie pozostał na zbliżonym poziomie jak w roku </w:t>
      </w:r>
      <w:r w:rsidR="007764D2" w:rsidRPr="001550A2">
        <w:rPr>
          <w:spacing w:val="-2"/>
          <w:shd w:val="clear" w:color="auto" w:fill="FFFFFF"/>
        </w:rPr>
        <w:t>poprzednim</w:t>
      </w:r>
      <w:r w:rsidR="00764D9C" w:rsidRPr="001550A2">
        <w:rPr>
          <w:spacing w:val="-2"/>
          <w:shd w:val="clear" w:color="auto" w:fill="FFFFFF"/>
        </w:rPr>
        <w:t>.</w:t>
      </w:r>
    </w:p>
    <w:p w:rsidR="00764D9C" w:rsidRPr="00F377FA" w:rsidRDefault="00764D9C" w:rsidP="00764D9C">
      <w:pPr>
        <w:rPr>
          <w:i/>
          <w:shd w:val="clear" w:color="auto" w:fill="FFFFFF"/>
        </w:rPr>
      </w:pPr>
    </w:p>
    <w:p w:rsidR="00764D9C" w:rsidRPr="00F377FA" w:rsidRDefault="00764D9C" w:rsidP="00764D9C">
      <w:pPr>
        <w:spacing w:line="240" w:lineRule="auto"/>
        <w:jc w:val="both"/>
        <w:rPr>
          <w:i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5122545" cy="3105150"/>
            <wp:effectExtent l="0" t="0" r="1905" b="0"/>
            <wp:docPr id="229" name="Wykres 2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50A2" w:rsidRDefault="001550A2" w:rsidP="00764D9C">
      <w:pPr>
        <w:rPr>
          <w:color w:val="FF0000"/>
          <w:spacing w:val="-2"/>
          <w:szCs w:val="19"/>
          <w:shd w:val="clear" w:color="auto" w:fill="FFFFFF"/>
        </w:rPr>
      </w:pPr>
    </w:p>
    <w:p w:rsidR="00764D9C" w:rsidRPr="00705CD4" w:rsidRDefault="00A219FA" w:rsidP="00764D9C">
      <w:pPr>
        <w:rPr>
          <w:szCs w:val="19"/>
          <w:shd w:val="clear" w:color="auto" w:fill="FFFFFF"/>
        </w:rPr>
      </w:pPr>
      <w:r w:rsidRPr="00705CD4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2625B06A" wp14:editId="0EED9E1D">
                <wp:simplePos x="0" y="0"/>
                <wp:positionH relativeFrom="column">
                  <wp:posOffset>5210175</wp:posOffset>
                </wp:positionH>
                <wp:positionV relativeFrom="paragraph">
                  <wp:posOffset>171450</wp:posOffset>
                </wp:positionV>
                <wp:extent cx="1781175" cy="1162050"/>
                <wp:effectExtent l="0" t="0" r="0" b="0"/>
                <wp:wrapTight wrapText="bothSides">
                  <wp:wrapPolygon edited="0">
                    <wp:start x="693" y="0"/>
                    <wp:lineTo x="693" y="21246"/>
                    <wp:lineTo x="20791" y="21246"/>
                    <wp:lineTo x="20791" y="0"/>
                    <wp:lineTo x="693" y="0"/>
                  </wp:wrapPolygon>
                </wp:wrapTight>
                <wp:docPr id="221" name="Pole tekstow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0370DE" w:rsidRDefault="001F4E44" w:rsidP="00764D9C">
                            <w:pPr>
                              <w:pStyle w:val="tekstzboku"/>
                            </w:pPr>
                            <w:r>
                              <w:t>Zmiany w sytuacji dochodowej gospodarstw domowych były w 2018 r. mniejsze niż w 2017 r.</w:t>
                            </w:r>
                          </w:p>
                          <w:p w:rsidR="001F4E44" w:rsidRPr="00F377FA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i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B06A" id="Pole tekstowe 221" o:spid="_x0000_s1031" type="#_x0000_t202" style="position:absolute;margin-left:410.25pt;margin-top:13.5pt;width:140.25pt;height:91.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" filled="f" stroked="f">
                <v:textbox>
                  <w:txbxContent>
                    <w:p w:rsidR="001F4E44" w:rsidRPr="000370DE" w:rsidRDefault="001F4E44" w:rsidP="00764D9C">
                      <w:pPr>
                        <w:pStyle w:val="tekstzboku"/>
                      </w:pPr>
                      <w:r>
                        <w:t>Zmiany w sytuacji dochodowej gospodarstw domowych były w 2018 r. mniejsze niż w 2017 r.</w:t>
                      </w:r>
                    </w:p>
                    <w:p w:rsidR="001F4E44" w:rsidRPr="00F377FA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i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468F" w:rsidRPr="00705CD4">
        <w:rPr>
          <w:szCs w:val="19"/>
          <w:shd w:val="clear" w:color="auto" w:fill="FFFFFF"/>
        </w:rPr>
        <w:t>W r</w:t>
      </w:r>
      <w:r w:rsidR="00764D9C" w:rsidRPr="00705CD4">
        <w:rPr>
          <w:szCs w:val="19"/>
          <w:shd w:val="clear" w:color="auto" w:fill="FFFFFF"/>
        </w:rPr>
        <w:t>ok</w:t>
      </w:r>
      <w:r w:rsidR="003F468F" w:rsidRPr="00705CD4">
        <w:rPr>
          <w:szCs w:val="19"/>
          <w:shd w:val="clear" w:color="auto" w:fill="FFFFFF"/>
        </w:rPr>
        <w:t>u</w:t>
      </w:r>
      <w:r w:rsidR="00764D9C" w:rsidRPr="00705CD4">
        <w:rPr>
          <w:szCs w:val="19"/>
          <w:shd w:val="clear" w:color="auto" w:fill="FFFFFF"/>
        </w:rPr>
        <w:t xml:space="preserve"> 2018 wystąpił wzrost realnego przeciętnego miesięcznego dochodu rozporządzalnego ogółem na osobę – o 4,3% (w 2017 r. wzrost o 6,3%). Dotyczyło to </w:t>
      </w:r>
      <w:r w:rsidR="00242FCB" w:rsidRPr="00705CD4">
        <w:rPr>
          <w:szCs w:val="19"/>
          <w:shd w:val="clear" w:color="auto" w:fill="FFFFFF"/>
        </w:rPr>
        <w:t>wszystkich</w:t>
      </w:r>
      <w:r w:rsidR="00764D9C" w:rsidRPr="00705CD4">
        <w:rPr>
          <w:szCs w:val="19"/>
          <w:shd w:val="clear" w:color="auto" w:fill="FFFFFF"/>
        </w:rPr>
        <w:t xml:space="preserve"> grup społeczno-ekonomicznych gospodarstw domowych, </w:t>
      </w:r>
      <w:r w:rsidR="003F468F" w:rsidRPr="00705CD4">
        <w:rPr>
          <w:szCs w:val="19"/>
          <w:shd w:val="clear" w:color="auto" w:fill="FFFFFF"/>
        </w:rPr>
        <w:t>poza</w:t>
      </w:r>
      <w:r w:rsidR="00764D9C" w:rsidRPr="00705CD4">
        <w:rPr>
          <w:szCs w:val="19"/>
          <w:shd w:val="clear" w:color="auto" w:fill="FFFFFF"/>
        </w:rPr>
        <w:t xml:space="preserve"> gospodarstw</w:t>
      </w:r>
      <w:r w:rsidR="003F468F" w:rsidRPr="00705CD4">
        <w:rPr>
          <w:szCs w:val="19"/>
          <w:shd w:val="clear" w:color="auto" w:fill="FFFFFF"/>
        </w:rPr>
        <w:t>ami domowymi</w:t>
      </w:r>
      <w:r w:rsidR="00764D9C" w:rsidRPr="00705CD4">
        <w:rPr>
          <w:szCs w:val="19"/>
          <w:shd w:val="clear" w:color="auto" w:fill="FFFFFF"/>
        </w:rPr>
        <w:t xml:space="preserve"> rolników</w:t>
      </w:r>
      <w:r w:rsidR="00174B82" w:rsidRPr="00705CD4">
        <w:rPr>
          <w:szCs w:val="19"/>
          <w:shd w:val="clear" w:color="auto" w:fill="FFFFFF"/>
        </w:rPr>
        <w:t>, w </w:t>
      </w:r>
      <w:r w:rsidR="00972330" w:rsidRPr="00705CD4">
        <w:rPr>
          <w:szCs w:val="19"/>
          <w:shd w:val="clear" w:color="auto" w:fill="FFFFFF"/>
        </w:rPr>
        <w:t>których dochody nominalnie pozostały na niemal identycznym poziomie co w roku 2017</w:t>
      </w:r>
      <w:r w:rsidR="00151655" w:rsidRPr="00705CD4">
        <w:rPr>
          <w:szCs w:val="19"/>
          <w:shd w:val="clear" w:color="auto" w:fill="FFFFFF"/>
        </w:rPr>
        <w:t>, a w ujęciu realnym spadły o 1,5%</w:t>
      </w:r>
      <w:r w:rsidR="00972330" w:rsidRPr="00705CD4">
        <w:rPr>
          <w:szCs w:val="19"/>
          <w:shd w:val="clear" w:color="auto" w:fill="FFFFFF"/>
        </w:rPr>
        <w:t>.</w:t>
      </w:r>
      <w:r w:rsidR="00764D9C" w:rsidRPr="00705CD4">
        <w:rPr>
          <w:szCs w:val="19"/>
          <w:shd w:val="clear" w:color="auto" w:fill="FFFFFF"/>
        </w:rPr>
        <w:t xml:space="preserve"> Najwyższy </w:t>
      </w:r>
      <w:r w:rsidR="00972330" w:rsidRPr="00705CD4">
        <w:rPr>
          <w:szCs w:val="19"/>
          <w:shd w:val="clear" w:color="auto" w:fill="FFFFFF"/>
        </w:rPr>
        <w:t xml:space="preserve">realny </w:t>
      </w:r>
      <w:r w:rsidR="00764D9C" w:rsidRPr="00705CD4">
        <w:rPr>
          <w:szCs w:val="19"/>
          <w:shd w:val="clear" w:color="auto" w:fill="FFFFFF"/>
        </w:rPr>
        <w:t xml:space="preserve">wzrost </w:t>
      </w:r>
      <w:r w:rsidR="00242FCB" w:rsidRPr="00705CD4">
        <w:rPr>
          <w:szCs w:val="19"/>
          <w:shd w:val="clear" w:color="auto" w:fill="FFFFFF"/>
        </w:rPr>
        <w:t xml:space="preserve">dochodów </w:t>
      </w:r>
      <w:r w:rsidR="00764D9C" w:rsidRPr="00705CD4">
        <w:rPr>
          <w:szCs w:val="19"/>
          <w:shd w:val="clear" w:color="auto" w:fill="FFFFFF"/>
        </w:rPr>
        <w:t>zanotowano w gosp</w:t>
      </w:r>
      <w:r w:rsidR="0059075A" w:rsidRPr="00705CD4">
        <w:rPr>
          <w:szCs w:val="19"/>
          <w:shd w:val="clear" w:color="auto" w:fill="FFFFFF"/>
        </w:rPr>
        <w:t>odarstwach domowych emerytów (o </w:t>
      </w:r>
      <w:r w:rsidR="00764D9C" w:rsidRPr="00705CD4">
        <w:rPr>
          <w:szCs w:val="19"/>
          <w:shd w:val="clear" w:color="auto" w:fill="FFFFFF"/>
        </w:rPr>
        <w:t>4,4%)</w:t>
      </w:r>
      <w:r w:rsidR="00242FCB" w:rsidRPr="00705CD4">
        <w:rPr>
          <w:szCs w:val="19"/>
          <w:shd w:val="clear" w:color="auto" w:fill="FFFFFF"/>
        </w:rPr>
        <w:t xml:space="preserve"> oraz pracowników najemnych (o 4,2%)</w:t>
      </w:r>
      <w:r w:rsidR="00151655" w:rsidRPr="00705CD4">
        <w:rPr>
          <w:szCs w:val="19"/>
          <w:shd w:val="clear" w:color="auto" w:fill="FFFFFF"/>
        </w:rPr>
        <w:t>.</w:t>
      </w:r>
    </w:p>
    <w:p w:rsidR="00764D9C" w:rsidRPr="00705CD4" w:rsidRDefault="00CF6F1A" w:rsidP="00764D9C">
      <w:pPr>
        <w:rPr>
          <w:szCs w:val="19"/>
          <w:shd w:val="clear" w:color="auto" w:fill="FFFFFF"/>
        </w:rPr>
      </w:pPr>
      <w:r w:rsidRPr="00705CD4">
        <w:rPr>
          <w:szCs w:val="19"/>
          <w:shd w:val="clear" w:color="auto" w:fill="FFFFFF"/>
        </w:rPr>
        <w:t>Na realny spadek dochodu rozporządzalnego w grupie gospodarstw domowych rolników miał wpływ przede wszystkim realny spadek dochodów z indywidualnego gospodarstwa rolnego</w:t>
      </w:r>
      <w:r w:rsidR="00151655" w:rsidRPr="00705CD4">
        <w:rPr>
          <w:szCs w:val="19"/>
          <w:shd w:val="clear" w:color="auto" w:fill="FFFFFF"/>
        </w:rPr>
        <w:t xml:space="preserve"> w</w:t>
      </w:r>
      <w:r w:rsidR="00774D61" w:rsidRPr="00705CD4">
        <w:rPr>
          <w:szCs w:val="19"/>
          <w:shd w:val="clear" w:color="auto" w:fill="FFFFFF"/>
        </w:rPr>
        <w:t> </w:t>
      </w:r>
      <w:r w:rsidR="00151655" w:rsidRPr="00705CD4">
        <w:rPr>
          <w:szCs w:val="19"/>
          <w:shd w:val="clear" w:color="auto" w:fill="FFFFFF"/>
        </w:rPr>
        <w:t>stosunku do roku 2017</w:t>
      </w:r>
      <w:r w:rsidR="00774D61" w:rsidRPr="00705CD4">
        <w:rPr>
          <w:szCs w:val="19"/>
          <w:shd w:val="clear" w:color="auto" w:fill="FFFFFF"/>
        </w:rPr>
        <w:t xml:space="preserve"> (o 5,3%)</w:t>
      </w:r>
      <w:r w:rsidR="00151655" w:rsidRPr="00705CD4">
        <w:rPr>
          <w:szCs w:val="19"/>
          <w:shd w:val="clear" w:color="auto" w:fill="FFFFFF"/>
        </w:rPr>
        <w:t>.</w:t>
      </w:r>
      <w:r w:rsidR="00E93D2F" w:rsidRPr="00705CD4">
        <w:rPr>
          <w:szCs w:val="19"/>
          <w:shd w:val="clear" w:color="auto" w:fill="FFFFFF"/>
        </w:rPr>
        <w:t xml:space="preserve"> </w:t>
      </w:r>
    </w:p>
    <w:p w:rsidR="00764D9C" w:rsidRPr="00705CD4" w:rsidRDefault="00764D9C" w:rsidP="00764D9C">
      <w:pPr>
        <w:rPr>
          <w:szCs w:val="19"/>
          <w:shd w:val="clear" w:color="auto" w:fill="FFFFFF"/>
        </w:rPr>
      </w:pPr>
      <w:r w:rsidRPr="00705CD4">
        <w:rPr>
          <w:szCs w:val="19"/>
          <w:shd w:val="clear" w:color="auto" w:fill="FFFFFF"/>
        </w:rPr>
        <w:t>Najwyższy udział dochodów z głównego źródła utrzymania odnotowa</w:t>
      </w:r>
      <w:r w:rsidR="007E2298" w:rsidRPr="00705CD4">
        <w:rPr>
          <w:szCs w:val="19"/>
          <w:shd w:val="clear" w:color="auto" w:fill="FFFFFF"/>
        </w:rPr>
        <w:t>no w</w:t>
      </w:r>
      <w:r w:rsidRPr="00705CD4">
        <w:rPr>
          <w:szCs w:val="19"/>
          <w:shd w:val="clear" w:color="auto" w:fill="FFFFFF"/>
        </w:rPr>
        <w:t xml:space="preserve"> gospodarstwa</w:t>
      </w:r>
      <w:r w:rsidR="007E2298" w:rsidRPr="00705CD4">
        <w:rPr>
          <w:szCs w:val="19"/>
          <w:shd w:val="clear" w:color="auto" w:fill="FFFFFF"/>
        </w:rPr>
        <w:t>ch</w:t>
      </w:r>
      <w:r w:rsidRPr="00705CD4">
        <w:rPr>
          <w:szCs w:val="19"/>
          <w:shd w:val="clear" w:color="auto" w:fill="FFFFFF"/>
        </w:rPr>
        <w:t xml:space="preserve"> domow</w:t>
      </w:r>
      <w:r w:rsidR="007E2298" w:rsidRPr="00705CD4">
        <w:rPr>
          <w:szCs w:val="19"/>
          <w:shd w:val="clear" w:color="auto" w:fill="FFFFFF"/>
        </w:rPr>
        <w:t>ych</w:t>
      </w:r>
      <w:r w:rsidRPr="00705CD4">
        <w:rPr>
          <w:szCs w:val="19"/>
          <w:shd w:val="clear" w:color="auto" w:fill="FFFFFF"/>
        </w:rPr>
        <w:t xml:space="preserve"> emerytów (82,7%), a najniższy </w:t>
      </w:r>
      <w:r w:rsidR="007E2298" w:rsidRPr="00705CD4">
        <w:rPr>
          <w:szCs w:val="19"/>
          <w:shd w:val="clear" w:color="auto" w:fill="FFFFFF"/>
        </w:rPr>
        <w:t xml:space="preserve">w </w:t>
      </w:r>
      <w:r w:rsidRPr="00705CD4">
        <w:rPr>
          <w:szCs w:val="19"/>
          <w:shd w:val="clear" w:color="auto" w:fill="FFFFFF"/>
        </w:rPr>
        <w:t>gospodarstwa</w:t>
      </w:r>
      <w:r w:rsidR="007E2298" w:rsidRPr="00705CD4">
        <w:rPr>
          <w:szCs w:val="19"/>
          <w:shd w:val="clear" w:color="auto" w:fill="FFFFFF"/>
        </w:rPr>
        <w:t>ch</w:t>
      </w:r>
      <w:r w:rsidRPr="00705CD4">
        <w:rPr>
          <w:szCs w:val="19"/>
          <w:shd w:val="clear" w:color="auto" w:fill="FFFFFF"/>
        </w:rPr>
        <w:t xml:space="preserve"> domow</w:t>
      </w:r>
      <w:r w:rsidR="007E2298" w:rsidRPr="00705CD4">
        <w:rPr>
          <w:szCs w:val="19"/>
          <w:shd w:val="clear" w:color="auto" w:fill="FFFFFF"/>
        </w:rPr>
        <w:t>ych</w:t>
      </w:r>
      <w:r w:rsidRPr="00705CD4">
        <w:rPr>
          <w:szCs w:val="19"/>
          <w:shd w:val="clear" w:color="auto" w:fill="FFFFFF"/>
        </w:rPr>
        <w:t xml:space="preserve"> rolników (66,6%).</w:t>
      </w:r>
    </w:p>
    <w:p w:rsidR="00764D9C" w:rsidRPr="00F377FA" w:rsidRDefault="00764D9C" w:rsidP="00764D9C">
      <w:pPr>
        <w:jc w:val="both"/>
        <w:rPr>
          <w:i/>
          <w:spacing w:val="-2"/>
          <w:szCs w:val="19"/>
          <w:shd w:val="clear" w:color="auto" w:fill="FFFFFF"/>
        </w:rPr>
      </w:pPr>
    </w:p>
    <w:p w:rsidR="00764D9C" w:rsidRPr="00F377FA" w:rsidRDefault="00764D9C" w:rsidP="00764D9C">
      <w:pPr>
        <w:spacing w:line="240" w:lineRule="auto"/>
        <w:rPr>
          <w:b/>
          <w:i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>
            <wp:extent cx="5120640" cy="3852000"/>
            <wp:effectExtent l="0" t="0" r="3810" b="0"/>
            <wp:docPr id="230" name="Wykres 2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75C3" w:rsidRDefault="004F75C3" w:rsidP="00764D9C">
      <w:pPr>
        <w:spacing w:before="0"/>
        <w:jc w:val="both"/>
        <w:rPr>
          <w:spacing w:val="-2"/>
          <w:szCs w:val="19"/>
          <w:shd w:val="clear" w:color="auto" w:fill="FFFFFF"/>
        </w:rPr>
      </w:pPr>
    </w:p>
    <w:p w:rsidR="00764D9C" w:rsidRPr="000D64AA" w:rsidRDefault="000D64AA" w:rsidP="00764D9C">
      <w:pPr>
        <w:spacing w:before="0"/>
        <w:jc w:val="both"/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 xml:space="preserve">Różnice w strukturze </w:t>
      </w:r>
      <w:r w:rsidR="007E2298">
        <w:rPr>
          <w:spacing w:val="-2"/>
          <w:szCs w:val="19"/>
          <w:shd w:val="clear" w:color="auto" w:fill="FFFFFF"/>
        </w:rPr>
        <w:t xml:space="preserve">przeciętnego miesięcznego </w:t>
      </w:r>
      <w:r>
        <w:rPr>
          <w:spacing w:val="-2"/>
          <w:szCs w:val="19"/>
          <w:shd w:val="clear" w:color="auto" w:fill="FFFFFF"/>
        </w:rPr>
        <w:t xml:space="preserve">dochodu </w:t>
      </w:r>
      <w:r w:rsidR="007E2298">
        <w:rPr>
          <w:spacing w:val="-2"/>
          <w:szCs w:val="19"/>
          <w:shd w:val="clear" w:color="auto" w:fill="FFFFFF"/>
        </w:rPr>
        <w:t xml:space="preserve">rozporządzalnego na 1 osobę w gospodarstwach domowych </w:t>
      </w:r>
      <w:r>
        <w:rPr>
          <w:spacing w:val="-2"/>
          <w:szCs w:val="19"/>
          <w:shd w:val="clear" w:color="auto" w:fill="FFFFFF"/>
        </w:rPr>
        <w:t>w porównaniu z 2017 r. wyniosły od 0,2 p. proc. w przypadku kategorii „inne dochody” do 1,0 p. proc. w przypadku dochodów z emerytur.</w:t>
      </w:r>
    </w:p>
    <w:p w:rsidR="00705CD4" w:rsidRDefault="00705CD4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br w:type="page"/>
      </w:r>
    </w:p>
    <w:p w:rsidR="00764D9C" w:rsidRDefault="00896D71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lastRenderedPageBreak/>
        <w:t>Malejące od 2014 r</w:t>
      </w:r>
      <w:r w:rsidR="00385E91">
        <w:rPr>
          <w:spacing w:val="-2"/>
          <w:szCs w:val="19"/>
          <w:shd w:val="clear" w:color="auto" w:fill="FFFFFF"/>
        </w:rPr>
        <w:t>.</w:t>
      </w:r>
      <w:r w:rsidRPr="001550A2">
        <w:rPr>
          <w:spacing w:val="-2"/>
          <w:szCs w:val="19"/>
          <w:shd w:val="clear" w:color="auto" w:fill="FFFFFF"/>
        </w:rPr>
        <w:t xml:space="preserve"> </w:t>
      </w:r>
      <w:r w:rsidR="007554B0" w:rsidRPr="001550A2">
        <w:rPr>
          <w:spacing w:val="-2"/>
          <w:szCs w:val="19"/>
          <w:shd w:val="clear" w:color="auto" w:fill="FFFFFF"/>
        </w:rPr>
        <w:t>z</w:t>
      </w:r>
      <w:r w:rsidR="00764D9C" w:rsidRPr="001550A2">
        <w:rPr>
          <w:spacing w:val="-2"/>
          <w:szCs w:val="19"/>
          <w:shd w:val="clear" w:color="auto" w:fill="FFFFFF"/>
        </w:rPr>
        <w:t>różnicowanie dochodów na osobę w gospodarstwach domowych</w:t>
      </w:r>
      <w:r w:rsidR="007554B0" w:rsidRPr="001550A2">
        <w:rPr>
          <w:spacing w:val="-2"/>
          <w:szCs w:val="19"/>
          <w:shd w:val="clear" w:color="auto" w:fill="FFFFFF"/>
        </w:rPr>
        <w:t>,</w:t>
      </w:r>
      <w:r w:rsidRPr="001550A2">
        <w:rPr>
          <w:spacing w:val="-2"/>
          <w:szCs w:val="19"/>
          <w:shd w:val="clear" w:color="auto" w:fill="FFFFFF"/>
        </w:rPr>
        <w:t xml:space="preserve"> mierzone współczynnikiem Giniego</w:t>
      </w:r>
      <w:r w:rsidR="00764D9C" w:rsidRPr="001550A2">
        <w:rPr>
          <w:spacing w:val="-2"/>
          <w:szCs w:val="19"/>
          <w:shd w:val="clear" w:color="auto" w:fill="FFFFFF"/>
        </w:rPr>
        <w:t xml:space="preserve">, w 2018 r. </w:t>
      </w:r>
      <w:r w:rsidR="007554B0" w:rsidRPr="001550A2">
        <w:rPr>
          <w:spacing w:val="-2"/>
          <w:szCs w:val="19"/>
          <w:shd w:val="clear" w:color="auto" w:fill="FFFFFF"/>
        </w:rPr>
        <w:t>było</w:t>
      </w:r>
      <w:r w:rsidR="00764D9C" w:rsidRPr="001550A2">
        <w:rPr>
          <w:spacing w:val="-2"/>
          <w:szCs w:val="19"/>
          <w:shd w:val="clear" w:color="auto" w:fill="FFFFFF"/>
        </w:rPr>
        <w:t xml:space="preserve"> na zbliżonym poziomie </w:t>
      </w:r>
      <w:r w:rsidR="004417FA" w:rsidRPr="001550A2">
        <w:rPr>
          <w:spacing w:val="-2"/>
          <w:szCs w:val="19"/>
          <w:shd w:val="clear" w:color="auto" w:fill="FFFFFF"/>
        </w:rPr>
        <w:t>jak w</w:t>
      </w:r>
      <w:r w:rsidR="00157C8F" w:rsidRPr="001550A2">
        <w:rPr>
          <w:spacing w:val="-2"/>
          <w:szCs w:val="19"/>
          <w:shd w:val="clear" w:color="auto" w:fill="FFFFFF"/>
        </w:rPr>
        <w:t xml:space="preserve"> roku 2017</w:t>
      </w:r>
      <w:r w:rsidR="007554B0" w:rsidRPr="001550A2">
        <w:rPr>
          <w:spacing w:val="-2"/>
          <w:szCs w:val="19"/>
          <w:shd w:val="clear" w:color="auto" w:fill="FFFFFF"/>
        </w:rPr>
        <w:t xml:space="preserve">, a wartość współczynnika </w:t>
      </w:r>
      <w:r w:rsidR="00764D9C" w:rsidRPr="001550A2">
        <w:rPr>
          <w:spacing w:val="-2"/>
          <w:szCs w:val="19"/>
          <w:shd w:val="clear" w:color="auto" w:fill="FFFFFF"/>
        </w:rPr>
        <w:t>wyniosła 0,299.</w:t>
      </w:r>
    </w:p>
    <w:p w:rsidR="00705CD4" w:rsidRPr="001550A2" w:rsidRDefault="00705CD4" w:rsidP="00764D9C">
      <w:pPr>
        <w:rPr>
          <w:spacing w:val="-2"/>
          <w:szCs w:val="19"/>
          <w:shd w:val="clear" w:color="auto" w:fill="FFFFFF"/>
        </w:rPr>
      </w:pPr>
    </w:p>
    <w:p w:rsidR="00764D9C" w:rsidRPr="00F377FA" w:rsidRDefault="001A7478" w:rsidP="00764D9C">
      <w:pPr>
        <w:spacing w:line="240" w:lineRule="auto"/>
        <w:rPr>
          <w:b/>
          <w:i/>
          <w:spacing w:val="-2"/>
          <w:sz w:val="18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6CE6261C" wp14:editId="5450F79B">
                <wp:simplePos x="0" y="0"/>
                <wp:positionH relativeFrom="column">
                  <wp:posOffset>5210175</wp:posOffset>
                </wp:positionH>
                <wp:positionV relativeFrom="paragraph">
                  <wp:posOffset>1056640</wp:posOffset>
                </wp:positionV>
                <wp:extent cx="1725295" cy="1628775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220" name="Pole tekstow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6D5D15" w:rsidRDefault="001F4E44" w:rsidP="00764D9C">
                            <w:pPr>
                              <w:pStyle w:val="tekstzboku"/>
                            </w:pPr>
                            <w:r w:rsidRPr="006D5D15">
                              <w:t xml:space="preserve">Notowany od kilku lat wyraźny spadek zróżnicowania dochodów na osobę w gospodarstwach domowych, mierzony współczynnikiem Giniego, w 2018 r. </w:t>
                            </w:r>
                            <w:r>
                              <w:t>został zahamowany.</w:t>
                            </w:r>
                          </w:p>
                          <w:p w:rsidR="001F4E44" w:rsidRPr="00F377FA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i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261C" id="Pole tekstowe 220" o:spid="_x0000_s1032" type="#_x0000_t202" style="position:absolute;margin-left:410.25pt;margin-top:83.2pt;width:135.85pt;height:128.25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" filled="f" stroked="f">
                <v:textbox>
                  <w:txbxContent>
                    <w:p w:rsidR="001F4E44" w:rsidRPr="006D5D15" w:rsidRDefault="001F4E44" w:rsidP="00764D9C">
                      <w:pPr>
                        <w:pStyle w:val="tekstzboku"/>
                      </w:pPr>
                      <w:r w:rsidRPr="006D5D15">
                        <w:t xml:space="preserve">Notowany od kilku lat wyraźny spadek zróżnicowania dochodów na osobę w gospodarstwach domowych, mierzony współczynnikiem Giniego, w 2018 r. </w:t>
                      </w:r>
                      <w:r>
                        <w:t>został zahamowany.</w:t>
                      </w:r>
                    </w:p>
                    <w:p w:rsidR="001F4E44" w:rsidRPr="00F377FA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i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F5FF3">
        <w:rPr>
          <w:noProof/>
          <w:lang w:eastAsia="pl-PL"/>
        </w:rPr>
        <w:drawing>
          <wp:inline distT="0" distB="0" distL="0" distR="0" wp14:anchorId="4137E3AE" wp14:editId="1826530B">
            <wp:extent cx="5122545" cy="3240000"/>
            <wp:effectExtent l="0" t="0" r="1905" b="0"/>
            <wp:docPr id="231" name="Wykres 2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64D9C" w:rsidRPr="00F377FA" w:rsidRDefault="00506EDA" w:rsidP="00764D9C">
      <w:pPr>
        <w:jc w:val="both"/>
        <w:rPr>
          <w:i/>
          <w:spacing w:val="-2"/>
          <w:szCs w:val="19"/>
          <w:shd w:val="clear" w:color="auto" w:fill="FFFFFF"/>
        </w:rPr>
      </w:pPr>
      <w:r w:rsidRPr="001550A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1" locked="0" layoutInCell="1" allowOverlap="1" wp14:anchorId="114C95C1" wp14:editId="4219CEE7">
                <wp:simplePos x="0" y="0"/>
                <wp:positionH relativeFrom="column">
                  <wp:posOffset>5210175</wp:posOffset>
                </wp:positionH>
                <wp:positionV relativeFrom="paragraph">
                  <wp:posOffset>85725</wp:posOffset>
                </wp:positionV>
                <wp:extent cx="1725295" cy="2266950"/>
                <wp:effectExtent l="0" t="0" r="0" b="0"/>
                <wp:wrapTight wrapText="bothSides">
                  <wp:wrapPolygon edited="0">
                    <wp:start x="715" y="0"/>
                    <wp:lineTo x="715" y="21418"/>
                    <wp:lineTo x="20749" y="21418"/>
                    <wp:lineTo x="20749" y="0"/>
                    <wp:lineTo x="715" y="0"/>
                  </wp:wrapPolygon>
                </wp:wrapTight>
                <wp:docPr id="219" name="Pole tekstow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507AF0" w:rsidRDefault="001F4E44" w:rsidP="00764D9C">
                            <w:pPr>
                              <w:pStyle w:val="tekstzboku"/>
                            </w:pPr>
                            <w:r>
                              <w:t>W ujęciu realnym w 2018 r. wystąpił niewielki spadek przeciętnych miesięcznych wydatków na 1 osobę w gospodarstwach domowych w porównaniu do poprzedniego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95C1" id="Pole tekstowe 219" o:spid="_x0000_s1033" type="#_x0000_t202" style="position:absolute;left:0;text-align:left;margin-left:410.25pt;margin-top:6.75pt;width:135.85pt;height:178.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" filled="f" stroked="f">
                <v:textbox>
                  <w:txbxContent>
                    <w:p w:rsidR="001F4E44" w:rsidRPr="00507AF0" w:rsidRDefault="001F4E44" w:rsidP="00764D9C">
                      <w:pPr>
                        <w:pStyle w:val="tekstzboku"/>
                      </w:pPr>
                      <w:r>
                        <w:t>W ujęciu realnym w 2018 r. wystąpił niewielki spadek przeciętnych miesięcznych wydatków na 1 osobę w gospodarstwach domowych w porównaniu do poprzedniego roku.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64D9C" w:rsidRPr="001550A2" w:rsidRDefault="005C7031" w:rsidP="00764D9C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>W</w:t>
      </w:r>
      <w:r w:rsidR="00764D9C" w:rsidRPr="001550A2">
        <w:rPr>
          <w:szCs w:val="19"/>
          <w:shd w:val="clear" w:color="auto" w:fill="FFFFFF"/>
        </w:rPr>
        <w:t xml:space="preserve"> w</w:t>
      </w:r>
      <w:r w:rsidRPr="001550A2">
        <w:rPr>
          <w:szCs w:val="19"/>
          <w:shd w:val="clear" w:color="auto" w:fill="FFFFFF"/>
        </w:rPr>
        <w:t>iększości</w:t>
      </w:r>
      <w:r w:rsidR="00764D9C" w:rsidRPr="001550A2">
        <w:rPr>
          <w:szCs w:val="19"/>
          <w:shd w:val="clear" w:color="auto" w:fill="FFFFFF"/>
        </w:rPr>
        <w:t xml:space="preserve"> grup społeczno-ekon</w:t>
      </w:r>
      <w:r w:rsidR="007E1F14" w:rsidRPr="001550A2">
        <w:rPr>
          <w:szCs w:val="19"/>
          <w:shd w:val="clear" w:color="auto" w:fill="FFFFFF"/>
        </w:rPr>
        <w:t xml:space="preserve">omicznych gospodarstw domowych </w:t>
      </w:r>
      <w:r w:rsidRPr="001550A2">
        <w:rPr>
          <w:szCs w:val="19"/>
          <w:shd w:val="clear" w:color="auto" w:fill="FFFFFF"/>
        </w:rPr>
        <w:t xml:space="preserve">w 2018 r. </w:t>
      </w:r>
      <w:r w:rsidR="00764D9C" w:rsidRPr="001550A2">
        <w:rPr>
          <w:szCs w:val="19"/>
          <w:shd w:val="clear" w:color="auto" w:fill="FFFFFF"/>
        </w:rPr>
        <w:t xml:space="preserve">wystąpił </w:t>
      </w:r>
      <w:r w:rsidR="00BB22F2">
        <w:rPr>
          <w:szCs w:val="19"/>
          <w:shd w:val="clear" w:color="auto" w:fill="FFFFFF"/>
        </w:rPr>
        <w:t xml:space="preserve">niewielki </w:t>
      </w:r>
      <w:r w:rsidR="00764D9C" w:rsidRPr="001550A2">
        <w:rPr>
          <w:szCs w:val="19"/>
          <w:shd w:val="clear" w:color="auto" w:fill="FFFFFF"/>
        </w:rPr>
        <w:t>realny spadek przeciętnych miesięcznych wydatków na osobę w</w:t>
      </w:r>
      <w:r w:rsidR="00157C8F" w:rsidRPr="001550A2">
        <w:rPr>
          <w:szCs w:val="19"/>
          <w:shd w:val="clear" w:color="auto" w:fill="FFFFFF"/>
        </w:rPr>
        <w:t xml:space="preserve"> stosunku do roku 2017 (od </w:t>
      </w:r>
      <w:r w:rsidR="00D011D1" w:rsidRPr="001550A2">
        <w:rPr>
          <w:szCs w:val="19"/>
          <w:shd w:val="clear" w:color="auto" w:fill="FFFFFF"/>
        </w:rPr>
        <w:t>1,0%</w:t>
      </w:r>
      <w:r w:rsidR="00764D9C" w:rsidRPr="001550A2">
        <w:rPr>
          <w:szCs w:val="19"/>
          <w:shd w:val="clear" w:color="auto" w:fill="FFFFFF"/>
        </w:rPr>
        <w:t xml:space="preserve"> w grupie rencistów do 1,7% w grupie emerytów).</w:t>
      </w:r>
      <w:r w:rsidRPr="001550A2">
        <w:rPr>
          <w:szCs w:val="19"/>
          <w:shd w:val="clear" w:color="auto" w:fill="FFFFFF"/>
        </w:rPr>
        <w:t xml:space="preserve"> Wyjątek stanowiły jedynie gospodarstwa pracujących na rachunek własny, dla których odnotowano lekki wzrost w stosunku do roku poprzedniego – o 0,7%.</w:t>
      </w:r>
    </w:p>
    <w:p w:rsidR="00764D9C" w:rsidRPr="001550A2" w:rsidRDefault="005C7031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N</w:t>
      </w:r>
      <w:r w:rsidR="00764D9C" w:rsidRPr="001550A2">
        <w:rPr>
          <w:spacing w:val="-2"/>
          <w:szCs w:val="19"/>
          <w:shd w:val="clear" w:color="auto" w:fill="FFFFFF"/>
        </w:rPr>
        <w:t>ajwyższy udział w strukturze wydatków ogółu gospodarstw domowych miały</w:t>
      </w:r>
      <w:r w:rsidRPr="001550A2">
        <w:rPr>
          <w:spacing w:val="-2"/>
          <w:szCs w:val="19"/>
          <w:shd w:val="clear" w:color="auto" w:fill="FFFFFF"/>
        </w:rPr>
        <w:t>,</w:t>
      </w:r>
      <w:r w:rsidR="00764D9C" w:rsidRPr="001550A2">
        <w:rPr>
          <w:spacing w:val="-2"/>
          <w:szCs w:val="19"/>
          <w:shd w:val="clear" w:color="auto" w:fill="FFFFFF"/>
        </w:rPr>
        <w:t xml:space="preserve"> </w:t>
      </w:r>
      <w:r w:rsidR="00157C8F" w:rsidRPr="001550A2">
        <w:rPr>
          <w:spacing w:val="-2"/>
          <w:szCs w:val="19"/>
          <w:shd w:val="clear" w:color="auto" w:fill="FFFFFF"/>
        </w:rPr>
        <w:t>podobnie jak w </w:t>
      </w:r>
      <w:r w:rsidRPr="001550A2">
        <w:rPr>
          <w:spacing w:val="-2"/>
          <w:szCs w:val="19"/>
          <w:shd w:val="clear" w:color="auto" w:fill="FFFFFF"/>
        </w:rPr>
        <w:t xml:space="preserve">latach poprzednich, </w:t>
      </w:r>
      <w:r w:rsidR="00764D9C" w:rsidRPr="001550A2">
        <w:rPr>
          <w:spacing w:val="-2"/>
          <w:szCs w:val="19"/>
          <w:shd w:val="clear" w:color="auto" w:fill="FFFFFF"/>
        </w:rPr>
        <w:t xml:space="preserve">wydatki na żywność i napoje bezalkoholowe – 24,8%. Stanowiły one od 20,9% w gospodarstwach pracujących na własny rachunek poza gospodarstwem rolnym do 30,8% w gospodarstwach rolników. </w:t>
      </w:r>
    </w:p>
    <w:p w:rsidR="00764D9C" w:rsidRPr="001550A2" w:rsidRDefault="0032105B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>Kolejną</w:t>
      </w:r>
      <w:r w:rsidR="005C7031" w:rsidRPr="001550A2">
        <w:rPr>
          <w:spacing w:val="-2"/>
          <w:szCs w:val="19"/>
          <w:shd w:val="clear" w:color="auto" w:fill="FFFFFF"/>
        </w:rPr>
        <w:t xml:space="preserve"> istotną</w:t>
      </w:r>
      <w:r w:rsidR="00764D9C" w:rsidRPr="001550A2">
        <w:rPr>
          <w:spacing w:val="-2"/>
          <w:szCs w:val="19"/>
          <w:shd w:val="clear" w:color="auto" w:fill="FFFFFF"/>
        </w:rPr>
        <w:t xml:space="preserve"> pozycję w wydatkach gospodarstw domowych stanowiły wydatki na użytkowanie mieszkania lub domu i nośniki energii. Ich udział w wydatkach ogółem wyniósł przeciętnie 18,3%. </w:t>
      </w:r>
      <w:r w:rsidR="005C7031" w:rsidRPr="001550A2">
        <w:rPr>
          <w:spacing w:val="-2"/>
          <w:szCs w:val="19"/>
          <w:shd w:val="clear" w:color="auto" w:fill="FFFFFF"/>
        </w:rPr>
        <w:t>Najniższy był w</w:t>
      </w:r>
      <w:r w:rsidR="00764D9C" w:rsidRPr="001550A2">
        <w:rPr>
          <w:spacing w:val="-2"/>
          <w:szCs w:val="19"/>
          <w:shd w:val="clear" w:color="auto" w:fill="FFFFFF"/>
        </w:rPr>
        <w:t xml:space="preserve"> gospodarstwach domowych rolników (14,1%), </w:t>
      </w:r>
      <w:r w:rsidR="005C7031" w:rsidRPr="001550A2">
        <w:rPr>
          <w:spacing w:val="-2"/>
          <w:szCs w:val="19"/>
          <w:shd w:val="clear" w:color="auto" w:fill="FFFFFF"/>
        </w:rPr>
        <w:t xml:space="preserve">a najwyższy </w:t>
      </w:r>
      <w:r w:rsidR="00764D9C" w:rsidRPr="001550A2">
        <w:rPr>
          <w:spacing w:val="-2"/>
          <w:szCs w:val="19"/>
          <w:shd w:val="clear" w:color="auto" w:fill="FFFFFF"/>
        </w:rPr>
        <w:t>w gospodarstwach domo</w:t>
      </w:r>
      <w:r w:rsidR="005C7031" w:rsidRPr="001550A2">
        <w:rPr>
          <w:spacing w:val="-2"/>
          <w:szCs w:val="19"/>
          <w:shd w:val="clear" w:color="auto" w:fill="FFFFFF"/>
        </w:rPr>
        <w:t xml:space="preserve">wych rencistów </w:t>
      </w:r>
      <w:r w:rsidR="00764D9C" w:rsidRPr="001550A2">
        <w:rPr>
          <w:spacing w:val="-2"/>
          <w:szCs w:val="19"/>
          <w:shd w:val="clear" w:color="auto" w:fill="FFFFFF"/>
        </w:rPr>
        <w:t>(23,4%).</w:t>
      </w:r>
    </w:p>
    <w:p w:rsidR="00764D9C" w:rsidRPr="00F377FA" w:rsidRDefault="00764D9C" w:rsidP="00764D9C">
      <w:pPr>
        <w:jc w:val="both"/>
        <w:rPr>
          <w:i/>
          <w:spacing w:val="-2"/>
          <w:szCs w:val="19"/>
          <w:shd w:val="clear" w:color="auto" w:fill="FFFFFF"/>
        </w:rPr>
      </w:pPr>
    </w:p>
    <w:p w:rsidR="00764D9C" w:rsidRPr="00F377FA" w:rsidRDefault="000F5FF3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732339D3" wp14:editId="296E3F8D">
            <wp:extent cx="5122545" cy="2916000"/>
            <wp:effectExtent l="0" t="0" r="1905" b="0"/>
            <wp:docPr id="232" name="Wykres 2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64D9C" w:rsidRPr="006A3A31" w:rsidRDefault="00764D9C" w:rsidP="00764D9C">
      <w:pPr>
        <w:rPr>
          <w:spacing w:val="-2"/>
          <w:szCs w:val="19"/>
          <w:shd w:val="clear" w:color="auto" w:fill="FFFFFF"/>
        </w:rPr>
      </w:pPr>
      <w:r w:rsidRPr="006A3A31">
        <w:rPr>
          <w:spacing w:val="-2"/>
          <w:szCs w:val="19"/>
          <w:shd w:val="clear" w:color="auto" w:fill="FFFFFF"/>
        </w:rPr>
        <w:lastRenderedPageBreak/>
        <w:t>W przypadku pozostałych grup towarów i usług konsumpcyjnych zmiany udziału w strukturze wydatków ogółu gospodarstw domowych między 2018 a 2017 rokiem wyniosły od -0,</w:t>
      </w:r>
      <w:r w:rsidR="001B43D7" w:rsidRPr="002C4152">
        <w:rPr>
          <w:spacing w:val="-2"/>
          <w:szCs w:val="19"/>
          <w:shd w:val="clear" w:color="auto" w:fill="FFFFFF"/>
        </w:rPr>
        <w:t>7</w:t>
      </w:r>
      <w:r w:rsidRPr="006A3A31">
        <w:rPr>
          <w:spacing w:val="-2"/>
          <w:szCs w:val="19"/>
          <w:shd w:val="clear" w:color="auto" w:fill="FFFFFF"/>
        </w:rPr>
        <w:t xml:space="preserve"> p. proc. (łączność) do +1</w:t>
      </w:r>
      <w:r w:rsidRPr="002C4152">
        <w:rPr>
          <w:spacing w:val="-2"/>
          <w:szCs w:val="19"/>
          <w:shd w:val="clear" w:color="auto" w:fill="FFFFFF"/>
        </w:rPr>
        <w:t>,</w:t>
      </w:r>
      <w:r w:rsidR="001B43D7" w:rsidRPr="002C4152">
        <w:rPr>
          <w:spacing w:val="-2"/>
          <w:szCs w:val="19"/>
          <w:shd w:val="clear" w:color="auto" w:fill="FFFFFF"/>
        </w:rPr>
        <w:t>8</w:t>
      </w:r>
      <w:r w:rsidRPr="006A3A31">
        <w:rPr>
          <w:spacing w:val="-2"/>
          <w:szCs w:val="19"/>
          <w:shd w:val="clear" w:color="auto" w:fill="FFFFFF"/>
        </w:rPr>
        <w:t xml:space="preserve"> p. proc. (transport). </w:t>
      </w:r>
    </w:p>
    <w:p w:rsidR="00E84EE4" w:rsidRPr="001F43F3" w:rsidRDefault="00E84EE4">
      <w:pPr>
        <w:spacing w:line="240" w:lineRule="auto"/>
        <w:rPr>
          <w:i/>
          <w:spacing w:val="-2"/>
          <w:szCs w:val="19"/>
          <w:shd w:val="clear" w:color="auto" w:fill="FFFFFF"/>
        </w:rPr>
      </w:pPr>
    </w:p>
    <w:p w:rsidR="00764D9C" w:rsidRPr="00F377FA" w:rsidRDefault="000F5FF3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0588CD48" wp14:editId="6C37FA73">
            <wp:extent cx="5122545" cy="4140000"/>
            <wp:effectExtent l="0" t="0" r="1905" b="0"/>
            <wp:docPr id="233" name="Wykres 2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F43F3" w:rsidRPr="001F43F3" w:rsidRDefault="0031645A" w:rsidP="001F43F3">
      <w:pPr>
        <w:spacing w:line="240" w:lineRule="auto"/>
        <w:rPr>
          <w:spacing w:val="-2"/>
          <w:szCs w:val="19"/>
          <w:shd w:val="clear" w:color="auto" w:fill="FFFFFF"/>
        </w:rPr>
      </w:pPr>
      <w:r w:rsidRPr="001F43F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3A900FEE" wp14:editId="43BFE491">
                <wp:simplePos x="0" y="0"/>
                <wp:positionH relativeFrom="column">
                  <wp:posOffset>5210175</wp:posOffset>
                </wp:positionH>
                <wp:positionV relativeFrom="paragraph">
                  <wp:posOffset>60960</wp:posOffset>
                </wp:positionV>
                <wp:extent cx="1725295" cy="1476375"/>
                <wp:effectExtent l="0" t="0" r="0" b="0"/>
                <wp:wrapTight wrapText="bothSides">
                  <wp:wrapPolygon edited="0">
                    <wp:start x="715" y="0"/>
                    <wp:lineTo x="715" y="21182"/>
                    <wp:lineTo x="20749" y="21182"/>
                    <wp:lineTo x="20749" y="0"/>
                    <wp:lineTo x="715" y="0"/>
                  </wp:wrapPolygon>
                </wp:wrapTight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FF0615" w:rsidRDefault="001F4E44" w:rsidP="00764D9C">
                            <w:pPr>
                              <w:pStyle w:val="tekstzboku"/>
                            </w:pPr>
                            <w:r w:rsidRPr="00FF0615">
                              <w:t>W 2018 r. odsetek gospodarstw domowych z przeciętnym miesięcznym dochodem co najm</w:t>
                            </w:r>
                            <w:r>
                              <w:t xml:space="preserve">niej 2000 zł na osobę wyniósł </w:t>
                            </w:r>
                            <w:r w:rsidRPr="00901ED6">
                              <w:t>32,7</w:t>
                            </w:r>
                            <w:r w:rsidRPr="00FF0615">
                              <w:t>%</w:t>
                            </w:r>
                            <w:r>
                              <w:t xml:space="preserve"> (w 2017 r. – 28,5%).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00FEE" id="Pole tekstowe 217" o:spid="_x0000_s1034" type="#_x0000_t202" style="position:absolute;margin-left:410.25pt;margin-top:4.8pt;width:135.85pt;height:116.25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" filled="f" stroked="f">
                <v:textbox>
                  <w:txbxContent>
                    <w:p w:rsidR="001F4E44" w:rsidRPr="00FF0615" w:rsidRDefault="001F4E44" w:rsidP="00764D9C">
                      <w:pPr>
                        <w:pStyle w:val="tekstzboku"/>
                      </w:pPr>
                      <w:r w:rsidRPr="00FF0615">
                        <w:t>W 2018 r. odsetek gospodarstw domowych z przeciętnym miesięcznym dochodem co najm</w:t>
                      </w:r>
                      <w:r>
                        <w:t xml:space="preserve">niej 2000 zł na osobę wyniósł </w:t>
                      </w:r>
                      <w:r w:rsidRPr="00901ED6">
                        <w:t>32,7</w:t>
                      </w:r>
                      <w:r w:rsidRPr="00FF0615">
                        <w:t>%</w:t>
                      </w:r>
                      <w:r>
                        <w:t xml:space="preserve"> (w 2017 r. – 28,5%).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64D9C" w:rsidRPr="001550A2" w:rsidRDefault="00FF0615" w:rsidP="001F43F3">
      <w:pPr>
        <w:spacing w:line="240" w:lineRule="auto"/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W 2018 r. 67,3</w:t>
      </w:r>
      <w:r w:rsidR="00764D9C" w:rsidRPr="001550A2">
        <w:rPr>
          <w:spacing w:val="-2"/>
          <w:szCs w:val="19"/>
          <w:shd w:val="clear" w:color="auto" w:fill="FFFFFF"/>
        </w:rPr>
        <w:t>% gospodarstw domowych dysponowało przeciętnym miesięcznym dochodem rozporządzalnym na osob</w:t>
      </w:r>
      <w:r w:rsidRPr="001550A2">
        <w:rPr>
          <w:spacing w:val="-2"/>
          <w:szCs w:val="19"/>
          <w:shd w:val="clear" w:color="auto" w:fill="FFFFFF"/>
        </w:rPr>
        <w:t>ę wynoszącym poniżej 2000 zł (71,5% w 2017 r.), 28,3</w:t>
      </w:r>
      <w:r w:rsidR="00764D9C" w:rsidRPr="001550A2">
        <w:rPr>
          <w:spacing w:val="-2"/>
          <w:szCs w:val="19"/>
          <w:shd w:val="clear" w:color="auto" w:fill="FFFFFF"/>
        </w:rPr>
        <w:t>% gospodarstw domowych miało dochód</w:t>
      </w:r>
      <w:r w:rsidRPr="001550A2">
        <w:rPr>
          <w:spacing w:val="-2"/>
          <w:szCs w:val="19"/>
          <w:shd w:val="clear" w:color="auto" w:fill="FFFFFF"/>
        </w:rPr>
        <w:t xml:space="preserve"> od 2000 do 4000 zł na osobę (25,0</w:t>
      </w:r>
      <w:r w:rsidR="00764D9C" w:rsidRPr="001550A2">
        <w:rPr>
          <w:spacing w:val="-2"/>
          <w:szCs w:val="19"/>
          <w:shd w:val="clear" w:color="auto" w:fill="FFFFFF"/>
        </w:rPr>
        <w:t>% w 20</w:t>
      </w:r>
      <w:r w:rsidRPr="001550A2">
        <w:rPr>
          <w:spacing w:val="-2"/>
          <w:szCs w:val="19"/>
          <w:shd w:val="clear" w:color="auto" w:fill="FFFFFF"/>
        </w:rPr>
        <w:t>17 r.), 3,0</w:t>
      </w:r>
      <w:r w:rsidR="00764D9C" w:rsidRPr="001550A2">
        <w:rPr>
          <w:spacing w:val="-2"/>
          <w:szCs w:val="19"/>
          <w:shd w:val="clear" w:color="auto" w:fill="FFFFFF"/>
        </w:rPr>
        <w:t xml:space="preserve">% gospodarstw dysponowało dochodem </w:t>
      </w:r>
      <w:r w:rsidRPr="001550A2">
        <w:rPr>
          <w:spacing w:val="-2"/>
          <w:szCs w:val="19"/>
          <w:shd w:val="clear" w:color="auto" w:fill="FFFFFF"/>
        </w:rPr>
        <w:t>od 4000 do 6000 zł na osobę (2,5% w 2017</w:t>
      </w:r>
      <w:r w:rsidR="00764D9C" w:rsidRPr="001550A2">
        <w:rPr>
          <w:spacing w:val="-2"/>
          <w:szCs w:val="19"/>
          <w:shd w:val="clear" w:color="auto" w:fill="FFFFFF"/>
        </w:rPr>
        <w:t xml:space="preserve"> r.), a 6000 zł </w:t>
      </w:r>
      <w:r w:rsidR="004B1ED2">
        <w:rPr>
          <w:spacing w:val="-2"/>
          <w:szCs w:val="19"/>
          <w:shd w:val="clear" w:color="auto" w:fill="FFFFFF"/>
        </w:rPr>
        <w:t xml:space="preserve">lub więcej </w:t>
      </w:r>
      <w:r w:rsidR="00764D9C" w:rsidRPr="001550A2">
        <w:rPr>
          <w:spacing w:val="-2"/>
          <w:szCs w:val="19"/>
          <w:shd w:val="clear" w:color="auto" w:fill="FFFFFF"/>
        </w:rPr>
        <w:t>na oso</w:t>
      </w:r>
      <w:r w:rsidR="004B1ED2">
        <w:rPr>
          <w:spacing w:val="-2"/>
          <w:szCs w:val="19"/>
          <w:shd w:val="clear" w:color="auto" w:fill="FFFFFF"/>
        </w:rPr>
        <w:t xml:space="preserve">bę </w:t>
      </w:r>
      <w:r w:rsidRPr="001550A2">
        <w:rPr>
          <w:spacing w:val="-2"/>
          <w:szCs w:val="19"/>
          <w:shd w:val="clear" w:color="auto" w:fill="FFFFFF"/>
        </w:rPr>
        <w:t>mia</w:t>
      </w:r>
      <w:r w:rsidR="00C53EBB" w:rsidRPr="001550A2">
        <w:rPr>
          <w:spacing w:val="-2"/>
          <w:szCs w:val="19"/>
          <w:shd w:val="clear" w:color="auto" w:fill="FFFFFF"/>
        </w:rPr>
        <w:t xml:space="preserve">ło </w:t>
      </w:r>
      <w:r w:rsidR="00764D9C" w:rsidRPr="001550A2">
        <w:rPr>
          <w:spacing w:val="-2"/>
          <w:szCs w:val="19"/>
          <w:shd w:val="clear" w:color="auto" w:fill="FFFFFF"/>
        </w:rPr>
        <w:t>1</w:t>
      </w:r>
      <w:r w:rsidR="00C53EBB" w:rsidRPr="001550A2">
        <w:rPr>
          <w:spacing w:val="-2"/>
          <w:szCs w:val="19"/>
          <w:shd w:val="clear" w:color="auto" w:fill="FFFFFF"/>
        </w:rPr>
        <w:t xml:space="preserve">,2 </w:t>
      </w:r>
      <w:r w:rsidR="00764D9C" w:rsidRPr="001550A2">
        <w:rPr>
          <w:spacing w:val="-2"/>
          <w:szCs w:val="19"/>
          <w:shd w:val="clear" w:color="auto" w:fill="FFFFFF"/>
        </w:rPr>
        <w:t>% gospodarstw domowych</w:t>
      </w:r>
      <w:r w:rsidR="00C53EBB" w:rsidRPr="001550A2">
        <w:rPr>
          <w:spacing w:val="-2"/>
          <w:szCs w:val="19"/>
          <w:shd w:val="clear" w:color="auto" w:fill="FFFFFF"/>
        </w:rPr>
        <w:t xml:space="preserve"> (1,0% w 2017 r.)</w:t>
      </w:r>
      <w:r w:rsidR="00764D9C" w:rsidRPr="001550A2">
        <w:rPr>
          <w:spacing w:val="-2"/>
          <w:szCs w:val="19"/>
          <w:shd w:val="clear" w:color="auto" w:fill="FFFFFF"/>
        </w:rPr>
        <w:t>.</w:t>
      </w:r>
    </w:p>
    <w:p w:rsidR="00764D9C" w:rsidRPr="005C13CD" w:rsidRDefault="00A219FA" w:rsidP="00764D9C">
      <w:pPr>
        <w:rPr>
          <w:szCs w:val="19"/>
          <w:shd w:val="clear" w:color="auto" w:fill="FFFFFF"/>
        </w:rPr>
      </w:pPr>
      <w:r w:rsidRPr="005C13C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33B076FA" wp14:editId="13D128AB">
                <wp:simplePos x="0" y="0"/>
                <wp:positionH relativeFrom="column">
                  <wp:posOffset>5212080</wp:posOffset>
                </wp:positionH>
                <wp:positionV relativeFrom="paragraph">
                  <wp:posOffset>722630</wp:posOffset>
                </wp:positionV>
                <wp:extent cx="1764665" cy="1963420"/>
                <wp:effectExtent l="0" t="0" r="0" b="0"/>
                <wp:wrapTight wrapText="bothSides">
                  <wp:wrapPolygon edited="0">
                    <wp:start x="700" y="0"/>
                    <wp:lineTo x="700" y="21376"/>
                    <wp:lineTo x="20753" y="21376"/>
                    <wp:lineTo x="20753" y="0"/>
                    <wp:lineTo x="700" y="0"/>
                  </wp:wrapPolygon>
                </wp:wrapTight>
                <wp:docPr id="216" name="Pole tekstow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96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31645A" w:rsidRDefault="001F4E44" w:rsidP="00764D9C">
                            <w:pPr>
                              <w:pStyle w:val="tekstzboku"/>
                              <w:rPr>
                                <w:spacing w:val="-2"/>
                              </w:rPr>
                            </w:pPr>
                            <w:r w:rsidRPr="0031645A">
                              <w:rPr>
                                <w:spacing w:val="-2"/>
                              </w:rPr>
                              <w:t>W gospodarstwach 20% osób znajdujących się w najlepszej sytuacji dochodowej skumulowanych było 38,7% dochodów całej badanej zbiorowości gospodarstw domowych, podczas gdy w gospodarstwach 20% osób pozostają</w:t>
                            </w:r>
                            <w:r>
                              <w:rPr>
                                <w:spacing w:val="-2"/>
                              </w:rPr>
                              <w:t>cych w </w:t>
                            </w:r>
                            <w:r w:rsidRPr="0031645A">
                              <w:rPr>
                                <w:spacing w:val="-2"/>
                              </w:rPr>
                              <w:t>najgorszej sytuacji – 7,9%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76FA" id="Pole tekstowe 216" o:spid="_x0000_s1035" type="#_x0000_t202" style="position:absolute;margin-left:410.4pt;margin-top:56.9pt;width:138.95pt;height:154.6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" filled="f" stroked="f">
                <v:textbox>
                  <w:txbxContent>
                    <w:p w:rsidR="001F4E44" w:rsidRPr="0031645A" w:rsidRDefault="001F4E44" w:rsidP="00764D9C">
                      <w:pPr>
                        <w:pStyle w:val="tekstzboku"/>
                        <w:rPr>
                          <w:spacing w:val="-2"/>
                        </w:rPr>
                      </w:pPr>
                      <w:r w:rsidRPr="0031645A">
                        <w:rPr>
                          <w:spacing w:val="-2"/>
                        </w:rPr>
                        <w:t>W gospodarstwach 20% osób znajdujących się w najlepszej sytuacji dochodowej skumulowanych było 38,7% dochodów całej badanej zbiorowości gospodarstw domowych, podczas gdy w gospodarstwach 20% osób pozostają</w:t>
                      </w:r>
                      <w:r>
                        <w:rPr>
                          <w:spacing w:val="-2"/>
                        </w:rPr>
                        <w:t>cych w </w:t>
                      </w:r>
                      <w:r w:rsidRPr="0031645A">
                        <w:rPr>
                          <w:spacing w:val="-2"/>
                        </w:rPr>
                        <w:t>najgorszej sytuacji – 7,9%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4D9C" w:rsidRPr="005C13CD">
        <w:rPr>
          <w:szCs w:val="19"/>
          <w:shd w:val="clear" w:color="auto" w:fill="FFFFFF"/>
        </w:rPr>
        <w:t>Przeciętny miesięczny dochód rozporządzalny 20% osób o najwyższych dochodach (V grupa kwintylowa) wyniósł 3277 zł i był 4,9 raz</w:t>
      </w:r>
      <w:r w:rsidR="005C13CD" w:rsidRPr="005C13CD">
        <w:rPr>
          <w:szCs w:val="19"/>
          <w:shd w:val="clear" w:color="auto" w:fill="FFFFFF"/>
        </w:rPr>
        <w:t>a</w:t>
      </w:r>
      <w:r w:rsidR="00764D9C" w:rsidRPr="005C13CD">
        <w:rPr>
          <w:szCs w:val="19"/>
          <w:shd w:val="clear" w:color="auto" w:fill="FFFFFF"/>
        </w:rPr>
        <w:t xml:space="preserve"> wyższy (w 2017 r. ponad 4,7 raz</w:t>
      </w:r>
      <w:r w:rsidR="005C13CD" w:rsidRPr="005C13CD">
        <w:rPr>
          <w:szCs w:val="19"/>
          <w:shd w:val="clear" w:color="auto" w:fill="FFFFFF"/>
        </w:rPr>
        <w:t>a</w:t>
      </w:r>
      <w:r w:rsidR="00764D9C" w:rsidRPr="005C13CD">
        <w:rPr>
          <w:szCs w:val="19"/>
          <w:shd w:val="clear" w:color="auto" w:fill="FFFFFF"/>
        </w:rPr>
        <w:t xml:space="preserve"> wyższy</w:t>
      </w:r>
      <w:r w:rsidR="0031645A" w:rsidRPr="005C13CD">
        <w:rPr>
          <w:szCs w:val="19"/>
          <w:shd w:val="clear" w:color="auto" w:fill="FFFFFF"/>
        </w:rPr>
        <w:t xml:space="preserve"> i wyniósł 3086 zł</w:t>
      </w:r>
      <w:r w:rsidR="00764D9C" w:rsidRPr="005C13CD">
        <w:rPr>
          <w:szCs w:val="19"/>
          <w:shd w:val="clear" w:color="auto" w:fill="FFFFFF"/>
        </w:rPr>
        <w:t xml:space="preserve">) od analogicznego dochodu 20% osób uzyskujących najniższe dochody (I grupa kwintylowa). </w:t>
      </w:r>
      <w:r w:rsidR="00B5591A" w:rsidRPr="005C13CD">
        <w:rPr>
          <w:szCs w:val="19"/>
          <w:shd w:val="clear" w:color="auto" w:fill="FFFFFF"/>
        </w:rPr>
        <w:t>W porównaniu do 2017 r. r</w:t>
      </w:r>
      <w:r w:rsidR="00764D9C" w:rsidRPr="005C13CD">
        <w:rPr>
          <w:szCs w:val="19"/>
          <w:shd w:val="clear" w:color="auto" w:fill="FFFFFF"/>
        </w:rPr>
        <w:t xml:space="preserve">elacja ta nieco wzrosła, co może </w:t>
      </w:r>
      <w:r w:rsidR="00B5591A" w:rsidRPr="005C13CD">
        <w:rPr>
          <w:szCs w:val="19"/>
          <w:shd w:val="clear" w:color="auto" w:fill="FFFFFF"/>
        </w:rPr>
        <w:t>wskazywać na zahamowanie</w:t>
      </w:r>
      <w:r w:rsidR="00764D9C" w:rsidRPr="005C13CD">
        <w:rPr>
          <w:szCs w:val="19"/>
          <w:shd w:val="clear" w:color="auto" w:fill="FFFFFF"/>
        </w:rPr>
        <w:t xml:space="preserve"> tendencji do zmniejszania się zróżnicowania dochodów. </w:t>
      </w:r>
    </w:p>
    <w:p w:rsidR="00764D9C" w:rsidRPr="001550A2" w:rsidRDefault="00692D54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 xml:space="preserve">Podobnie jak w 2017 r., w </w:t>
      </w:r>
      <w:r w:rsidR="00764D9C" w:rsidRPr="001550A2">
        <w:rPr>
          <w:spacing w:val="-2"/>
          <w:szCs w:val="19"/>
          <w:shd w:val="clear" w:color="auto" w:fill="FFFFFF"/>
        </w:rPr>
        <w:t>gospodarstwach 20% osób znajdujących się w najlepszej sytuacji dochodowej skumulowa</w:t>
      </w:r>
      <w:r w:rsidR="00C821D3" w:rsidRPr="001550A2">
        <w:rPr>
          <w:spacing w:val="-2"/>
          <w:szCs w:val="19"/>
          <w:shd w:val="clear" w:color="auto" w:fill="FFFFFF"/>
        </w:rPr>
        <w:t>nych było 38,7</w:t>
      </w:r>
      <w:r w:rsidR="00764D9C" w:rsidRPr="001550A2">
        <w:rPr>
          <w:spacing w:val="-2"/>
          <w:szCs w:val="19"/>
          <w:shd w:val="clear" w:color="auto" w:fill="FFFFFF"/>
        </w:rPr>
        <w:t>% dochodów całej badanej zbiorowości gospodarstw domowych (</w:t>
      </w:r>
      <w:r w:rsidR="002C4152" w:rsidRPr="001550A2">
        <w:rPr>
          <w:spacing w:val="-2"/>
          <w:szCs w:val="19"/>
          <w:shd w:val="clear" w:color="auto" w:fill="FFFFFF"/>
        </w:rPr>
        <w:t xml:space="preserve">w 2017 r. </w:t>
      </w:r>
      <w:r w:rsidR="005C13CD" w:rsidRPr="001550A2">
        <w:rPr>
          <w:spacing w:val="-2"/>
          <w:szCs w:val="19"/>
          <w:shd w:val="clear" w:color="auto" w:fill="FFFFFF"/>
        </w:rPr>
        <w:t>–</w:t>
      </w:r>
      <w:r w:rsidR="005C13CD">
        <w:rPr>
          <w:spacing w:val="-2"/>
          <w:szCs w:val="19"/>
          <w:shd w:val="clear" w:color="auto" w:fill="FFFFFF"/>
        </w:rPr>
        <w:t xml:space="preserve"> </w:t>
      </w:r>
      <w:r w:rsidR="00C821D3" w:rsidRPr="001550A2">
        <w:rPr>
          <w:spacing w:val="-2"/>
          <w:szCs w:val="19"/>
          <w:shd w:val="clear" w:color="auto" w:fill="FFFFFF"/>
        </w:rPr>
        <w:t>38,6%</w:t>
      </w:r>
      <w:r w:rsidR="002C4152" w:rsidRPr="001550A2">
        <w:rPr>
          <w:spacing w:val="-2"/>
          <w:szCs w:val="19"/>
          <w:shd w:val="clear" w:color="auto" w:fill="FFFFFF"/>
        </w:rPr>
        <w:t>)</w:t>
      </w:r>
      <w:r w:rsidR="00B5591A" w:rsidRPr="001550A2">
        <w:rPr>
          <w:spacing w:val="-2"/>
          <w:szCs w:val="19"/>
          <w:shd w:val="clear" w:color="auto" w:fill="FFFFFF"/>
        </w:rPr>
        <w:t>,</w:t>
      </w:r>
      <w:r w:rsidR="00C821D3" w:rsidRPr="001550A2">
        <w:rPr>
          <w:spacing w:val="-2"/>
          <w:szCs w:val="19"/>
          <w:shd w:val="clear" w:color="auto" w:fill="FFFFFF"/>
        </w:rPr>
        <w:t xml:space="preserve"> </w:t>
      </w:r>
      <w:r w:rsidR="00B5591A" w:rsidRPr="001550A2">
        <w:rPr>
          <w:spacing w:val="-2"/>
          <w:szCs w:val="19"/>
          <w:shd w:val="clear" w:color="auto" w:fill="FFFFFF"/>
        </w:rPr>
        <w:t>natomiast</w:t>
      </w:r>
      <w:r w:rsidR="00764D9C" w:rsidRPr="001550A2">
        <w:rPr>
          <w:spacing w:val="-2"/>
          <w:szCs w:val="19"/>
          <w:shd w:val="clear" w:color="auto" w:fill="FFFFFF"/>
        </w:rPr>
        <w:t xml:space="preserve"> w gospodarstwach 20% osób pozosta</w:t>
      </w:r>
      <w:r w:rsidR="00AD49E7" w:rsidRPr="001550A2">
        <w:rPr>
          <w:spacing w:val="-2"/>
          <w:szCs w:val="19"/>
          <w:shd w:val="clear" w:color="auto" w:fill="FFFFFF"/>
        </w:rPr>
        <w:t>jących w najgorszej sytuacji – 7,9</w:t>
      </w:r>
      <w:r w:rsidR="00764D9C" w:rsidRPr="001550A2">
        <w:rPr>
          <w:spacing w:val="-2"/>
          <w:szCs w:val="19"/>
          <w:shd w:val="clear" w:color="auto" w:fill="FFFFFF"/>
        </w:rPr>
        <w:t>% (w 2017 r. – 8,2%). Różnica dochodów skumulowanych pomiędzy skrajnymi grupami kwintylowymi wzrosła o 0,</w:t>
      </w:r>
      <w:r w:rsidR="00AD49E7" w:rsidRPr="001550A2">
        <w:rPr>
          <w:spacing w:val="-2"/>
          <w:szCs w:val="19"/>
          <w:shd w:val="clear" w:color="auto" w:fill="FFFFFF"/>
        </w:rPr>
        <w:t>4</w:t>
      </w:r>
      <w:r w:rsidR="00764D9C" w:rsidRPr="001550A2">
        <w:rPr>
          <w:spacing w:val="-2"/>
          <w:szCs w:val="19"/>
          <w:shd w:val="clear" w:color="auto" w:fill="FFFFFF"/>
        </w:rPr>
        <w:t xml:space="preserve"> p. proc. do 30,</w:t>
      </w:r>
      <w:r w:rsidR="00AD49E7" w:rsidRPr="001550A2">
        <w:rPr>
          <w:spacing w:val="-2"/>
          <w:szCs w:val="19"/>
          <w:shd w:val="clear" w:color="auto" w:fill="FFFFFF"/>
        </w:rPr>
        <w:t>8</w:t>
      </w:r>
      <w:r w:rsidR="00764D9C" w:rsidRPr="001550A2">
        <w:rPr>
          <w:spacing w:val="-2"/>
          <w:szCs w:val="19"/>
          <w:shd w:val="clear" w:color="auto" w:fill="FFFFFF"/>
        </w:rPr>
        <w:t xml:space="preserve"> p. proc.</w:t>
      </w:r>
    </w:p>
    <w:p w:rsidR="00E84EE4" w:rsidRPr="001F43F3" w:rsidRDefault="00E84EE4">
      <w:pPr>
        <w:spacing w:line="240" w:lineRule="auto"/>
        <w:jc w:val="both"/>
        <w:rPr>
          <w:i/>
          <w:spacing w:val="-2"/>
          <w:szCs w:val="19"/>
          <w:shd w:val="clear" w:color="auto" w:fill="FFFFFF"/>
        </w:rPr>
      </w:pPr>
    </w:p>
    <w:p w:rsidR="00764D9C" w:rsidRPr="00F377FA" w:rsidRDefault="00860BA6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5A11E569" wp14:editId="7B9ADD4F">
            <wp:extent cx="5122545" cy="2880000"/>
            <wp:effectExtent l="0" t="0" r="1905" b="0"/>
            <wp:docPr id="235" name="Wykres 2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F43F3" w:rsidRDefault="001F43F3" w:rsidP="00764D9C">
      <w:pPr>
        <w:rPr>
          <w:spacing w:val="-2"/>
          <w:szCs w:val="19"/>
          <w:shd w:val="clear" w:color="auto" w:fill="FFFFFF"/>
        </w:rPr>
      </w:pPr>
    </w:p>
    <w:p w:rsidR="00764D9C" w:rsidRPr="001550A2" w:rsidRDefault="00A219FA" w:rsidP="00764D9C">
      <w:pPr>
        <w:rPr>
          <w:spacing w:val="-3"/>
          <w:szCs w:val="19"/>
          <w:shd w:val="clear" w:color="auto" w:fill="FFFFFF"/>
        </w:rPr>
      </w:pPr>
      <w:r w:rsidRPr="001550A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7F291CAD" wp14:editId="673E1826">
                <wp:simplePos x="0" y="0"/>
                <wp:positionH relativeFrom="column">
                  <wp:posOffset>5210175</wp:posOffset>
                </wp:positionH>
                <wp:positionV relativeFrom="paragraph">
                  <wp:posOffset>715645</wp:posOffset>
                </wp:positionV>
                <wp:extent cx="1725295" cy="2200275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215" name="Pole tekstow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F670FE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670FE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Przeciętny miesięczny dochód rozporządzalny na osobę w gospodarstwach domowych zamieszkujących miast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 był wyższy o 29,9% niż na wsi.</w:t>
                            </w:r>
                          </w:p>
                          <w:p w:rsidR="001F4E44" w:rsidRPr="00F670FE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F670FE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Przeciętne miesięczne wydatki na osobę w gospodarstwach domowych zamiesz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kujących miasta były o 34,</w:t>
                            </w:r>
                            <w:r w:rsidRPr="001550A2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wyższe niż na wsi.</w:t>
                            </w:r>
                          </w:p>
                          <w:p w:rsidR="001F4E44" w:rsidRPr="00B31DA4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1CAD" id="Pole tekstowe 215" o:spid="_x0000_s1036" type="#_x0000_t202" style="position:absolute;margin-left:410.25pt;margin-top:56.35pt;width:135.85pt;height:173.2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" filled="f" stroked="f">
                <v:textbox>
                  <w:txbxContent>
                    <w:p w:rsidR="001F4E44" w:rsidRPr="00F670FE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F670FE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Przeciętny miesięczny dochód rozporządzalny na osobę w gospodarstwach domowych zamieszkujących miast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 był wyższy o 29,9% niż na wsi.</w:t>
                      </w:r>
                    </w:p>
                    <w:p w:rsidR="001F4E44" w:rsidRPr="00F670FE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F670FE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Przeciętne miesięczne wydatki na osobę w gospodarstwach domowych zamiesz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kujących miasta były o 34,</w:t>
                      </w:r>
                      <w:r w:rsidRPr="001550A2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wyższe niż na wsi.</w:t>
                      </w:r>
                    </w:p>
                    <w:p w:rsidR="001F4E44" w:rsidRPr="00B31DA4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92D54" w:rsidRPr="001550A2">
        <w:rPr>
          <w:spacing w:val="-2"/>
          <w:szCs w:val="19"/>
          <w:shd w:val="clear" w:color="auto" w:fill="FFFFFF"/>
        </w:rPr>
        <w:t xml:space="preserve">Tak jak w roku </w:t>
      </w:r>
      <w:r w:rsidR="009A235F">
        <w:rPr>
          <w:spacing w:val="-2"/>
          <w:szCs w:val="19"/>
          <w:shd w:val="clear" w:color="auto" w:fill="FFFFFF"/>
        </w:rPr>
        <w:t>poprzednim</w:t>
      </w:r>
      <w:r w:rsidR="00692D54" w:rsidRPr="001550A2">
        <w:rPr>
          <w:spacing w:val="-2"/>
          <w:szCs w:val="19"/>
          <w:shd w:val="clear" w:color="auto" w:fill="FFFFFF"/>
        </w:rPr>
        <w:t>, p</w:t>
      </w:r>
      <w:r w:rsidR="00764D9C" w:rsidRPr="001550A2">
        <w:rPr>
          <w:spacing w:val="-2"/>
          <w:szCs w:val="19"/>
          <w:shd w:val="clear" w:color="auto" w:fill="FFFFFF"/>
        </w:rPr>
        <w:t>rzeciętne</w:t>
      </w:r>
      <w:r w:rsidR="00764D9C" w:rsidRPr="001550A2">
        <w:rPr>
          <w:spacing w:val="-3"/>
          <w:szCs w:val="19"/>
          <w:shd w:val="clear" w:color="auto" w:fill="FFFFFF"/>
        </w:rPr>
        <w:t xml:space="preserve"> miesięczne wydatki na 1 osobę w V grupie kwintylowej były 2,8 raz</w:t>
      </w:r>
      <w:r w:rsidR="005C13CD">
        <w:rPr>
          <w:spacing w:val="-3"/>
          <w:szCs w:val="19"/>
          <w:shd w:val="clear" w:color="auto" w:fill="FFFFFF"/>
        </w:rPr>
        <w:t>a</w:t>
      </w:r>
      <w:r w:rsidR="00764D9C" w:rsidRPr="001550A2">
        <w:rPr>
          <w:spacing w:val="-3"/>
          <w:szCs w:val="19"/>
          <w:shd w:val="clear" w:color="auto" w:fill="FFFFFF"/>
        </w:rPr>
        <w:t xml:space="preserve"> wyższe niż w I grupie kwintylowej. Udział wydatkó</w:t>
      </w:r>
      <w:r w:rsidR="00991260" w:rsidRPr="001550A2">
        <w:rPr>
          <w:spacing w:val="-3"/>
          <w:szCs w:val="19"/>
          <w:shd w:val="clear" w:color="auto" w:fill="FFFFFF"/>
        </w:rPr>
        <w:t>w w dochodzie rozporządzalnym w </w:t>
      </w:r>
      <w:r w:rsidR="00334C90" w:rsidRPr="001550A2">
        <w:rPr>
          <w:spacing w:val="-3"/>
          <w:szCs w:val="19"/>
          <w:shd w:val="clear" w:color="auto" w:fill="FFFFFF"/>
        </w:rPr>
        <w:t>najwyższej</w:t>
      </w:r>
      <w:r w:rsidR="00157C8F" w:rsidRPr="001550A2">
        <w:rPr>
          <w:spacing w:val="-3"/>
          <w:szCs w:val="19"/>
          <w:shd w:val="clear" w:color="auto" w:fill="FFFFFF"/>
        </w:rPr>
        <w:t xml:space="preserve"> </w:t>
      </w:r>
      <w:r w:rsidR="00764D9C" w:rsidRPr="001550A2">
        <w:rPr>
          <w:spacing w:val="-3"/>
          <w:szCs w:val="19"/>
          <w:shd w:val="clear" w:color="auto" w:fill="FFFFFF"/>
        </w:rPr>
        <w:t xml:space="preserve">grupie kwintylowej wyniósł </w:t>
      </w:r>
      <w:r w:rsidR="00334C90" w:rsidRPr="001550A2">
        <w:rPr>
          <w:spacing w:val="-3"/>
          <w:szCs w:val="19"/>
          <w:shd w:val="clear" w:color="auto" w:fill="FFFFFF"/>
        </w:rPr>
        <w:t>61,3%, a w najniższej – 107,6%. Wynika z tego</w:t>
      </w:r>
      <w:r w:rsidR="00764D9C" w:rsidRPr="001550A2">
        <w:rPr>
          <w:spacing w:val="-3"/>
          <w:szCs w:val="19"/>
          <w:shd w:val="clear" w:color="auto" w:fill="FFFFFF"/>
        </w:rPr>
        <w:t xml:space="preserve">, że gospodarstwa najbiedniejsze nadal były zmuszone korzystać ze swoich oszczędności </w:t>
      </w:r>
      <w:r w:rsidR="00334C90" w:rsidRPr="001550A2">
        <w:rPr>
          <w:spacing w:val="-3"/>
          <w:szCs w:val="19"/>
          <w:shd w:val="clear" w:color="auto" w:fill="FFFFFF"/>
        </w:rPr>
        <w:t>lub</w:t>
      </w:r>
      <w:r w:rsidR="00764D9C" w:rsidRPr="001550A2">
        <w:rPr>
          <w:spacing w:val="-3"/>
          <w:szCs w:val="19"/>
          <w:shd w:val="clear" w:color="auto" w:fill="FFFFFF"/>
        </w:rPr>
        <w:t xml:space="preserve"> pożyczek</w:t>
      </w:r>
      <w:r w:rsidR="00334C90" w:rsidRPr="001550A2">
        <w:rPr>
          <w:spacing w:val="-3"/>
          <w:szCs w:val="19"/>
          <w:shd w:val="clear" w:color="auto" w:fill="FFFFFF"/>
        </w:rPr>
        <w:t>, czy</w:t>
      </w:r>
      <w:r w:rsidR="00764D9C" w:rsidRPr="001550A2">
        <w:rPr>
          <w:spacing w:val="-3"/>
          <w:szCs w:val="19"/>
          <w:shd w:val="clear" w:color="auto" w:fill="FFFFFF"/>
        </w:rPr>
        <w:t xml:space="preserve"> kredytów, i to</w:t>
      </w:r>
      <w:r w:rsidR="00334C90" w:rsidRPr="001550A2">
        <w:rPr>
          <w:spacing w:val="-3"/>
          <w:szCs w:val="19"/>
          <w:shd w:val="clear" w:color="auto" w:fill="FFFFFF"/>
        </w:rPr>
        <w:t xml:space="preserve"> nawet </w:t>
      </w:r>
      <w:r w:rsidR="00BF2F0A" w:rsidRPr="001550A2">
        <w:rPr>
          <w:spacing w:val="-3"/>
          <w:szCs w:val="19"/>
          <w:shd w:val="clear" w:color="auto" w:fill="FFFFFF"/>
        </w:rPr>
        <w:t xml:space="preserve">w stopniu nieco wyższym </w:t>
      </w:r>
      <w:r w:rsidR="00764D9C" w:rsidRPr="001550A2">
        <w:rPr>
          <w:spacing w:val="-3"/>
          <w:szCs w:val="19"/>
          <w:shd w:val="clear" w:color="auto" w:fill="FFFFFF"/>
        </w:rPr>
        <w:t xml:space="preserve">niż w </w:t>
      </w:r>
      <w:r w:rsidR="00334C90" w:rsidRPr="001550A2">
        <w:rPr>
          <w:spacing w:val="-3"/>
          <w:szCs w:val="19"/>
          <w:shd w:val="clear" w:color="auto" w:fill="FFFFFF"/>
        </w:rPr>
        <w:t>roku poprzednim</w:t>
      </w:r>
      <w:r w:rsidR="00764D9C" w:rsidRPr="001550A2">
        <w:rPr>
          <w:spacing w:val="-3"/>
          <w:szCs w:val="19"/>
          <w:shd w:val="clear" w:color="auto" w:fill="FFFFFF"/>
        </w:rPr>
        <w:t xml:space="preserve"> (</w:t>
      </w:r>
      <w:r w:rsidR="00334C90" w:rsidRPr="001550A2">
        <w:rPr>
          <w:spacing w:val="-3"/>
          <w:szCs w:val="19"/>
          <w:shd w:val="clear" w:color="auto" w:fill="FFFFFF"/>
        </w:rPr>
        <w:t>w 2017 r.</w:t>
      </w:r>
      <w:r w:rsidR="00764D9C" w:rsidRPr="001550A2">
        <w:rPr>
          <w:spacing w:val="-3"/>
          <w:szCs w:val="19"/>
          <w:shd w:val="clear" w:color="auto" w:fill="FFFFFF"/>
        </w:rPr>
        <w:t xml:space="preserve"> udział ten wyniósł 105,9%).</w:t>
      </w:r>
    </w:p>
    <w:p w:rsidR="00764D9C" w:rsidRPr="001550A2" w:rsidRDefault="0031645A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 xml:space="preserve">Czynnikiem silnie różnicującym </w:t>
      </w:r>
      <w:r w:rsidR="00FF4F84" w:rsidRPr="001550A2">
        <w:rPr>
          <w:spacing w:val="-2"/>
          <w:szCs w:val="19"/>
          <w:shd w:val="clear" w:color="auto" w:fill="FFFFFF"/>
        </w:rPr>
        <w:t>dynamik</w:t>
      </w:r>
      <w:r>
        <w:rPr>
          <w:spacing w:val="-2"/>
          <w:szCs w:val="19"/>
          <w:shd w:val="clear" w:color="auto" w:fill="FFFFFF"/>
        </w:rPr>
        <w:t>ę</w:t>
      </w:r>
      <w:r w:rsidR="00FF4F84" w:rsidRPr="001550A2">
        <w:rPr>
          <w:spacing w:val="-2"/>
          <w:szCs w:val="19"/>
          <w:shd w:val="clear" w:color="auto" w:fill="FFFFFF"/>
        </w:rPr>
        <w:t xml:space="preserve"> i struktur</w:t>
      </w:r>
      <w:r>
        <w:rPr>
          <w:spacing w:val="-2"/>
          <w:szCs w:val="19"/>
          <w:shd w:val="clear" w:color="auto" w:fill="FFFFFF"/>
        </w:rPr>
        <w:t>ę</w:t>
      </w:r>
      <w:r w:rsidR="00764D9C" w:rsidRPr="001550A2">
        <w:rPr>
          <w:spacing w:val="-2"/>
          <w:szCs w:val="19"/>
          <w:shd w:val="clear" w:color="auto" w:fill="FFFFFF"/>
        </w:rPr>
        <w:t xml:space="preserve"> dochodów oraz wydatków gospodarstw domowych </w:t>
      </w:r>
      <w:r>
        <w:rPr>
          <w:spacing w:val="-2"/>
          <w:szCs w:val="19"/>
          <w:shd w:val="clear" w:color="auto" w:fill="FFFFFF"/>
        </w:rPr>
        <w:t>jest miejsce zamieszkania.</w:t>
      </w:r>
      <w:r w:rsidR="00764D9C" w:rsidRPr="001550A2">
        <w:rPr>
          <w:spacing w:val="-2"/>
          <w:szCs w:val="19"/>
          <w:shd w:val="clear" w:color="auto" w:fill="FFFFFF"/>
        </w:rPr>
        <w:t xml:space="preserve"> </w:t>
      </w:r>
    </w:p>
    <w:p w:rsidR="00764D9C" w:rsidRPr="001550A2" w:rsidRDefault="00764D9C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 xml:space="preserve">Przeciętny miesięczny dochód rozporządzalny na osobę w gospodarstwach domowych zamieszkujących miasta był wyższy o 29,9% niż na wsi (w 2017 r. o 28,8%). Różnice </w:t>
      </w:r>
      <w:r w:rsidR="00671BFE" w:rsidRPr="001550A2">
        <w:rPr>
          <w:spacing w:val="-2"/>
          <w:szCs w:val="19"/>
          <w:shd w:val="clear" w:color="auto" w:fill="FFFFFF"/>
        </w:rPr>
        <w:t>te wynikały z </w:t>
      </w:r>
      <w:r w:rsidRPr="001550A2">
        <w:rPr>
          <w:spacing w:val="-2"/>
          <w:szCs w:val="19"/>
          <w:shd w:val="clear" w:color="auto" w:fill="FFFFFF"/>
        </w:rPr>
        <w:t xml:space="preserve">wysokości dochodów uzyskiwanych przez gospodarstwa domowe, </w:t>
      </w:r>
      <w:r w:rsidR="00FF4F84" w:rsidRPr="001550A2">
        <w:rPr>
          <w:spacing w:val="-2"/>
          <w:szCs w:val="19"/>
          <w:shd w:val="clear" w:color="auto" w:fill="FFFFFF"/>
        </w:rPr>
        <w:t>jak</w:t>
      </w:r>
      <w:r w:rsidRPr="001550A2">
        <w:rPr>
          <w:spacing w:val="-2"/>
          <w:szCs w:val="19"/>
          <w:shd w:val="clear" w:color="auto" w:fill="FFFFFF"/>
        </w:rPr>
        <w:t xml:space="preserve"> również związane </w:t>
      </w:r>
      <w:r w:rsidR="00FF4F84" w:rsidRPr="001550A2">
        <w:rPr>
          <w:spacing w:val="-2"/>
          <w:szCs w:val="19"/>
          <w:shd w:val="clear" w:color="auto" w:fill="FFFFFF"/>
        </w:rPr>
        <w:t xml:space="preserve">były </w:t>
      </w:r>
      <w:r w:rsidR="00671BFE" w:rsidRPr="001550A2">
        <w:rPr>
          <w:spacing w:val="-2"/>
          <w:szCs w:val="19"/>
          <w:shd w:val="clear" w:color="auto" w:fill="FFFFFF"/>
        </w:rPr>
        <w:t>z </w:t>
      </w:r>
      <w:r w:rsidRPr="001550A2">
        <w:rPr>
          <w:spacing w:val="-2"/>
          <w:szCs w:val="19"/>
          <w:shd w:val="clear" w:color="auto" w:fill="FFFFFF"/>
        </w:rPr>
        <w:t>większą liczbą osób wchodzących w skład gospodarstw domowych zamieszkujących wieś. Po</w:t>
      </w:r>
      <w:r w:rsidR="00FF4F84" w:rsidRPr="001550A2">
        <w:rPr>
          <w:spacing w:val="-2"/>
          <w:szCs w:val="19"/>
          <w:shd w:val="clear" w:color="auto" w:fill="FFFFFF"/>
        </w:rPr>
        <w:t>dobnie wyglądała sytuacja</w:t>
      </w:r>
      <w:r w:rsidRPr="001550A2">
        <w:rPr>
          <w:spacing w:val="-2"/>
          <w:szCs w:val="19"/>
          <w:shd w:val="clear" w:color="auto" w:fill="FFFFFF"/>
        </w:rPr>
        <w:t xml:space="preserve"> w przypadku wydatków gospodarstw domowych. Wydatki na osobę w gospodarstwach domowych za</w:t>
      </w:r>
      <w:r w:rsidR="00541ECD" w:rsidRPr="001550A2">
        <w:rPr>
          <w:spacing w:val="-2"/>
          <w:szCs w:val="19"/>
          <w:shd w:val="clear" w:color="auto" w:fill="FFFFFF"/>
        </w:rPr>
        <w:t>mieszkujących miasta były o 34,5</w:t>
      </w:r>
      <w:r w:rsidR="00671BFE" w:rsidRPr="001550A2">
        <w:rPr>
          <w:spacing w:val="-2"/>
          <w:szCs w:val="19"/>
          <w:shd w:val="clear" w:color="auto" w:fill="FFFFFF"/>
        </w:rPr>
        <w:t>% wyższe niż na wsi (w </w:t>
      </w:r>
      <w:r w:rsidRPr="001550A2">
        <w:rPr>
          <w:spacing w:val="-2"/>
          <w:szCs w:val="19"/>
          <w:shd w:val="clear" w:color="auto" w:fill="FFFFFF"/>
        </w:rPr>
        <w:t>2017 r. o 32,6%).</w:t>
      </w:r>
    </w:p>
    <w:p w:rsidR="00D04BE9" w:rsidRPr="007534EA" w:rsidRDefault="00D04BE9" w:rsidP="00764D9C">
      <w:pPr>
        <w:rPr>
          <w:spacing w:val="-2"/>
          <w:szCs w:val="19"/>
          <w:shd w:val="clear" w:color="auto" w:fill="FFFFFF"/>
        </w:rPr>
      </w:pPr>
    </w:p>
    <w:p w:rsidR="00764D9C" w:rsidRPr="007534EA" w:rsidRDefault="00860BA6" w:rsidP="00764D9C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54315B05" wp14:editId="047DBA44">
            <wp:extent cx="5122545" cy="3132000"/>
            <wp:effectExtent l="0" t="0" r="1905" b="0"/>
            <wp:docPr id="236" name="Wykres 2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04BE9" w:rsidRDefault="00D04BE9" w:rsidP="00764D9C">
      <w:pPr>
        <w:rPr>
          <w:szCs w:val="19"/>
          <w:shd w:val="clear" w:color="auto" w:fill="FFFFFF"/>
        </w:rPr>
      </w:pPr>
    </w:p>
    <w:p w:rsidR="00764D9C" w:rsidRPr="00F377FA" w:rsidRDefault="00764D9C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</w:p>
    <w:p w:rsidR="00506EDA" w:rsidRDefault="00506EDA" w:rsidP="00764D9C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br w:type="page"/>
      </w:r>
    </w:p>
    <w:p w:rsidR="00764D9C" w:rsidRPr="001550A2" w:rsidRDefault="00A51E94" w:rsidP="00764D9C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lastRenderedPageBreak/>
        <w:t>Analizując terytorialne zróżnicowanie dochodu rozporządzalnego</w:t>
      </w:r>
      <w:r w:rsidR="00764D9C" w:rsidRPr="001550A2">
        <w:rPr>
          <w:szCs w:val="19"/>
          <w:shd w:val="clear" w:color="auto" w:fill="FFFFFF"/>
        </w:rPr>
        <w:t xml:space="preserve"> na osobę </w:t>
      </w:r>
      <w:r w:rsidR="00BF2F0A" w:rsidRPr="001550A2">
        <w:rPr>
          <w:szCs w:val="19"/>
          <w:shd w:val="clear" w:color="auto" w:fill="FFFFFF"/>
        </w:rPr>
        <w:t xml:space="preserve">w 2018 roku </w:t>
      </w:r>
      <w:r w:rsidRPr="001550A2">
        <w:rPr>
          <w:szCs w:val="19"/>
          <w:shd w:val="clear" w:color="auto" w:fill="FFFFFF"/>
        </w:rPr>
        <w:t xml:space="preserve">stwierdzono, że dochód </w:t>
      </w:r>
      <w:r w:rsidR="00764D9C" w:rsidRPr="001550A2">
        <w:rPr>
          <w:szCs w:val="19"/>
          <w:shd w:val="clear" w:color="auto" w:fill="FFFFFF"/>
        </w:rPr>
        <w:t>wyższy od średniej krajowej wystąpił w województwach: m</w:t>
      </w:r>
      <w:r w:rsidR="000A4CAA" w:rsidRPr="001550A2">
        <w:rPr>
          <w:szCs w:val="19"/>
          <w:shd w:val="clear" w:color="auto" w:fill="FFFFFF"/>
        </w:rPr>
        <w:t>azowiec</w:t>
      </w:r>
      <w:r w:rsidRPr="001550A2">
        <w:rPr>
          <w:szCs w:val="19"/>
          <w:shd w:val="clear" w:color="auto" w:fill="FFFFFF"/>
        </w:rPr>
        <w:t>ki</w:t>
      </w:r>
      <w:r w:rsidR="0031645A">
        <w:rPr>
          <w:szCs w:val="19"/>
          <w:shd w:val="clear" w:color="auto" w:fill="FFFFFF"/>
        </w:rPr>
        <w:t>m</w:t>
      </w:r>
      <w:r w:rsidR="000A4CAA" w:rsidRPr="001550A2">
        <w:rPr>
          <w:szCs w:val="19"/>
          <w:shd w:val="clear" w:color="auto" w:fill="FFFFFF"/>
        </w:rPr>
        <w:t>, ślą</w:t>
      </w:r>
      <w:r w:rsidRPr="001550A2">
        <w:rPr>
          <w:szCs w:val="19"/>
          <w:shd w:val="clear" w:color="auto" w:fill="FFFFFF"/>
        </w:rPr>
        <w:t>ski</w:t>
      </w:r>
      <w:r w:rsidR="0031645A">
        <w:rPr>
          <w:szCs w:val="19"/>
          <w:shd w:val="clear" w:color="auto" w:fill="FFFFFF"/>
        </w:rPr>
        <w:t>m</w:t>
      </w:r>
      <w:r w:rsidR="000A4CAA" w:rsidRPr="001550A2">
        <w:rPr>
          <w:szCs w:val="19"/>
          <w:shd w:val="clear" w:color="auto" w:fill="FFFFFF"/>
        </w:rPr>
        <w:t>, dolnoślą</w:t>
      </w:r>
      <w:r w:rsidRPr="001550A2">
        <w:rPr>
          <w:szCs w:val="19"/>
          <w:shd w:val="clear" w:color="auto" w:fill="FFFFFF"/>
        </w:rPr>
        <w:t>ski</w:t>
      </w:r>
      <w:r w:rsidR="0031645A">
        <w:rPr>
          <w:szCs w:val="19"/>
          <w:shd w:val="clear" w:color="auto" w:fill="FFFFFF"/>
        </w:rPr>
        <w:t>m</w:t>
      </w:r>
      <w:r w:rsidR="000A4CAA" w:rsidRPr="001550A2">
        <w:rPr>
          <w:szCs w:val="19"/>
          <w:shd w:val="clear" w:color="auto" w:fill="FFFFFF"/>
        </w:rPr>
        <w:t>, pomor</w:t>
      </w:r>
      <w:r w:rsidRPr="001550A2">
        <w:rPr>
          <w:szCs w:val="19"/>
          <w:shd w:val="clear" w:color="auto" w:fill="FFFFFF"/>
        </w:rPr>
        <w:t>ski</w:t>
      </w:r>
      <w:r w:rsidR="0031645A">
        <w:rPr>
          <w:szCs w:val="19"/>
          <w:shd w:val="clear" w:color="auto" w:fill="FFFFFF"/>
        </w:rPr>
        <w:t>m</w:t>
      </w:r>
      <w:r w:rsidR="000A4CAA" w:rsidRPr="001550A2">
        <w:rPr>
          <w:szCs w:val="19"/>
          <w:shd w:val="clear" w:color="auto" w:fill="FFFFFF"/>
        </w:rPr>
        <w:t xml:space="preserve"> </w:t>
      </w:r>
      <w:r w:rsidR="00764D9C" w:rsidRPr="001550A2">
        <w:rPr>
          <w:szCs w:val="19"/>
          <w:shd w:val="clear" w:color="auto" w:fill="FFFFFF"/>
        </w:rPr>
        <w:t>i zachodniopomor</w:t>
      </w:r>
      <w:r w:rsidRPr="001550A2">
        <w:rPr>
          <w:szCs w:val="19"/>
          <w:shd w:val="clear" w:color="auto" w:fill="FFFFFF"/>
        </w:rPr>
        <w:t>ski</w:t>
      </w:r>
      <w:r w:rsidR="0031645A">
        <w:rPr>
          <w:szCs w:val="19"/>
          <w:shd w:val="clear" w:color="auto" w:fill="FFFFFF"/>
        </w:rPr>
        <w:t>m</w:t>
      </w:r>
      <w:r w:rsidR="00764D9C" w:rsidRPr="001550A2">
        <w:rPr>
          <w:szCs w:val="19"/>
          <w:shd w:val="clear" w:color="auto" w:fill="FFFFFF"/>
        </w:rPr>
        <w:t xml:space="preserve">. </w:t>
      </w:r>
      <w:r w:rsidRPr="001550A2">
        <w:rPr>
          <w:szCs w:val="19"/>
          <w:shd w:val="clear" w:color="auto" w:fill="FFFFFF"/>
        </w:rPr>
        <w:t>Tak</w:t>
      </w:r>
      <w:r w:rsidR="00764D9C" w:rsidRPr="001550A2">
        <w:rPr>
          <w:szCs w:val="19"/>
          <w:shd w:val="clear" w:color="auto" w:fill="FFFFFF"/>
        </w:rPr>
        <w:t xml:space="preserve"> jak w roku poprzednim, zdecydowanie najwyższ</w:t>
      </w:r>
      <w:r w:rsidRPr="001550A2">
        <w:rPr>
          <w:szCs w:val="19"/>
          <w:shd w:val="clear" w:color="auto" w:fill="FFFFFF"/>
        </w:rPr>
        <w:t>e</w:t>
      </w:r>
      <w:r w:rsidR="00764D9C" w:rsidRPr="001550A2">
        <w:rPr>
          <w:szCs w:val="19"/>
          <w:shd w:val="clear" w:color="auto" w:fill="FFFFFF"/>
        </w:rPr>
        <w:t xml:space="preserve"> przeciętn</w:t>
      </w:r>
      <w:r w:rsidRPr="001550A2">
        <w:rPr>
          <w:szCs w:val="19"/>
          <w:shd w:val="clear" w:color="auto" w:fill="FFFFFF"/>
        </w:rPr>
        <w:t>e</w:t>
      </w:r>
      <w:r w:rsidR="00764D9C" w:rsidRPr="001550A2">
        <w:rPr>
          <w:szCs w:val="19"/>
          <w:shd w:val="clear" w:color="auto" w:fill="FFFFFF"/>
        </w:rPr>
        <w:t xml:space="preserve"> dochod</w:t>
      </w:r>
      <w:r w:rsidRPr="001550A2">
        <w:rPr>
          <w:szCs w:val="19"/>
          <w:shd w:val="clear" w:color="auto" w:fill="FFFFFF"/>
        </w:rPr>
        <w:t>y</w:t>
      </w:r>
      <w:r w:rsidR="00764D9C" w:rsidRPr="001550A2">
        <w:rPr>
          <w:szCs w:val="19"/>
          <w:shd w:val="clear" w:color="auto" w:fill="FFFFFF"/>
        </w:rPr>
        <w:t xml:space="preserve"> na 1 osobę </w:t>
      </w:r>
      <w:r w:rsidRPr="001550A2">
        <w:rPr>
          <w:szCs w:val="19"/>
          <w:shd w:val="clear" w:color="auto" w:fill="FFFFFF"/>
        </w:rPr>
        <w:t>wykazy</w:t>
      </w:r>
      <w:r w:rsidR="00764D9C" w:rsidRPr="001550A2">
        <w:rPr>
          <w:szCs w:val="19"/>
          <w:shd w:val="clear" w:color="auto" w:fill="FFFFFF"/>
        </w:rPr>
        <w:t>wały gospodarstwa domowe z województwa mazow</w:t>
      </w:r>
      <w:r w:rsidR="00A8595F" w:rsidRPr="001550A2">
        <w:rPr>
          <w:szCs w:val="19"/>
          <w:shd w:val="clear" w:color="auto" w:fill="FFFFFF"/>
        </w:rPr>
        <w:t>ieckiego (2032 zł)</w:t>
      </w:r>
      <w:r w:rsidRPr="001550A2">
        <w:rPr>
          <w:szCs w:val="19"/>
          <w:shd w:val="clear" w:color="auto" w:fill="FFFFFF"/>
        </w:rPr>
        <w:t>. Dochody te</w:t>
      </w:r>
      <w:r w:rsidR="00A8595F" w:rsidRPr="001550A2">
        <w:rPr>
          <w:szCs w:val="19"/>
          <w:shd w:val="clear" w:color="auto" w:fill="FFFFFF"/>
        </w:rPr>
        <w:t xml:space="preserve"> były </w:t>
      </w:r>
      <w:r w:rsidRPr="001550A2">
        <w:rPr>
          <w:szCs w:val="19"/>
          <w:shd w:val="clear" w:color="auto" w:fill="FFFFFF"/>
        </w:rPr>
        <w:t xml:space="preserve">wyższe </w:t>
      </w:r>
      <w:r w:rsidR="00A8595F" w:rsidRPr="001550A2">
        <w:rPr>
          <w:szCs w:val="19"/>
          <w:shd w:val="clear" w:color="auto" w:fill="FFFFFF"/>
        </w:rPr>
        <w:t>o </w:t>
      </w:r>
      <w:r w:rsidR="00764D9C" w:rsidRPr="001550A2">
        <w:rPr>
          <w:szCs w:val="19"/>
          <w:shd w:val="clear" w:color="auto" w:fill="FFFFFF"/>
        </w:rPr>
        <w:t xml:space="preserve">20,0% niż przeciętny krajowy dochód na osobę. Najniższe dochody ponownie </w:t>
      </w:r>
      <w:r w:rsidR="00AF0F9C" w:rsidRPr="001550A2">
        <w:rPr>
          <w:szCs w:val="19"/>
          <w:shd w:val="clear" w:color="auto" w:fill="FFFFFF"/>
        </w:rPr>
        <w:t>wystąpiły</w:t>
      </w:r>
      <w:r w:rsidR="00764D9C" w:rsidRPr="001550A2">
        <w:rPr>
          <w:szCs w:val="19"/>
          <w:shd w:val="clear" w:color="auto" w:fill="FFFFFF"/>
        </w:rPr>
        <w:t xml:space="preserve"> w województwie podkarpackim (1347 zł) –</w:t>
      </w:r>
      <w:r w:rsidR="009A235F">
        <w:rPr>
          <w:szCs w:val="19"/>
          <w:shd w:val="clear" w:color="auto" w:fill="FFFFFF"/>
        </w:rPr>
        <w:t xml:space="preserve"> o</w:t>
      </w:r>
      <w:r w:rsidR="00AF0F9C" w:rsidRPr="001550A2">
        <w:rPr>
          <w:szCs w:val="19"/>
          <w:shd w:val="clear" w:color="auto" w:fill="FFFFFF"/>
        </w:rPr>
        <w:t xml:space="preserve"> </w:t>
      </w:r>
      <w:r w:rsidR="00764D9C" w:rsidRPr="001550A2">
        <w:rPr>
          <w:szCs w:val="19"/>
          <w:shd w:val="clear" w:color="auto" w:fill="FFFFFF"/>
        </w:rPr>
        <w:t>20,4% poniżej średniej krajowej.</w:t>
      </w:r>
    </w:p>
    <w:p w:rsidR="00764D9C" w:rsidRPr="001550A2" w:rsidRDefault="00764D9C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 xml:space="preserve">Rozpiętość pomiędzy najwyższym a najniższym przeciętnym dochodem na osobę w województwach w odniesieniu do średniej krajowej zmniejszyła się </w:t>
      </w:r>
      <w:r w:rsidR="00AF0F9C" w:rsidRPr="001550A2">
        <w:rPr>
          <w:spacing w:val="-2"/>
          <w:szCs w:val="19"/>
          <w:shd w:val="clear" w:color="auto" w:fill="FFFFFF"/>
        </w:rPr>
        <w:t xml:space="preserve">o 0,7 p. proc. </w:t>
      </w:r>
      <w:r w:rsidRPr="001550A2">
        <w:rPr>
          <w:spacing w:val="-2"/>
          <w:szCs w:val="19"/>
          <w:shd w:val="clear" w:color="auto" w:fill="FFFFFF"/>
        </w:rPr>
        <w:t>w p</w:t>
      </w:r>
      <w:r w:rsidR="003F42C7" w:rsidRPr="001550A2">
        <w:rPr>
          <w:spacing w:val="-2"/>
          <w:szCs w:val="19"/>
          <w:shd w:val="clear" w:color="auto" w:fill="FFFFFF"/>
        </w:rPr>
        <w:t>orównaniu z rokiem poprzednim i </w:t>
      </w:r>
      <w:r w:rsidRPr="001550A2">
        <w:rPr>
          <w:spacing w:val="-2"/>
          <w:szCs w:val="19"/>
          <w:shd w:val="clear" w:color="auto" w:fill="FFFFFF"/>
        </w:rPr>
        <w:t>wyniosła 40,4 p. proc</w:t>
      </w:r>
      <w:r w:rsidR="00AF0F9C" w:rsidRPr="001550A2">
        <w:rPr>
          <w:spacing w:val="-2"/>
          <w:szCs w:val="19"/>
          <w:shd w:val="clear" w:color="auto" w:fill="FFFFFF"/>
        </w:rPr>
        <w:t>.</w:t>
      </w:r>
    </w:p>
    <w:p w:rsidR="00D04BE9" w:rsidRPr="001B44E8" w:rsidRDefault="00D04BE9" w:rsidP="00764D9C">
      <w:pPr>
        <w:rPr>
          <w:spacing w:val="-2"/>
          <w:szCs w:val="19"/>
          <w:shd w:val="clear" w:color="auto" w:fill="FFFFFF"/>
        </w:rPr>
      </w:pPr>
    </w:p>
    <w:p w:rsidR="00764D9C" w:rsidRPr="00F377FA" w:rsidRDefault="00A219FA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665F884F" wp14:editId="79FD3515">
                <wp:simplePos x="0" y="0"/>
                <wp:positionH relativeFrom="column">
                  <wp:posOffset>5210175</wp:posOffset>
                </wp:positionH>
                <wp:positionV relativeFrom="paragraph">
                  <wp:posOffset>1666875</wp:posOffset>
                </wp:positionV>
                <wp:extent cx="1725295" cy="2066925"/>
                <wp:effectExtent l="0" t="0" r="0" b="0"/>
                <wp:wrapTight wrapText="bothSides">
                  <wp:wrapPolygon edited="0">
                    <wp:start x="715" y="0"/>
                    <wp:lineTo x="715" y="21301"/>
                    <wp:lineTo x="20749" y="21301"/>
                    <wp:lineTo x="20749" y="0"/>
                    <wp:lineTo x="715" y="0"/>
                  </wp:wrapPolygon>
                </wp:wrapTight>
                <wp:docPr id="213" name="Pole tekstow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1B44E8" w:rsidRDefault="001F4E44" w:rsidP="00764D9C">
                            <w:pPr>
                              <w:pStyle w:val="tekstzboku"/>
                            </w:pPr>
                            <w:r w:rsidRPr="001B44E8">
                              <w:t xml:space="preserve">Najwyższym przeciętnym miesięcznym dochodem rozporządzalnym na </w:t>
                            </w:r>
                            <w:r>
                              <w:t xml:space="preserve">1 </w:t>
                            </w:r>
                            <w:r w:rsidRPr="001B44E8">
                              <w:t xml:space="preserve">osobę dysponowały gospodarstwa domowe z województwa mazowieckiego – </w:t>
                            </w:r>
                            <w:r w:rsidRPr="001B44E8">
                              <w:rPr>
                                <w:spacing w:val="-2"/>
                                <w:szCs w:val="19"/>
                              </w:rPr>
                              <w:t>2032 zł, zaś najniższym gospodarstwa domowe zamieszkujące woj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ewództwo podkarpackie – 1347 zł.</w:t>
                            </w:r>
                          </w:p>
                          <w:p w:rsidR="001F4E44" w:rsidRPr="00B31DA4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884F" id="Pole tekstowe 213" o:spid="_x0000_s1037" type="#_x0000_t202" style="position:absolute;margin-left:410.25pt;margin-top:131.25pt;width:135.85pt;height:162.7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" filled="f" stroked="f">
                <v:textbox>
                  <w:txbxContent>
                    <w:p w:rsidR="001F4E44" w:rsidRPr="001B44E8" w:rsidRDefault="001F4E44" w:rsidP="00764D9C">
                      <w:pPr>
                        <w:pStyle w:val="tekstzboku"/>
                      </w:pPr>
                      <w:r w:rsidRPr="001B44E8">
                        <w:t xml:space="preserve">Najwyższym przeciętnym miesięcznym dochodem rozporządzalnym na </w:t>
                      </w:r>
                      <w:r>
                        <w:t xml:space="preserve">1 </w:t>
                      </w:r>
                      <w:r w:rsidRPr="001B44E8">
                        <w:t xml:space="preserve">osobę dysponowały gospodarstwa domowe z województwa mazowieckiego – </w:t>
                      </w:r>
                      <w:r w:rsidRPr="001B44E8">
                        <w:rPr>
                          <w:spacing w:val="-2"/>
                          <w:szCs w:val="19"/>
                        </w:rPr>
                        <w:t>2032 zł, zaś najniższym gospodarstwa domowe zamieszkujące woj</w:t>
                      </w:r>
                      <w:r>
                        <w:rPr>
                          <w:spacing w:val="-2"/>
                          <w:szCs w:val="19"/>
                        </w:rPr>
                        <w:t>ewództwo podkarpackie – 1347 zł.</w:t>
                      </w:r>
                    </w:p>
                    <w:p w:rsidR="001F4E44" w:rsidRPr="00B31DA4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595F">
        <w:rPr>
          <w:i/>
          <w:noProof/>
          <w:lang w:eastAsia="pl-PL"/>
        </w:rPr>
        <w:drawing>
          <wp:inline distT="0" distB="0" distL="0" distR="0" wp14:anchorId="01EA6689" wp14:editId="186C4BA5">
            <wp:extent cx="5122800" cy="5923996"/>
            <wp:effectExtent l="0" t="0" r="1905" b="635"/>
            <wp:docPr id="6" name="Obraz 6" descr="D:\PUBLIKACJE, NOTATKI\NOTATKA maj 2019\Mapki do Notatki BGD za 2018\mapa 1 2019 gra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UBLIKACJE, NOTATKI\NOTATKA maj 2019\Mapki do Notatki BGD za 2018\mapa 1 2019 gran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38" b="2806"/>
                    <a:stretch/>
                  </pic:blipFill>
                  <pic:spPr bwMode="auto">
                    <a:xfrm>
                      <a:off x="0" y="0"/>
                      <a:ext cx="5122800" cy="592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D9C" w:rsidRPr="00F377FA" w:rsidRDefault="00764D9C" w:rsidP="00764D9C">
      <w:pPr>
        <w:rPr>
          <w:i/>
          <w:spacing w:val="-2"/>
          <w:szCs w:val="19"/>
          <w:shd w:val="clear" w:color="auto" w:fill="FFFFFF"/>
        </w:rPr>
      </w:pPr>
    </w:p>
    <w:p w:rsidR="00D04BE9" w:rsidRDefault="00D04BE9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br w:type="page"/>
      </w:r>
    </w:p>
    <w:p w:rsidR="00764D9C" w:rsidRPr="001550A2" w:rsidRDefault="00764D9C" w:rsidP="00764D9C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lastRenderedPageBreak/>
        <w:t xml:space="preserve">Przeciętne miesięczne wydatki powyżej średniej dla Polski w 2018 r. odnotowano w województwach: mazowieckim, </w:t>
      </w:r>
      <w:r w:rsidR="00F46F5C" w:rsidRPr="001550A2">
        <w:rPr>
          <w:szCs w:val="19"/>
          <w:shd w:val="clear" w:color="auto" w:fill="FFFFFF"/>
        </w:rPr>
        <w:t xml:space="preserve">pomorskim, </w:t>
      </w:r>
      <w:r w:rsidRPr="001550A2">
        <w:rPr>
          <w:szCs w:val="19"/>
          <w:shd w:val="clear" w:color="auto" w:fill="FFFFFF"/>
        </w:rPr>
        <w:t xml:space="preserve">śląskim, </w:t>
      </w:r>
      <w:r w:rsidR="00F46F5C" w:rsidRPr="001550A2">
        <w:rPr>
          <w:szCs w:val="19"/>
          <w:shd w:val="clear" w:color="auto" w:fill="FFFFFF"/>
        </w:rPr>
        <w:t xml:space="preserve">dolnośląskim, </w:t>
      </w:r>
      <w:r w:rsidRPr="001550A2">
        <w:rPr>
          <w:szCs w:val="19"/>
          <w:shd w:val="clear" w:color="auto" w:fill="FFFFFF"/>
        </w:rPr>
        <w:t>zachodniopom</w:t>
      </w:r>
      <w:r w:rsidR="00F46F5C" w:rsidRPr="001550A2">
        <w:rPr>
          <w:szCs w:val="19"/>
          <w:shd w:val="clear" w:color="auto" w:fill="FFFFFF"/>
        </w:rPr>
        <w:t>orskim, łódzkim,</w:t>
      </w:r>
      <w:r w:rsidR="00B060EF" w:rsidRPr="001550A2">
        <w:rPr>
          <w:szCs w:val="19"/>
          <w:shd w:val="clear" w:color="auto" w:fill="FFFFFF"/>
        </w:rPr>
        <w:t xml:space="preserve"> i </w:t>
      </w:r>
      <w:r w:rsidRPr="001550A2">
        <w:rPr>
          <w:szCs w:val="19"/>
          <w:shd w:val="clear" w:color="auto" w:fill="FFFFFF"/>
        </w:rPr>
        <w:t xml:space="preserve">opolskim. </w:t>
      </w:r>
    </w:p>
    <w:p w:rsidR="00764D9C" w:rsidRPr="001550A2" w:rsidRDefault="00F354AD" w:rsidP="00764D9C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>Podobnie jak i w roku poprzednim, n</w:t>
      </w:r>
      <w:r w:rsidR="00764D9C" w:rsidRPr="001550A2">
        <w:rPr>
          <w:szCs w:val="19"/>
          <w:shd w:val="clear" w:color="auto" w:fill="FFFFFF"/>
        </w:rPr>
        <w:t>ajwiększe przeciętne mi</w:t>
      </w:r>
      <w:r w:rsidR="009D064D" w:rsidRPr="001550A2">
        <w:rPr>
          <w:szCs w:val="19"/>
          <w:shd w:val="clear" w:color="auto" w:fill="FFFFFF"/>
        </w:rPr>
        <w:t>esięczne wydatki na osobę (1421 </w:t>
      </w:r>
      <w:r w:rsidR="00764D9C" w:rsidRPr="001550A2">
        <w:rPr>
          <w:szCs w:val="19"/>
          <w:shd w:val="clear" w:color="auto" w:fill="FFFFFF"/>
        </w:rPr>
        <w:t xml:space="preserve">zł), </w:t>
      </w:r>
      <w:r w:rsidRPr="001550A2">
        <w:rPr>
          <w:szCs w:val="19"/>
          <w:shd w:val="clear" w:color="auto" w:fill="FFFFFF"/>
        </w:rPr>
        <w:t>wystąpiły</w:t>
      </w:r>
      <w:r w:rsidR="00764D9C" w:rsidRPr="001550A2">
        <w:rPr>
          <w:szCs w:val="19"/>
          <w:shd w:val="clear" w:color="auto" w:fill="FFFFFF"/>
        </w:rPr>
        <w:t xml:space="preserve"> w województwie mazowieckim</w:t>
      </w:r>
      <w:r w:rsidRPr="001550A2">
        <w:rPr>
          <w:szCs w:val="19"/>
          <w:shd w:val="clear" w:color="auto" w:fill="FFFFFF"/>
        </w:rPr>
        <w:t xml:space="preserve"> i </w:t>
      </w:r>
      <w:r w:rsidR="00764D9C" w:rsidRPr="001550A2">
        <w:rPr>
          <w:szCs w:val="19"/>
          <w:shd w:val="clear" w:color="auto" w:fill="FFFFFF"/>
        </w:rPr>
        <w:t xml:space="preserve">były one wyższe </w:t>
      </w:r>
      <w:r w:rsidRPr="001550A2">
        <w:rPr>
          <w:szCs w:val="19"/>
          <w:shd w:val="clear" w:color="auto" w:fill="FFFFFF"/>
        </w:rPr>
        <w:t>od przeciętnej ogólnopolskie</w:t>
      </w:r>
      <w:r w:rsidR="00E53FB8">
        <w:rPr>
          <w:szCs w:val="19"/>
          <w:shd w:val="clear" w:color="auto" w:fill="FFFFFF"/>
        </w:rPr>
        <w:t>j</w:t>
      </w:r>
      <w:r w:rsidRPr="001550A2">
        <w:rPr>
          <w:szCs w:val="19"/>
          <w:shd w:val="clear" w:color="auto" w:fill="FFFFFF"/>
        </w:rPr>
        <w:t xml:space="preserve"> o</w:t>
      </w:r>
      <w:r w:rsidR="00764D9C" w:rsidRPr="001550A2">
        <w:rPr>
          <w:szCs w:val="19"/>
          <w:shd w:val="clear" w:color="auto" w:fill="FFFFFF"/>
        </w:rPr>
        <w:t xml:space="preserve"> 19,7%. Najniższe przeciętne wydatki na 1 osobę ponownie odnotowano w województwie podkarpackim (960 zł) </w:t>
      </w:r>
      <w:r w:rsidRPr="001550A2">
        <w:rPr>
          <w:szCs w:val="19"/>
          <w:shd w:val="clear" w:color="auto" w:fill="FFFFFF"/>
        </w:rPr>
        <w:t xml:space="preserve">i w porównaniu do średniej dla całego kraju były one </w:t>
      </w:r>
      <w:r w:rsidR="00764D9C" w:rsidRPr="001550A2">
        <w:rPr>
          <w:szCs w:val="19"/>
          <w:shd w:val="clear" w:color="auto" w:fill="FFFFFF"/>
        </w:rPr>
        <w:t>mniej</w:t>
      </w:r>
      <w:r w:rsidR="009D064D" w:rsidRPr="001550A2">
        <w:rPr>
          <w:szCs w:val="19"/>
          <w:shd w:val="clear" w:color="auto" w:fill="FFFFFF"/>
        </w:rPr>
        <w:t>sze o </w:t>
      </w:r>
      <w:r w:rsidRPr="001550A2">
        <w:rPr>
          <w:szCs w:val="19"/>
          <w:shd w:val="clear" w:color="auto" w:fill="FFFFFF"/>
        </w:rPr>
        <w:t>19,1%</w:t>
      </w:r>
      <w:r w:rsidR="00764D9C" w:rsidRPr="001550A2">
        <w:rPr>
          <w:szCs w:val="19"/>
          <w:shd w:val="clear" w:color="auto" w:fill="FFFFFF"/>
        </w:rPr>
        <w:t>.</w:t>
      </w:r>
    </w:p>
    <w:p w:rsidR="00764D9C" w:rsidRPr="001550A2" w:rsidRDefault="00764D9C" w:rsidP="00764D9C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>Rozpiętość pomiędzy najwyższymi a najniższymi średnimi wydatkami na osobę w województwach zmniejszyła się</w:t>
      </w:r>
      <w:r w:rsidR="00647D55" w:rsidRPr="001550A2">
        <w:rPr>
          <w:szCs w:val="19"/>
          <w:shd w:val="clear" w:color="auto" w:fill="FFFFFF"/>
        </w:rPr>
        <w:t xml:space="preserve"> o 1,9 p. proc.</w:t>
      </w:r>
      <w:r w:rsidRPr="001550A2">
        <w:rPr>
          <w:szCs w:val="19"/>
          <w:shd w:val="clear" w:color="auto" w:fill="FFFFFF"/>
        </w:rPr>
        <w:t xml:space="preserve"> w porównaniu do </w:t>
      </w:r>
      <w:r w:rsidR="00647D55" w:rsidRPr="001550A2">
        <w:rPr>
          <w:szCs w:val="19"/>
          <w:shd w:val="clear" w:color="auto" w:fill="FFFFFF"/>
        </w:rPr>
        <w:t>2017</w:t>
      </w:r>
      <w:r w:rsidRPr="001550A2">
        <w:rPr>
          <w:szCs w:val="19"/>
          <w:shd w:val="clear" w:color="auto" w:fill="FFFFFF"/>
        </w:rPr>
        <w:t xml:space="preserve"> roku i wyniosła 38,8 p. proc. </w:t>
      </w:r>
    </w:p>
    <w:p w:rsidR="00D04BE9" w:rsidRPr="00DC0D44" w:rsidRDefault="00D04BE9" w:rsidP="00764D9C">
      <w:pPr>
        <w:rPr>
          <w:spacing w:val="-2"/>
          <w:szCs w:val="19"/>
          <w:shd w:val="clear" w:color="auto" w:fill="FFFFFF"/>
        </w:rPr>
      </w:pPr>
    </w:p>
    <w:p w:rsidR="00764D9C" w:rsidRPr="00F377FA" w:rsidRDefault="00A219FA" w:rsidP="00F46F5C">
      <w:pPr>
        <w:spacing w:before="0"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0D9EC36D" wp14:editId="1EBBE5D8">
                <wp:simplePos x="0" y="0"/>
                <wp:positionH relativeFrom="column">
                  <wp:posOffset>5213350</wp:posOffset>
                </wp:positionH>
                <wp:positionV relativeFrom="paragraph">
                  <wp:posOffset>1676400</wp:posOffset>
                </wp:positionV>
                <wp:extent cx="1725295" cy="1725295"/>
                <wp:effectExtent l="0" t="0" r="0" b="0"/>
                <wp:wrapTight wrapText="bothSides">
                  <wp:wrapPolygon edited="0">
                    <wp:start x="715" y="0"/>
                    <wp:lineTo x="715" y="21226"/>
                    <wp:lineTo x="20749" y="21226"/>
                    <wp:lineTo x="20749" y="0"/>
                    <wp:lineTo x="715" y="0"/>
                  </wp:wrapPolygon>
                </wp:wrapTight>
                <wp:docPr id="212" name="Pole tekstow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2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8E10C0" w:rsidRDefault="001F4E44" w:rsidP="00764D9C">
                            <w:pPr>
                              <w:pStyle w:val="tekstzboku"/>
                            </w:pPr>
                            <w:r w:rsidRPr="008E10C0">
                              <w:t>Najwyższe przeciętne miesięczne wydatki na osobę ponosiły gospodarstwa domowe z województwa mazowieckiego – 1421 zł, zaś najniższe z województwa pod</w:t>
                            </w:r>
                            <w:r>
                              <w:t>karpackiego – 960 zł.</w:t>
                            </w:r>
                          </w:p>
                          <w:p w:rsidR="001F4E44" w:rsidRPr="00F377FA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i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C36D" id="Pole tekstowe 212" o:spid="_x0000_s1038" type="#_x0000_t202" style="position:absolute;margin-left:410.5pt;margin-top:132pt;width:135.85pt;height:135.85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" filled="f" stroked="f">
                <v:textbox>
                  <w:txbxContent>
                    <w:p w:rsidR="001F4E44" w:rsidRPr="008E10C0" w:rsidRDefault="001F4E44" w:rsidP="00764D9C">
                      <w:pPr>
                        <w:pStyle w:val="tekstzboku"/>
                      </w:pPr>
                      <w:r w:rsidRPr="008E10C0">
                        <w:t>Najwyższe przeciętne miesięczne wydatki na osobę ponosiły gospodarstwa domowe z województwa mazowieckiego – 1421 zł, zaś najniższe z województwa pod</w:t>
                      </w:r>
                      <w:r>
                        <w:t>karpackiego – 960 zł.</w:t>
                      </w:r>
                    </w:p>
                    <w:p w:rsidR="001F4E44" w:rsidRPr="00F377FA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i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46F5C">
        <w:rPr>
          <w:i/>
          <w:noProof/>
          <w:spacing w:val="-2"/>
          <w:szCs w:val="19"/>
          <w:shd w:val="clear" w:color="auto" w:fill="FFFFFF"/>
          <w:lang w:eastAsia="pl-PL"/>
        </w:rPr>
        <w:drawing>
          <wp:inline distT="0" distB="0" distL="0" distR="0" wp14:anchorId="296D609E" wp14:editId="64205C5F">
            <wp:extent cx="5122800" cy="5937876"/>
            <wp:effectExtent l="0" t="0" r="1905" b="6350"/>
            <wp:docPr id="7" name="Obraz 7" descr="D:\PUBLIKACJE, NOTATKI\NOTATKA maj 2019\Mapki do Notatki BGD za 2018\mapa 2 2019 ciemna ziele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UBLIKACJE, NOTATKI\NOTATKA maj 2019\Mapki do Notatki BGD za 2018\mapa 2 2019 ciemna ziele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68" b="2502"/>
                    <a:stretch/>
                  </pic:blipFill>
                  <pic:spPr bwMode="auto">
                    <a:xfrm>
                      <a:off x="0" y="0"/>
                      <a:ext cx="5122800" cy="593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D9C" w:rsidRPr="00F377FA" w:rsidRDefault="00764D9C" w:rsidP="00764D9C">
      <w:pPr>
        <w:jc w:val="both"/>
        <w:rPr>
          <w:i/>
          <w:spacing w:val="-2"/>
          <w:szCs w:val="19"/>
          <w:shd w:val="clear" w:color="auto" w:fill="FFFFFF"/>
        </w:rPr>
      </w:pPr>
    </w:p>
    <w:p w:rsidR="00D04BE9" w:rsidRDefault="00D04BE9" w:rsidP="00764D9C">
      <w:pPr>
        <w:rPr>
          <w:spacing w:val="-2"/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br w:type="page"/>
      </w:r>
    </w:p>
    <w:p w:rsidR="00764D9C" w:rsidRPr="001550A2" w:rsidRDefault="00764D9C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lastRenderedPageBreak/>
        <w:t>Biorąc pod uwagę typ biologiczny gospodarstwa domowego w najlepszej sytuacji materialnej znajdowały się małżeństwa</w:t>
      </w:r>
      <w:r w:rsidRPr="001550A2">
        <w:rPr>
          <w:rStyle w:val="Odwoanieprzypisudolnego"/>
          <w:spacing w:val="-2"/>
          <w:szCs w:val="19"/>
          <w:shd w:val="clear" w:color="auto" w:fill="FFFFFF"/>
        </w:rPr>
        <w:footnoteReference w:id="2"/>
      </w:r>
      <w:r w:rsidR="001C013D" w:rsidRPr="001550A2">
        <w:rPr>
          <w:spacing w:val="-2"/>
          <w:szCs w:val="19"/>
          <w:shd w:val="clear" w:color="auto" w:fill="FFFFFF"/>
        </w:rPr>
        <w:t xml:space="preserve">  bez dzieci na utrzymaniu</w:t>
      </w:r>
      <w:r w:rsidR="009D064D" w:rsidRPr="001550A2">
        <w:rPr>
          <w:spacing w:val="-2"/>
          <w:szCs w:val="19"/>
          <w:shd w:val="clear" w:color="auto" w:fill="FFFFFF"/>
        </w:rPr>
        <w:t>.</w:t>
      </w:r>
      <w:r w:rsidRPr="001550A2">
        <w:rPr>
          <w:spacing w:val="-2"/>
          <w:szCs w:val="19"/>
          <w:shd w:val="clear" w:color="auto" w:fill="FFFFFF"/>
        </w:rPr>
        <w:t xml:space="preserve"> </w:t>
      </w:r>
      <w:r w:rsidR="001C013D" w:rsidRPr="001550A2">
        <w:rPr>
          <w:spacing w:val="-2"/>
          <w:szCs w:val="19"/>
          <w:shd w:val="clear" w:color="auto" w:fill="FFFFFF"/>
        </w:rPr>
        <w:t xml:space="preserve">Dysponowały one </w:t>
      </w:r>
      <w:r w:rsidRPr="001550A2">
        <w:rPr>
          <w:spacing w:val="-2"/>
          <w:szCs w:val="19"/>
          <w:shd w:val="clear" w:color="auto" w:fill="FFFFFF"/>
        </w:rPr>
        <w:t>przeciętny</w:t>
      </w:r>
      <w:r w:rsidR="001C013D" w:rsidRPr="001550A2">
        <w:rPr>
          <w:spacing w:val="-2"/>
          <w:szCs w:val="19"/>
          <w:shd w:val="clear" w:color="auto" w:fill="FFFFFF"/>
        </w:rPr>
        <w:t>m</w:t>
      </w:r>
      <w:r w:rsidRPr="001550A2">
        <w:rPr>
          <w:spacing w:val="-2"/>
          <w:szCs w:val="19"/>
          <w:shd w:val="clear" w:color="auto" w:fill="FFFFFF"/>
        </w:rPr>
        <w:t xml:space="preserve"> miesięczny</w:t>
      </w:r>
      <w:r w:rsidR="001C013D" w:rsidRPr="001550A2">
        <w:rPr>
          <w:spacing w:val="-2"/>
          <w:szCs w:val="19"/>
          <w:shd w:val="clear" w:color="auto" w:fill="FFFFFF"/>
        </w:rPr>
        <w:t>m</w:t>
      </w:r>
      <w:r w:rsidRPr="001550A2">
        <w:rPr>
          <w:spacing w:val="-2"/>
          <w:szCs w:val="19"/>
          <w:shd w:val="clear" w:color="auto" w:fill="FFFFFF"/>
        </w:rPr>
        <w:t xml:space="preserve"> do</w:t>
      </w:r>
      <w:r w:rsidR="001C013D" w:rsidRPr="001550A2">
        <w:rPr>
          <w:spacing w:val="-2"/>
          <w:szCs w:val="19"/>
          <w:shd w:val="clear" w:color="auto" w:fill="FFFFFF"/>
        </w:rPr>
        <w:t>chodem</w:t>
      </w:r>
      <w:r w:rsidRPr="001550A2">
        <w:rPr>
          <w:spacing w:val="-2"/>
          <w:szCs w:val="19"/>
          <w:shd w:val="clear" w:color="auto" w:fill="FFFFFF"/>
        </w:rPr>
        <w:t xml:space="preserve"> rozporządzalny</w:t>
      </w:r>
      <w:r w:rsidR="001C013D" w:rsidRPr="001550A2">
        <w:rPr>
          <w:spacing w:val="-2"/>
          <w:szCs w:val="19"/>
          <w:shd w:val="clear" w:color="auto" w:fill="FFFFFF"/>
        </w:rPr>
        <w:t>m</w:t>
      </w:r>
      <w:r w:rsidRPr="001550A2">
        <w:rPr>
          <w:spacing w:val="-2"/>
          <w:szCs w:val="19"/>
          <w:shd w:val="clear" w:color="auto" w:fill="FFFFFF"/>
        </w:rPr>
        <w:t xml:space="preserve"> na osobę </w:t>
      </w:r>
      <w:r w:rsidR="001C013D" w:rsidRPr="001550A2">
        <w:rPr>
          <w:spacing w:val="-2"/>
          <w:szCs w:val="19"/>
          <w:shd w:val="clear" w:color="auto" w:fill="FFFFFF"/>
        </w:rPr>
        <w:t>wyższym</w:t>
      </w:r>
      <w:r w:rsidRPr="001550A2">
        <w:rPr>
          <w:spacing w:val="-2"/>
          <w:szCs w:val="19"/>
          <w:shd w:val="clear" w:color="auto" w:fill="FFFFFF"/>
        </w:rPr>
        <w:t xml:space="preserve"> o 29,6% </w:t>
      </w:r>
      <w:r w:rsidR="001C013D" w:rsidRPr="001550A2">
        <w:rPr>
          <w:spacing w:val="-2"/>
          <w:szCs w:val="19"/>
          <w:shd w:val="clear" w:color="auto" w:fill="FFFFFF"/>
        </w:rPr>
        <w:t xml:space="preserve">od </w:t>
      </w:r>
      <w:r w:rsidRPr="001550A2">
        <w:rPr>
          <w:spacing w:val="-2"/>
          <w:szCs w:val="19"/>
          <w:shd w:val="clear" w:color="auto" w:fill="FFFFFF"/>
        </w:rPr>
        <w:t>średniej</w:t>
      </w:r>
      <w:r w:rsidR="001C013D" w:rsidRPr="001550A2">
        <w:rPr>
          <w:spacing w:val="-2"/>
          <w:szCs w:val="19"/>
          <w:shd w:val="clear" w:color="auto" w:fill="FFFFFF"/>
        </w:rPr>
        <w:t xml:space="preserve"> krajowej</w:t>
      </w:r>
      <w:r w:rsidR="00D5213F">
        <w:rPr>
          <w:spacing w:val="-2"/>
          <w:szCs w:val="19"/>
          <w:shd w:val="clear" w:color="auto" w:fill="FFFFFF"/>
        </w:rPr>
        <w:t xml:space="preserve"> (w 2017 r. – 30,4%)</w:t>
      </w:r>
      <w:r w:rsidR="001C013D" w:rsidRPr="001550A2">
        <w:rPr>
          <w:spacing w:val="-2"/>
          <w:szCs w:val="19"/>
          <w:shd w:val="clear" w:color="auto" w:fill="FFFFFF"/>
        </w:rPr>
        <w:t>, zaś ich p</w:t>
      </w:r>
      <w:r w:rsidRPr="001550A2">
        <w:rPr>
          <w:spacing w:val="-2"/>
          <w:szCs w:val="19"/>
          <w:shd w:val="clear" w:color="auto" w:fill="FFFFFF"/>
        </w:rPr>
        <w:t xml:space="preserve">rzeciętne miesięczne wydatki były wyższe o 34,2% </w:t>
      </w:r>
      <w:r w:rsidR="00B92D7C">
        <w:rPr>
          <w:spacing w:val="-2"/>
          <w:szCs w:val="19"/>
          <w:shd w:val="clear" w:color="auto" w:fill="FFFFFF"/>
        </w:rPr>
        <w:t xml:space="preserve">(w 2017 r. – 33,5%) </w:t>
      </w:r>
      <w:r w:rsidRPr="001550A2">
        <w:rPr>
          <w:spacing w:val="-2"/>
          <w:szCs w:val="19"/>
          <w:shd w:val="clear" w:color="auto" w:fill="FFFFFF"/>
        </w:rPr>
        <w:t>niż przeciętne wydatki na osobę w gospodarstwach domowych ogó</w:t>
      </w:r>
      <w:r w:rsidR="001C013D" w:rsidRPr="001550A2">
        <w:rPr>
          <w:spacing w:val="-2"/>
          <w:szCs w:val="19"/>
          <w:shd w:val="clear" w:color="auto" w:fill="FFFFFF"/>
        </w:rPr>
        <w:t xml:space="preserve">łem. </w:t>
      </w:r>
    </w:p>
    <w:p w:rsidR="00764D9C" w:rsidRPr="00F377FA" w:rsidRDefault="00764D9C" w:rsidP="00764D9C">
      <w:pPr>
        <w:jc w:val="both"/>
        <w:rPr>
          <w:i/>
          <w:spacing w:val="-2"/>
          <w:szCs w:val="19"/>
          <w:shd w:val="clear" w:color="auto" w:fill="FFFFFF"/>
        </w:rPr>
      </w:pPr>
    </w:p>
    <w:p w:rsidR="00764D9C" w:rsidRPr="00F377FA" w:rsidRDefault="00A219FA" w:rsidP="00764D9C">
      <w:pPr>
        <w:spacing w:after="0"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48849396" wp14:editId="211EAAA0">
                <wp:simplePos x="0" y="0"/>
                <wp:positionH relativeFrom="column">
                  <wp:posOffset>5200650</wp:posOffset>
                </wp:positionH>
                <wp:positionV relativeFrom="paragraph">
                  <wp:posOffset>1085850</wp:posOffset>
                </wp:positionV>
                <wp:extent cx="1725295" cy="1247775"/>
                <wp:effectExtent l="0" t="0" r="0" b="0"/>
                <wp:wrapTight wrapText="bothSides">
                  <wp:wrapPolygon edited="0">
                    <wp:start x="715" y="0"/>
                    <wp:lineTo x="715" y="21105"/>
                    <wp:lineTo x="20749" y="21105"/>
                    <wp:lineTo x="20749" y="0"/>
                    <wp:lineTo x="715" y="0"/>
                  </wp:wrapPolygon>
                </wp:wrapTight>
                <wp:docPr id="211" name="Pole tekstow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F920B6" w:rsidRDefault="001F4E44" w:rsidP="00764D9C">
                            <w:pPr>
                              <w:pStyle w:val="tekstzboku"/>
                            </w:pPr>
                            <w:r w:rsidRPr="00F920B6">
                              <w:t>W najgorszej sytuacji materialnej, pomimo jej poprawy, były nadal małżeństwa z 3 i więk</w:t>
                            </w:r>
                            <w:r>
                              <w:t>szą liczbą dzieci na utrzymaniu.</w:t>
                            </w:r>
                          </w:p>
                          <w:p w:rsidR="001F4E44" w:rsidRPr="00B31DA4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9396" id="Pole tekstowe 211" o:spid="_x0000_s1039" type="#_x0000_t202" style="position:absolute;margin-left:409.5pt;margin-top:85.5pt;width:135.85pt;height:98.25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" filled="f" stroked="f">
                <v:textbox>
                  <w:txbxContent>
                    <w:p w:rsidR="001F4E44" w:rsidRPr="00F920B6" w:rsidRDefault="001F4E44" w:rsidP="00764D9C">
                      <w:pPr>
                        <w:pStyle w:val="tekstzboku"/>
                      </w:pPr>
                      <w:r w:rsidRPr="00F920B6">
                        <w:t>W najgorszej sytuacji materialnej, pomimo jej poprawy, były nadal małżeństwa z 3 i więk</w:t>
                      </w:r>
                      <w:r>
                        <w:t>szą liczbą dzieci na utrzymaniu.</w:t>
                      </w:r>
                    </w:p>
                    <w:p w:rsidR="001F4E44" w:rsidRPr="00B31DA4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60BA6">
        <w:rPr>
          <w:noProof/>
          <w:lang w:eastAsia="pl-PL"/>
        </w:rPr>
        <w:drawing>
          <wp:inline distT="0" distB="0" distL="0" distR="0" wp14:anchorId="30847A64" wp14:editId="655825FE">
            <wp:extent cx="5122545" cy="2952000"/>
            <wp:effectExtent l="0" t="0" r="1905" b="1270"/>
            <wp:docPr id="238" name="Wykres 2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60BA6" w:rsidRDefault="00860BA6" w:rsidP="00764D9C">
      <w:pPr>
        <w:rPr>
          <w:szCs w:val="19"/>
          <w:shd w:val="clear" w:color="auto" w:fill="FFFFFF"/>
        </w:rPr>
      </w:pPr>
    </w:p>
    <w:p w:rsidR="00764D9C" w:rsidRPr="001550A2" w:rsidRDefault="0037524C" w:rsidP="00764D9C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>P</w:t>
      </w:r>
      <w:r w:rsidR="00764D9C" w:rsidRPr="001550A2">
        <w:rPr>
          <w:szCs w:val="19"/>
          <w:shd w:val="clear" w:color="auto" w:fill="FFFFFF"/>
        </w:rPr>
        <w:t xml:space="preserve">odobnie jak w latach poprzednich, </w:t>
      </w:r>
      <w:r w:rsidRPr="001550A2">
        <w:rPr>
          <w:szCs w:val="19"/>
          <w:shd w:val="clear" w:color="auto" w:fill="FFFFFF"/>
        </w:rPr>
        <w:t>w 2018 r.</w:t>
      </w:r>
      <w:r w:rsidR="00B92D7C">
        <w:rPr>
          <w:szCs w:val="19"/>
          <w:shd w:val="clear" w:color="auto" w:fill="FFFFFF"/>
        </w:rPr>
        <w:t xml:space="preserve">, pomimo poprawy w stosunku do </w:t>
      </w:r>
      <w:r w:rsidR="00705CD4">
        <w:rPr>
          <w:szCs w:val="19"/>
          <w:shd w:val="clear" w:color="auto" w:fill="FFFFFF"/>
        </w:rPr>
        <w:t>obserwacji z poprzedniego roku</w:t>
      </w:r>
      <w:r w:rsidR="00506EDA">
        <w:rPr>
          <w:szCs w:val="19"/>
          <w:shd w:val="clear" w:color="auto" w:fill="FFFFFF"/>
        </w:rPr>
        <w:t xml:space="preserve">, </w:t>
      </w:r>
      <w:r w:rsidR="00705CD4">
        <w:rPr>
          <w:szCs w:val="19"/>
          <w:shd w:val="clear" w:color="auto" w:fill="FFFFFF"/>
        </w:rPr>
        <w:t xml:space="preserve">w najtrudniejszej sytuacji materialnej znajdowały się </w:t>
      </w:r>
      <w:r w:rsidR="00764D9C" w:rsidRPr="001550A2">
        <w:rPr>
          <w:szCs w:val="19"/>
          <w:shd w:val="clear" w:color="auto" w:fill="FFFFFF"/>
        </w:rPr>
        <w:t>małżeństwa posiadające troje lub większą liczbę dzieci na utrzymaniu</w:t>
      </w:r>
      <w:r w:rsidR="00764D9C" w:rsidRPr="001550A2">
        <w:rPr>
          <w:rStyle w:val="Odwoanieprzypisudolnego"/>
          <w:szCs w:val="19"/>
          <w:shd w:val="clear" w:color="auto" w:fill="FFFFFF"/>
        </w:rPr>
        <w:footnoteReference w:id="3"/>
      </w:r>
      <w:r w:rsidRPr="001550A2">
        <w:rPr>
          <w:szCs w:val="19"/>
          <w:shd w:val="clear" w:color="auto" w:fill="FFFFFF"/>
        </w:rPr>
        <w:t xml:space="preserve">. </w:t>
      </w:r>
      <w:r w:rsidR="007347E4" w:rsidRPr="001550A2">
        <w:rPr>
          <w:szCs w:val="19"/>
          <w:shd w:val="clear" w:color="auto" w:fill="FFFFFF"/>
        </w:rPr>
        <w:t>P</w:t>
      </w:r>
      <w:r w:rsidR="00764D9C" w:rsidRPr="001550A2">
        <w:rPr>
          <w:szCs w:val="19"/>
          <w:shd w:val="clear" w:color="auto" w:fill="FFFFFF"/>
        </w:rPr>
        <w:t xml:space="preserve">rzeciętny miesięczny dochód rozporządzalny na osobę </w:t>
      </w:r>
      <w:r w:rsidR="00E53FB8">
        <w:rPr>
          <w:szCs w:val="19"/>
          <w:shd w:val="clear" w:color="auto" w:fill="FFFFFF"/>
        </w:rPr>
        <w:t>w tego typu gospodarstwach domowych</w:t>
      </w:r>
      <w:r w:rsidR="007347E4" w:rsidRPr="001550A2">
        <w:rPr>
          <w:szCs w:val="19"/>
          <w:shd w:val="clear" w:color="auto" w:fill="FFFFFF"/>
        </w:rPr>
        <w:t xml:space="preserve"> </w:t>
      </w:r>
      <w:r w:rsidR="00764D9C" w:rsidRPr="001550A2">
        <w:rPr>
          <w:szCs w:val="19"/>
          <w:shd w:val="clear" w:color="auto" w:fill="FFFFFF"/>
        </w:rPr>
        <w:t>był niższy o 25,6% (w 2017 r. – 27,1%), a</w:t>
      </w:r>
      <w:r w:rsidR="00506EDA">
        <w:rPr>
          <w:szCs w:val="19"/>
          <w:shd w:val="clear" w:color="auto" w:fill="FFFFFF"/>
        </w:rPr>
        <w:t> </w:t>
      </w:r>
      <w:r w:rsidR="00764D9C" w:rsidRPr="001550A2">
        <w:rPr>
          <w:szCs w:val="19"/>
          <w:shd w:val="clear" w:color="auto" w:fill="FFFFFF"/>
        </w:rPr>
        <w:t>wydatki na osobę były niższe o 22,7% (w 2017 r</w:t>
      </w:r>
      <w:r w:rsidR="007F275E">
        <w:rPr>
          <w:szCs w:val="19"/>
          <w:shd w:val="clear" w:color="auto" w:fill="FFFFFF"/>
        </w:rPr>
        <w:t>. – 26,6%) niż średnia krajowa.</w:t>
      </w:r>
    </w:p>
    <w:p w:rsidR="00764D9C" w:rsidRPr="00F377FA" w:rsidRDefault="00A219FA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01B66F0C" wp14:editId="4ECED6CE">
                <wp:simplePos x="0" y="0"/>
                <wp:positionH relativeFrom="column">
                  <wp:posOffset>5200650</wp:posOffset>
                </wp:positionH>
                <wp:positionV relativeFrom="paragraph">
                  <wp:posOffset>1187450</wp:posOffset>
                </wp:positionV>
                <wp:extent cx="1725295" cy="1504950"/>
                <wp:effectExtent l="0" t="0" r="0" b="0"/>
                <wp:wrapTight wrapText="bothSides">
                  <wp:wrapPolygon edited="0">
                    <wp:start x="715" y="0"/>
                    <wp:lineTo x="715" y="21327"/>
                    <wp:lineTo x="20749" y="21327"/>
                    <wp:lineTo x="20749" y="0"/>
                    <wp:lineTo x="715" y="0"/>
                  </wp:wrapPolygon>
                </wp:wrapTight>
                <wp:docPr id="210" name="Pole tekstow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A7709D" w:rsidRDefault="001F4E44" w:rsidP="00764D9C">
                            <w:pPr>
                              <w:pStyle w:val="tekstzboku"/>
                            </w:pPr>
                            <w:r w:rsidRPr="00A7709D">
                              <w:t>W gospodarstwach domowych z 3 i większą liczbą dzieci na utrzymaniu udział świadczenia wychowawczego Rodzina 500+ w dochodzi</w:t>
                            </w:r>
                            <w:r>
                              <w:t>e rozporządzalnym wyniósł 20,0%.</w:t>
                            </w:r>
                          </w:p>
                          <w:p w:rsidR="001F4E44" w:rsidRPr="00B31DA4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6F0C" id="Pole tekstowe 210" o:spid="_x0000_s1040" type="#_x0000_t202" style="position:absolute;margin-left:409.5pt;margin-top:93.5pt;width:135.85pt;height:118.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" filled="f" stroked="f">
                <v:textbox>
                  <w:txbxContent>
                    <w:p w:rsidR="001F4E44" w:rsidRPr="00A7709D" w:rsidRDefault="001F4E44" w:rsidP="00764D9C">
                      <w:pPr>
                        <w:pStyle w:val="tekstzboku"/>
                      </w:pPr>
                      <w:r w:rsidRPr="00A7709D">
                        <w:t>W gospodarstwach domowych z 3 i większą liczbą dzieci na utrzymaniu udział świadczenia wychowawczego Rodzina 500+ w dochodzi</w:t>
                      </w:r>
                      <w:r>
                        <w:t>e rozporządzalnym wyniósł 20,0%.</w:t>
                      </w:r>
                    </w:p>
                    <w:p w:rsidR="001F4E44" w:rsidRPr="00B31DA4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60BA6" w:rsidRPr="00860BA6">
        <w:rPr>
          <w:noProof/>
          <w:lang w:eastAsia="pl-PL"/>
        </w:rPr>
        <w:t xml:space="preserve"> </w:t>
      </w:r>
      <w:r w:rsidR="008205A7">
        <w:rPr>
          <w:noProof/>
          <w:lang w:eastAsia="pl-PL"/>
        </w:rPr>
        <w:drawing>
          <wp:inline distT="0" distB="0" distL="0" distR="0" wp14:anchorId="7013868F" wp14:editId="381E181B">
            <wp:extent cx="5111750" cy="2844000"/>
            <wp:effectExtent l="0" t="0" r="0" b="0"/>
            <wp:docPr id="228" name="Wykres 2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F275E" w:rsidRDefault="007F275E" w:rsidP="001006C8">
      <w:pPr>
        <w:tabs>
          <w:tab w:val="left" w:pos="3544"/>
        </w:tabs>
        <w:rPr>
          <w:spacing w:val="-3"/>
          <w:szCs w:val="19"/>
          <w:shd w:val="clear" w:color="auto" w:fill="FFFFFF"/>
        </w:rPr>
      </w:pPr>
    </w:p>
    <w:p w:rsidR="00764D9C" w:rsidRPr="001F4E44" w:rsidRDefault="00764D9C" w:rsidP="001006C8">
      <w:pPr>
        <w:tabs>
          <w:tab w:val="left" w:pos="3544"/>
        </w:tabs>
        <w:rPr>
          <w:szCs w:val="19"/>
          <w:shd w:val="clear" w:color="auto" w:fill="FFFFFF"/>
        </w:rPr>
      </w:pPr>
      <w:r w:rsidRPr="001F4E44">
        <w:rPr>
          <w:szCs w:val="19"/>
          <w:shd w:val="clear" w:color="auto" w:fill="FFFFFF"/>
        </w:rPr>
        <w:t>W gospodarstwach domowych osób z dziećmi na utrzymaniu otrzymujących świadczenie wychowawcze Rodzina 500+ udział tego świadczenia w doch</w:t>
      </w:r>
      <w:r w:rsidR="00BD029E" w:rsidRPr="001F4E44">
        <w:rPr>
          <w:szCs w:val="19"/>
          <w:shd w:val="clear" w:color="auto" w:fill="FFFFFF"/>
        </w:rPr>
        <w:t xml:space="preserve">odzie rozporządzalnym wyniósł </w:t>
      </w:r>
      <w:r w:rsidR="0097699E">
        <w:rPr>
          <w:szCs w:val="19"/>
          <w:shd w:val="clear" w:color="auto" w:fill="FFFFFF"/>
        </w:rPr>
        <w:t xml:space="preserve">13,5%, natomiast </w:t>
      </w:r>
      <w:r w:rsidRPr="001F4E44">
        <w:rPr>
          <w:szCs w:val="19"/>
          <w:shd w:val="clear" w:color="auto" w:fill="FFFFFF"/>
        </w:rPr>
        <w:t>w rodzinach z co najm</w:t>
      </w:r>
      <w:r w:rsidR="00BD029E" w:rsidRPr="001F4E44">
        <w:rPr>
          <w:szCs w:val="19"/>
          <w:shd w:val="clear" w:color="auto" w:fill="FFFFFF"/>
        </w:rPr>
        <w:t>niej 3 dzieci na utrzymaniu</w:t>
      </w:r>
      <w:r w:rsidR="0097699E">
        <w:rPr>
          <w:szCs w:val="19"/>
          <w:shd w:val="clear" w:color="auto" w:fill="FFFFFF"/>
        </w:rPr>
        <w:t xml:space="preserve"> 20,0%, zaś w</w:t>
      </w:r>
      <w:r w:rsidRPr="001F4E44">
        <w:rPr>
          <w:szCs w:val="19"/>
          <w:shd w:val="clear" w:color="auto" w:fill="FFFFFF"/>
        </w:rPr>
        <w:t xml:space="preserve"> gospodar</w:t>
      </w:r>
      <w:r w:rsidRPr="001F4E44">
        <w:rPr>
          <w:szCs w:val="19"/>
          <w:shd w:val="clear" w:color="auto" w:fill="FFFFFF"/>
        </w:rPr>
        <w:lastRenderedPageBreak/>
        <w:t>stw</w:t>
      </w:r>
      <w:r w:rsidR="0097699E">
        <w:rPr>
          <w:szCs w:val="19"/>
          <w:shd w:val="clear" w:color="auto" w:fill="FFFFFF"/>
        </w:rPr>
        <w:t>ach</w:t>
      </w:r>
      <w:r w:rsidRPr="001F4E44">
        <w:rPr>
          <w:szCs w:val="19"/>
          <w:shd w:val="clear" w:color="auto" w:fill="FFFFFF"/>
        </w:rPr>
        <w:t xml:space="preserve"> </w:t>
      </w:r>
      <w:r w:rsidR="00D81499" w:rsidRPr="001F4E44">
        <w:rPr>
          <w:szCs w:val="19"/>
          <w:shd w:val="clear" w:color="auto" w:fill="FFFFFF"/>
        </w:rPr>
        <w:t xml:space="preserve">małżeństw </w:t>
      </w:r>
      <w:r w:rsidRPr="001F4E44">
        <w:rPr>
          <w:szCs w:val="19"/>
          <w:shd w:val="clear" w:color="auto" w:fill="FFFFFF"/>
        </w:rPr>
        <w:t>z</w:t>
      </w:r>
      <w:r w:rsidR="005F2C48" w:rsidRPr="001F4E44">
        <w:rPr>
          <w:szCs w:val="19"/>
          <w:shd w:val="clear" w:color="auto" w:fill="FFFFFF"/>
        </w:rPr>
        <w:t> </w:t>
      </w:r>
      <w:r w:rsidRPr="001F4E44">
        <w:rPr>
          <w:szCs w:val="19"/>
          <w:shd w:val="clear" w:color="auto" w:fill="FFFFFF"/>
        </w:rPr>
        <w:t>dziećmi na utrzymaniu</w:t>
      </w:r>
      <w:r w:rsidR="0097699E">
        <w:rPr>
          <w:szCs w:val="19"/>
          <w:shd w:val="clear" w:color="auto" w:fill="FFFFFF"/>
        </w:rPr>
        <w:t xml:space="preserve"> 13,2%. </w:t>
      </w:r>
      <w:r w:rsidR="005F2C48" w:rsidRPr="001F4E44">
        <w:rPr>
          <w:szCs w:val="19"/>
          <w:shd w:val="clear" w:color="auto" w:fill="FFFFFF"/>
        </w:rPr>
        <w:t xml:space="preserve">W stosunku do 2017 r. odnotowano spadek tego udziału o </w:t>
      </w:r>
      <w:r w:rsidR="00BD029E" w:rsidRPr="001F4E44">
        <w:rPr>
          <w:szCs w:val="19"/>
          <w:shd w:val="clear" w:color="auto" w:fill="FFFFFF"/>
        </w:rPr>
        <w:t xml:space="preserve">odpowiednio </w:t>
      </w:r>
      <w:r w:rsidR="0097699E">
        <w:rPr>
          <w:szCs w:val="19"/>
          <w:shd w:val="clear" w:color="auto" w:fill="FFFFFF"/>
        </w:rPr>
        <w:t xml:space="preserve">o 1,0 p. proc, </w:t>
      </w:r>
      <w:r w:rsidR="00BD029E" w:rsidRPr="001F4E44">
        <w:rPr>
          <w:szCs w:val="19"/>
          <w:shd w:val="clear" w:color="auto" w:fill="FFFFFF"/>
        </w:rPr>
        <w:t>o 1,2</w:t>
      </w:r>
      <w:r w:rsidR="00C26D31" w:rsidRPr="001F4E44">
        <w:rPr>
          <w:szCs w:val="19"/>
          <w:shd w:val="clear" w:color="auto" w:fill="FFFFFF"/>
        </w:rPr>
        <w:t xml:space="preserve"> p. proc. </w:t>
      </w:r>
      <w:r w:rsidR="009D064D" w:rsidRPr="001F4E44">
        <w:rPr>
          <w:szCs w:val="19"/>
          <w:shd w:val="clear" w:color="auto" w:fill="FFFFFF"/>
        </w:rPr>
        <w:t>oraz o </w:t>
      </w:r>
      <w:r w:rsidR="00BD029E" w:rsidRPr="001F4E44">
        <w:rPr>
          <w:szCs w:val="19"/>
          <w:shd w:val="clear" w:color="auto" w:fill="FFFFFF"/>
        </w:rPr>
        <w:t>0,9</w:t>
      </w:r>
      <w:r w:rsidR="00DD75CE">
        <w:rPr>
          <w:szCs w:val="19"/>
          <w:shd w:val="clear" w:color="auto" w:fill="FFFFFF"/>
        </w:rPr>
        <w:t xml:space="preserve"> p. proc.</w:t>
      </w:r>
    </w:p>
    <w:p w:rsidR="001F4E44" w:rsidRPr="0097699E" w:rsidRDefault="006D5D15" w:rsidP="0097699E">
      <w:pPr>
        <w:spacing w:before="0"/>
      </w:pPr>
      <w:r w:rsidRPr="001F4E44">
        <w:rPr>
          <w:szCs w:val="19"/>
          <w:shd w:val="clear" w:color="auto" w:fill="FFFFFF"/>
        </w:rPr>
        <w:t xml:space="preserve">Udział dochodów ze świadczenia wychowawczego Rodzina 500+ w przeciętnym miesięcznym dochodzie rozporządzalnym na 1 osobę w gospodarstwach domowych, pobierających je w 2018 r. był </w:t>
      </w:r>
      <w:r w:rsidR="0097699E">
        <w:rPr>
          <w:szCs w:val="19"/>
          <w:shd w:val="clear" w:color="auto" w:fill="FFFFFF"/>
        </w:rPr>
        <w:t xml:space="preserve">najwyższy </w:t>
      </w:r>
      <w:r w:rsidRPr="001F4E44">
        <w:rPr>
          <w:szCs w:val="19"/>
          <w:shd w:val="clear" w:color="auto" w:fill="FFFFFF"/>
        </w:rPr>
        <w:t>w gospodarstwach rencistów wychowujących dzieci do lat 17 – 21,8% (w 2017 r. – 20,7%), a w gospodarstwach emerytów, pracownik</w:t>
      </w:r>
      <w:r w:rsidR="0097699E">
        <w:rPr>
          <w:szCs w:val="19"/>
          <w:shd w:val="clear" w:color="auto" w:fill="FFFFFF"/>
        </w:rPr>
        <w:t>ów i rolników kształtował się w </w:t>
      </w:r>
      <w:r w:rsidRPr="001F4E44">
        <w:rPr>
          <w:szCs w:val="19"/>
          <w:shd w:val="clear" w:color="auto" w:fill="FFFFFF"/>
        </w:rPr>
        <w:t xml:space="preserve">granicach od 14,0% do 12,8%. Najniższy udział tego świadczenia </w:t>
      </w:r>
      <w:r w:rsidR="0097699E">
        <w:rPr>
          <w:szCs w:val="19"/>
          <w:shd w:val="clear" w:color="auto" w:fill="FFFFFF"/>
        </w:rPr>
        <w:t xml:space="preserve">wśród grup społeczno-ekonomicznych </w:t>
      </w:r>
      <w:r w:rsidRPr="001F4E44">
        <w:rPr>
          <w:szCs w:val="19"/>
          <w:shd w:val="clear" w:color="auto" w:fill="FFFFFF"/>
        </w:rPr>
        <w:t>wystąpił w gospodarstwach pracujących na własny rachunek poza gospodarstwem rolnym – 9,8% (w 2017 r. 10,7%) dochodu rozporządzalnego</w:t>
      </w:r>
      <w:r w:rsidRPr="001F4E44">
        <w:rPr>
          <w:rStyle w:val="Odwoanieprzypisudolnego"/>
          <w:szCs w:val="19"/>
          <w:shd w:val="clear" w:color="auto" w:fill="FFFFFF"/>
        </w:rPr>
        <w:footnoteReference w:id="4"/>
      </w:r>
      <w:r w:rsidRPr="001F4E44">
        <w:rPr>
          <w:szCs w:val="19"/>
          <w:shd w:val="clear" w:color="auto" w:fill="FFFFFF"/>
        </w:rPr>
        <w:t>.</w:t>
      </w:r>
      <w:r w:rsidR="00DD75CE">
        <w:rPr>
          <w:szCs w:val="19"/>
          <w:shd w:val="clear" w:color="auto" w:fill="FFFFFF"/>
        </w:rPr>
        <w:t xml:space="preserve"> </w:t>
      </w:r>
      <w:r w:rsidR="0097699E">
        <w:rPr>
          <w:szCs w:val="19"/>
          <w:shd w:val="clear" w:color="auto" w:fill="FFFFFF"/>
        </w:rPr>
        <w:t>N</w:t>
      </w:r>
      <w:r w:rsidR="001F4E44" w:rsidRPr="001F4E44">
        <w:rPr>
          <w:szCs w:val="19"/>
          <w:shd w:val="clear" w:color="auto" w:fill="FFFFFF"/>
        </w:rPr>
        <w:t xml:space="preserve">a wsi </w:t>
      </w:r>
      <w:r w:rsidR="003453A4">
        <w:rPr>
          <w:szCs w:val="19"/>
          <w:shd w:val="clear" w:color="auto" w:fill="FFFFFF"/>
        </w:rPr>
        <w:t xml:space="preserve">wyniósł on </w:t>
      </w:r>
      <w:r w:rsidR="001F4E44" w:rsidRPr="001F4E44">
        <w:rPr>
          <w:szCs w:val="19"/>
          <w:shd w:val="clear" w:color="auto" w:fill="FFFFFF"/>
        </w:rPr>
        <w:t>prze</w:t>
      </w:r>
      <w:r w:rsidR="0097699E">
        <w:rPr>
          <w:szCs w:val="19"/>
          <w:shd w:val="clear" w:color="auto" w:fill="FFFFFF"/>
        </w:rPr>
        <w:t>ciętnie 15,0%, a </w:t>
      </w:r>
      <w:r w:rsidR="001F4E44" w:rsidRPr="001F4E44">
        <w:rPr>
          <w:szCs w:val="19"/>
          <w:shd w:val="clear" w:color="auto" w:fill="FFFFFF"/>
        </w:rPr>
        <w:t>w mieście 12,5% i spadał wraz ze wzrostem jego wielkości od 14,4% w najmniejszych miastach do 8,5% w miastach liczących co najmniej 500 tys. mieszkańców.</w:t>
      </w:r>
    </w:p>
    <w:p w:rsidR="00764D9C" w:rsidRPr="001F4E44" w:rsidRDefault="00F13611" w:rsidP="00764D9C">
      <w:pPr>
        <w:rPr>
          <w:szCs w:val="19"/>
          <w:shd w:val="clear" w:color="auto" w:fill="FFFFFF"/>
        </w:rPr>
      </w:pPr>
      <w:r w:rsidRPr="001F4E44"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5EE949DC" wp14:editId="36C36659">
                <wp:simplePos x="0" y="0"/>
                <wp:positionH relativeFrom="column">
                  <wp:posOffset>5356225</wp:posOffset>
                </wp:positionH>
                <wp:positionV relativeFrom="paragraph">
                  <wp:posOffset>-156845</wp:posOffset>
                </wp:positionV>
                <wp:extent cx="1725295" cy="1819275"/>
                <wp:effectExtent l="0" t="0" r="0" b="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1B2A5E" w:rsidRDefault="001F4E44" w:rsidP="00D81499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Sytuacja gospodarstw domowych, które w swoim składzie miały osobę niepełnosprawną nieznacznie się pogorszyła w porównaniu z przeciętną dla ogółu gospodarstw domowych.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49DC" id="Pole tekstowe 13" o:spid="_x0000_s1041" type="#_x0000_t202" style="position:absolute;margin-left:421.75pt;margin-top:-12.35pt;width:135.85pt;height:143.2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" filled="f" stroked="f">
                <v:textbox>
                  <w:txbxContent>
                    <w:p w:rsidR="001F4E44" w:rsidRPr="001B2A5E" w:rsidRDefault="001F4E44" w:rsidP="00D81499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Sytuacja gospodarstw domowych, które w swoim składzie miały osobę niepełnosprawną nieznacznie się pogorszyła w porównaniu z przeciętną dla ogółu gospodarstw domowych.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4D9C" w:rsidRPr="001F4E44">
        <w:rPr>
          <w:szCs w:val="19"/>
          <w:shd w:val="clear" w:color="auto" w:fill="FFFFFF"/>
        </w:rPr>
        <w:t xml:space="preserve">Średni miesięczny dochód rozporządzalny na osobę w gospodarstwach domowych, które miały w swoim składzie osobę niepełnosprawną kształtował się </w:t>
      </w:r>
      <w:r w:rsidR="0086798B" w:rsidRPr="001F4E44">
        <w:rPr>
          <w:szCs w:val="19"/>
          <w:shd w:val="clear" w:color="auto" w:fill="FFFFFF"/>
        </w:rPr>
        <w:t xml:space="preserve"> o 15,5% </w:t>
      </w:r>
      <w:r w:rsidR="00764D9C" w:rsidRPr="001F4E44">
        <w:rPr>
          <w:szCs w:val="19"/>
          <w:shd w:val="clear" w:color="auto" w:fill="FFFFFF"/>
        </w:rPr>
        <w:t>poniżej przeciętnej krajowej (w 2017 r. o 14,4%). W grupie tej aż 51,8% przeciętnego miesięcznego dochodu rozporządzalnego na osobę</w:t>
      </w:r>
      <w:r w:rsidR="009A235F" w:rsidRPr="001F4E44">
        <w:rPr>
          <w:szCs w:val="19"/>
          <w:shd w:val="clear" w:color="auto" w:fill="FFFFFF"/>
        </w:rPr>
        <w:t>, podobnie jak w roku poprzednim,</w:t>
      </w:r>
      <w:r w:rsidR="00764D9C" w:rsidRPr="001F4E44">
        <w:rPr>
          <w:szCs w:val="19"/>
          <w:shd w:val="clear" w:color="auto" w:fill="FFFFFF"/>
        </w:rPr>
        <w:t xml:space="preserve"> stanowiły dochody ze świadczeń społecznych</w:t>
      </w:r>
      <w:r w:rsidR="005F2C48" w:rsidRPr="001F4E44">
        <w:rPr>
          <w:szCs w:val="19"/>
          <w:shd w:val="clear" w:color="auto" w:fill="FFFFFF"/>
        </w:rPr>
        <w:t>,</w:t>
      </w:r>
      <w:r w:rsidR="00764D9C" w:rsidRPr="001F4E44">
        <w:rPr>
          <w:szCs w:val="19"/>
          <w:shd w:val="clear" w:color="auto" w:fill="FFFFFF"/>
        </w:rPr>
        <w:t xml:space="preserve"> </w:t>
      </w:r>
      <w:r w:rsidR="0086798B" w:rsidRPr="001F4E44">
        <w:rPr>
          <w:szCs w:val="19"/>
          <w:shd w:val="clear" w:color="auto" w:fill="FFFFFF"/>
        </w:rPr>
        <w:t xml:space="preserve">podczas gdy </w:t>
      </w:r>
      <w:r w:rsidR="00764D9C" w:rsidRPr="001F4E44">
        <w:rPr>
          <w:szCs w:val="19"/>
          <w:shd w:val="clear" w:color="auto" w:fill="FFFFFF"/>
        </w:rPr>
        <w:t xml:space="preserve">w gospodarstwach domowych bez osób </w:t>
      </w:r>
      <w:r w:rsidR="0086798B" w:rsidRPr="001F4E44">
        <w:rPr>
          <w:szCs w:val="19"/>
          <w:shd w:val="clear" w:color="auto" w:fill="FFFFFF"/>
        </w:rPr>
        <w:t xml:space="preserve">niepełnosprawnych zdecydowanie mniej </w:t>
      </w:r>
      <w:r w:rsidR="009D064D" w:rsidRPr="001F4E44">
        <w:rPr>
          <w:szCs w:val="19"/>
          <w:shd w:val="clear" w:color="auto" w:fill="FFFFFF"/>
        </w:rPr>
        <w:t>–</w:t>
      </w:r>
      <w:r w:rsidR="0086798B" w:rsidRPr="001F4E44">
        <w:rPr>
          <w:szCs w:val="19"/>
          <w:shd w:val="clear" w:color="auto" w:fill="FFFFFF"/>
        </w:rPr>
        <w:t xml:space="preserve"> 27,5%</w:t>
      </w:r>
      <w:r w:rsidR="00764D9C" w:rsidRPr="001F4E44">
        <w:rPr>
          <w:szCs w:val="19"/>
          <w:shd w:val="clear" w:color="auto" w:fill="FFFFFF"/>
        </w:rPr>
        <w:t>.</w:t>
      </w:r>
    </w:p>
    <w:p w:rsidR="00764D9C" w:rsidRPr="001F4E44" w:rsidRDefault="001F4E44" w:rsidP="00764D9C">
      <w:pPr>
        <w:rPr>
          <w:szCs w:val="19"/>
          <w:shd w:val="clear" w:color="auto" w:fill="FFFFFF"/>
        </w:rPr>
      </w:pPr>
      <w:r w:rsidRPr="001F4E44">
        <w:rPr>
          <w:szCs w:val="19"/>
          <w:shd w:val="clear" w:color="auto" w:fill="FFFFFF"/>
        </w:rPr>
        <w:t>Przeciętne miesięczne wydatki na 1 osobę w gospodarstwach</w:t>
      </w:r>
      <w:r w:rsidR="00764D9C" w:rsidRPr="001F4E44">
        <w:rPr>
          <w:szCs w:val="19"/>
          <w:shd w:val="clear" w:color="auto" w:fill="FFFFFF"/>
        </w:rPr>
        <w:t xml:space="preserve"> domowych z osobami niepełnosprawnymi były również niższe od przeciętnych miesięcznych wydatków w gospodarstwach ogółem – o 14,0% (w 2017 r. o 13,1%).</w:t>
      </w:r>
      <w:r w:rsidR="00D81499" w:rsidRPr="001F4E44">
        <w:rPr>
          <w:szCs w:val="19"/>
          <w:shd w:val="clear" w:color="auto" w:fill="FFFFFF"/>
        </w:rPr>
        <w:t xml:space="preserve"> </w:t>
      </w:r>
    </w:p>
    <w:p w:rsidR="00D04BE9" w:rsidRPr="001B2A5E" w:rsidRDefault="00D04BE9" w:rsidP="00764D9C">
      <w:pPr>
        <w:rPr>
          <w:spacing w:val="-2"/>
          <w:szCs w:val="19"/>
          <w:shd w:val="clear" w:color="auto" w:fill="FFFFFF"/>
        </w:rPr>
      </w:pPr>
    </w:p>
    <w:p w:rsidR="00764D9C" w:rsidRPr="00F377FA" w:rsidRDefault="00A219FA" w:rsidP="00764D9C">
      <w:pPr>
        <w:spacing w:line="240" w:lineRule="auto"/>
        <w:rPr>
          <w:i/>
          <w:spacing w:val="-2"/>
          <w:szCs w:val="19"/>
          <w:shd w:val="clear" w:color="auto" w:fill="FFFFFF"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3914BF4E" wp14:editId="6BFBDDD0">
                <wp:simplePos x="0" y="0"/>
                <wp:positionH relativeFrom="column">
                  <wp:posOffset>5210175</wp:posOffset>
                </wp:positionH>
                <wp:positionV relativeFrom="paragraph">
                  <wp:posOffset>914400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209" name="Pole tekstow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1B2A5E" w:rsidRDefault="001F4E44" w:rsidP="00764D9C">
                            <w:pPr>
                              <w:spacing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B2A5E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Gospodarstwa domowe, które miały w swoim składzie osobę niepełnosprawną, dysponowały średnim miesięcznym dochodem rozporządzalnym 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 1 osobę o </w:t>
                            </w:r>
                            <w:r w:rsidRPr="001B2A5E"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15</w:t>
                            </w:r>
                            <w:r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,5% niższym niż średnia krajowa.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4BF4E" id="Pole tekstowe 209" o:spid="_x0000_s1042" type="#_x0000_t202" style="position:absolute;margin-left:410.25pt;margin-top:1in;width:135.85pt;height:133.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" filled="f" stroked="f">
                <v:textbox>
                  <w:txbxContent>
                    <w:p w:rsidR="001F4E44" w:rsidRPr="001B2A5E" w:rsidRDefault="001F4E44" w:rsidP="00764D9C">
                      <w:pPr>
                        <w:spacing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B2A5E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Gospodarstwa domowe, które miały w swoim składzie osobę niepełnosprawną, dysponowały średnim miesięcznym dochodem rozporządzalnym 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 1 osobę o </w:t>
                      </w:r>
                      <w:r w:rsidRPr="001B2A5E"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15</w:t>
                      </w:r>
                      <w:r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,5% niższym niż średnia krajowa.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76524">
        <w:rPr>
          <w:noProof/>
          <w:lang w:eastAsia="pl-PL"/>
        </w:rPr>
        <w:drawing>
          <wp:inline distT="0" distB="0" distL="0" distR="0" wp14:anchorId="38796388" wp14:editId="23EC32B2">
            <wp:extent cx="5122545" cy="3060000"/>
            <wp:effectExtent l="0" t="0" r="1905" b="7620"/>
            <wp:docPr id="240" name="Wykres 2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76524" w:rsidRDefault="00476524" w:rsidP="00764D9C">
      <w:pPr>
        <w:rPr>
          <w:spacing w:val="-2"/>
          <w:szCs w:val="19"/>
          <w:shd w:val="clear" w:color="auto" w:fill="FFFFFF"/>
        </w:rPr>
      </w:pPr>
    </w:p>
    <w:p w:rsidR="00764D9C" w:rsidRDefault="00764D9C" w:rsidP="00764D9C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 xml:space="preserve">Przeciętny miesięczny dochód rozporządzalny na 1 osobę w gospodarstwach domowych </w:t>
      </w:r>
      <w:r w:rsidR="00E04C9B">
        <w:rPr>
          <w:spacing w:val="-2"/>
          <w:szCs w:val="19"/>
          <w:shd w:val="clear" w:color="auto" w:fill="FFFFFF"/>
        </w:rPr>
        <w:t xml:space="preserve">z przynajmniej 1 osobą w wieku 60 lat lub więcej był niższy o </w:t>
      </w:r>
      <w:r w:rsidR="00E41430">
        <w:rPr>
          <w:spacing w:val="-2"/>
          <w:szCs w:val="19"/>
          <w:shd w:val="clear" w:color="auto" w:fill="FFFFFF"/>
        </w:rPr>
        <w:t xml:space="preserve">zaledwie 1,0% </w:t>
      </w:r>
      <w:r w:rsidR="00E04C9B">
        <w:rPr>
          <w:spacing w:val="-2"/>
          <w:szCs w:val="19"/>
          <w:shd w:val="clear" w:color="auto" w:fill="FFFFFF"/>
        </w:rPr>
        <w:t>od średniej dla ogółu gospodarstw domowych</w:t>
      </w:r>
      <w:r w:rsidR="00E0029A">
        <w:rPr>
          <w:spacing w:val="-2"/>
          <w:szCs w:val="19"/>
          <w:shd w:val="clear" w:color="auto" w:fill="FFFFFF"/>
        </w:rPr>
        <w:t xml:space="preserve"> i również niższy w porównaniu do gospodarstw domowych bez osób starszych. </w:t>
      </w:r>
      <w:r w:rsidR="00E41430">
        <w:rPr>
          <w:spacing w:val="-2"/>
          <w:szCs w:val="19"/>
          <w:shd w:val="clear" w:color="auto" w:fill="FFFFFF"/>
        </w:rPr>
        <w:t>Z </w:t>
      </w:r>
      <w:r w:rsidR="00E0029A">
        <w:rPr>
          <w:spacing w:val="-2"/>
          <w:szCs w:val="19"/>
          <w:shd w:val="clear" w:color="auto" w:fill="FFFFFF"/>
        </w:rPr>
        <w:t>kolei gospodarstwa domowe składające się wyłącznie z osób w wieku 60 lat lub więcej dysponowały przeciętnie wyższym dochodem rozporządzalnym na 1 osobę o 15,5% od średniej dla gospodarstw domowych nie</w:t>
      </w:r>
      <w:r w:rsidR="008707CF">
        <w:rPr>
          <w:spacing w:val="-2"/>
          <w:szCs w:val="19"/>
          <w:shd w:val="clear" w:color="auto" w:fill="FFFFFF"/>
        </w:rPr>
        <w:t xml:space="preserve"> </w:t>
      </w:r>
      <w:r w:rsidR="00E0029A">
        <w:rPr>
          <w:spacing w:val="-2"/>
          <w:szCs w:val="19"/>
          <w:shd w:val="clear" w:color="auto" w:fill="FFFFFF"/>
        </w:rPr>
        <w:t>posiadających w swoim składzie osób starszych</w:t>
      </w:r>
      <w:r w:rsidR="008707CF">
        <w:rPr>
          <w:spacing w:val="-2"/>
          <w:szCs w:val="19"/>
          <w:shd w:val="clear" w:color="auto" w:fill="FFFFFF"/>
        </w:rPr>
        <w:t xml:space="preserve">. wynika to z mniejszej liczebności gospodarstw domowych składających się wyłącznie z osób starszych oraz posiadania przez nie własnych źródeł utrzymania (najczęściej emerytury). </w:t>
      </w:r>
      <w:r w:rsidR="001F4E44">
        <w:rPr>
          <w:spacing w:val="-2"/>
          <w:szCs w:val="19"/>
          <w:shd w:val="clear" w:color="auto" w:fill="FFFFFF"/>
        </w:rPr>
        <w:t xml:space="preserve">Z drugiej strony warto </w:t>
      </w:r>
      <w:r w:rsidR="008707CF">
        <w:rPr>
          <w:spacing w:val="-2"/>
          <w:szCs w:val="19"/>
          <w:shd w:val="clear" w:color="auto" w:fill="FFFFFF"/>
        </w:rPr>
        <w:t xml:space="preserve">zauważyć wyższy, niż przeciętnie w gospodarstwach domowych ogółem, udział wydatków w grupie gospodarstw </w:t>
      </w:r>
      <w:r w:rsidR="001F4E44">
        <w:rPr>
          <w:spacing w:val="-2"/>
          <w:szCs w:val="19"/>
          <w:shd w:val="clear" w:color="auto" w:fill="FFFFFF"/>
        </w:rPr>
        <w:t xml:space="preserve">wyłącznie </w:t>
      </w:r>
      <w:r w:rsidR="008707CF">
        <w:rPr>
          <w:spacing w:val="-2"/>
          <w:szCs w:val="19"/>
          <w:shd w:val="clear" w:color="auto" w:fill="FFFFFF"/>
        </w:rPr>
        <w:t>z osobami starszymi</w:t>
      </w:r>
      <w:r w:rsidR="001F4E44">
        <w:rPr>
          <w:spacing w:val="-2"/>
          <w:szCs w:val="19"/>
          <w:shd w:val="clear" w:color="auto" w:fill="FFFFFF"/>
        </w:rPr>
        <w:t>.</w:t>
      </w:r>
    </w:p>
    <w:p w:rsidR="001F4E44" w:rsidRPr="00F377FA" w:rsidRDefault="001F4E44" w:rsidP="00764D9C">
      <w:pPr>
        <w:rPr>
          <w:i/>
          <w:spacing w:val="-2"/>
          <w:szCs w:val="19"/>
          <w:shd w:val="clear" w:color="auto" w:fill="FFFFFF"/>
        </w:rPr>
      </w:pPr>
    </w:p>
    <w:p w:rsidR="00751FAC" w:rsidRDefault="003D3CCA" w:rsidP="00697D5A">
      <w:pPr>
        <w:spacing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448857E0" wp14:editId="3DA00BE9">
            <wp:extent cx="5122545" cy="3132000"/>
            <wp:effectExtent l="0" t="0" r="1905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F4E44" w:rsidRDefault="001F4E44" w:rsidP="00C67546">
      <w:pPr>
        <w:spacing w:before="240"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before="240"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  <w:t>Spożycie ilościowe żywności</w:t>
      </w:r>
    </w:p>
    <w:p w:rsidR="00973C01" w:rsidRDefault="009C6E51" w:rsidP="00C67546">
      <w:pPr>
        <w:rPr>
          <w:spacing w:val="-3"/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35639840" wp14:editId="48D4AA23">
                <wp:simplePos x="0" y="0"/>
                <wp:positionH relativeFrom="column">
                  <wp:posOffset>5210175</wp:posOffset>
                </wp:positionH>
                <wp:positionV relativeFrom="paragraph">
                  <wp:posOffset>-135255</wp:posOffset>
                </wp:positionV>
                <wp:extent cx="1725295" cy="1485900"/>
                <wp:effectExtent l="0" t="0" r="0" b="0"/>
                <wp:wrapTight wrapText="bothSides">
                  <wp:wrapPolygon edited="0">
                    <wp:start x="715" y="0"/>
                    <wp:lineTo x="715" y="21323"/>
                    <wp:lineTo x="20749" y="21323"/>
                    <wp:lineTo x="20749" y="0"/>
                    <wp:lineTo x="715" y="0"/>
                  </wp:wrapPolygon>
                </wp:wrapTight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Default="001F4E44" w:rsidP="00C67546">
                            <w:pPr>
                              <w:pStyle w:val="tekstzboku"/>
                            </w:pPr>
                            <w:r>
                              <w:t>W 2018 r. nadal spadało spożycie podstawowych produktów żywnościowych takich jak: warzywa, oleje i tłuszcze, pieczywo i produkty zbożowe, ryby i owoce morza oraz jaja.</w:t>
                            </w:r>
                          </w:p>
                          <w:p w:rsidR="001F4E44" w:rsidRDefault="001F4E44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9840" id="Pole tekstowe 31" o:spid="_x0000_s1043" type="#_x0000_t202" style="position:absolute;margin-left:410.25pt;margin-top:-10.65pt;width:135.85pt;height:117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" filled="f" stroked="f">
                <v:textbox>
                  <w:txbxContent>
                    <w:p w:rsidR="001F4E44" w:rsidRDefault="001F4E44" w:rsidP="00C67546">
                      <w:pPr>
                        <w:pStyle w:val="tekstzboku"/>
                      </w:pPr>
                      <w:r>
                        <w:t>W 2018 r. nadal spadało spożycie podstawowych produktów żywnościowych takich jak: warzywa, oleje i tłuszcze, pieczywo i produkty zbożowe, ryby i owoce morza oraz jaja.</w:t>
                      </w:r>
                    </w:p>
                    <w:p w:rsidR="001F4E44" w:rsidRDefault="001F4E44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67546" w:rsidRPr="001550A2">
        <w:rPr>
          <w:spacing w:val="-3"/>
          <w:szCs w:val="19"/>
          <w:shd w:val="clear" w:color="auto" w:fill="FFFFFF"/>
        </w:rPr>
        <w:t>W 2018 r., podobnie jak w latach poprzednich, utrzymała się tendencja spadkowa spożycia większości podstawowych artykułów żywnościowych. Spadek dot</w:t>
      </w:r>
      <w:r w:rsidR="00BF2F0A" w:rsidRPr="001550A2">
        <w:rPr>
          <w:spacing w:val="-3"/>
          <w:szCs w:val="19"/>
          <w:shd w:val="clear" w:color="auto" w:fill="FFFFFF"/>
        </w:rPr>
        <w:t xml:space="preserve">yczył zwłaszcza </w:t>
      </w:r>
      <w:r w:rsidR="00C67546" w:rsidRPr="001550A2">
        <w:rPr>
          <w:spacing w:val="-3"/>
          <w:szCs w:val="19"/>
          <w:shd w:val="clear" w:color="auto" w:fill="FFFFFF"/>
        </w:rPr>
        <w:t xml:space="preserve">warzyw (o 3,9%), olejów i tłuszczów (o 3,6%), </w:t>
      </w:r>
      <w:r w:rsidR="00973C01">
        <w:rPr>
          <w:spacing w:val="-3"/>
          <w:szCs w:val="19"/>
          <w:shd w:val="clear" w:color="auto" w:fill="FFFFFF"/>
        </w:rPr>
        <w:t>pieczywa i produktów zbożowych, ryb i </w:t>
      </w:r>
      <w:r w:rsidR="00C67546" w:rsidRPr="001550A2">
        <w:rPr>
          <w:spacing w:val="-3"/>
          <w:szCs w:val="19"/>
          <w:shd w:val="clear" w:color="auto" w:fill="FFFFFF"/>
        </w:rPr>
        <w:t>owoców morza (o 3,4%)</w:t>
      </w:r>
      <w:r w:rsidR="00973C01">
        <w:rPr>
          <w:spacing w:val="-3"/>
          <w:szCs w:val="19"/>
          <w:shd w:val="clear" w:color="auto" w:fill="FFFFFF"/>
        </w:rPr>
        <w:t xml:space="preserve"> oraz</w:t>
      </w:r>
      <w:r w:rsidR="00C67546" w:rsidRPr="001550A2">
        <w:rPr>
          <w:spacing w:val="-3"/>
          <w:szCs w:val="19"/>
          <w:shd w:val="clear" w:color="auto" w:fill="FFFFFF"/>
        </w:rPr>
        <w:t xml:space="preserve"> jaj (o 2,9%)</w:t>
      </w:r>
      <w:r w:rsidR="00973C01">
        <w:rPr>
          <w:spacing w:val="-3"/>
          <w:szCs w:val="19"/>
          <w:shd w:val="clear" w:color="auto" w:fill="FFFFFF"/>
        </w:rPr>
        <w:t xml:space="preserve">. Najbardziej </w:t>
      </w:r>
      <w:r>
        <w:rPr>
          <w:spacing w:val="-3"/>
          <w:szCs w:val="19"/>
          <w:shd w:val="clear" w:color="auto" w:fill="FFFFFF"/>
        </w:rPr>
        <w:t>w</w:t>
      </w:r>
      <w:r w:rsidR="00C67546" w:rsidRPr="001550A2">
        <w:rPr>
          <w:spacing w:val="-3"/>
          <w:szCs w:val="19"/>
          <w:shd w:val="clear" w:color="auto" w:fill="FFFFFF"/>
        </w:rPr>
        <w:t>zrosło nato</w:t>
      </w:r>
      <w:r w:rsidR="00973C01">
        <w:rPr>
          <w:spacing w:val="-3"/>
          <w:szCs w:val="19"/>
          <w:shd w:val="clear" w:color="auto" w:fill="FFFFFF"/>
        </w:rPr>
        <w:t>miast spożycie owoców (o 3,0%).</w:t>
      </w:r>
    </w:p>
    <w:p w:rsidR="00C67546" w:rsidRPr="001550A2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 xml:space="preserve">Poziom spożycia artykułów żywnościowych zależy w dużym stopniu od dochodów gospodarstwa domowego. Wraz ze wzrostem zamożności gospodarstw </w:t>
      </w:r>
      <w:r w:rsidR="001F4E44">
        <w:rPr>
          <w:spacing w:val="-2"/>
          <w:szCs w:val="19"/>
          <w:shd w:val="clear" w:color="auto" w:fill="FFFFFF"/>
        </w:rPr>
        <w:t>wyższy był</w:t>
      </w:r>
      <w:r w:rsidR="001F4E44" w:rsidRPr="001550A2">
        <w:rPr>
          <w:spacing w:val="-2"/>
          <w:szCs w:val="19"/>
          <w:shd w:val="clear" w:color="auto" w:fill="FFFFFF"/>
        </w:rPr>
        <w:t xml:space="preserve"> </w:t>
      </w:r>
      <w:r w:rsidRPr="001550A2">
        <w:rPr>
          <w:spacing w:val="-2"/>
          <w:szCs w:val="19"/>
          <w:shd w:val="clear" w:color="auto" w:fill="FFFFFF"/>
        </w:rPr>
        <w:t>poziom spożycia niektórych artykułów żywnościowych takich jak pieczywo i produkty zbożowe</w:t>
      </w:r>
      <w:r w:rsidR="00471D75">
        <w:rPr>
          <w:rStyle w:val="Odwoanieprzypisudolnego"/>
          <w:spacing w:val="-2"/>
          <w:szCs w:val="19"/>
          <w:shd w:val="clear" w:color="auto" w:fill="FFFFFF"/>
        </w:rPr>
        <w:footnoteReference w:id="5"/>
      </w:r>
      <w:r w:rsidR="00471D75">
        <w:rPr>
          <w:spacing w:val="-2"/>
          <w:szCs w:val="19"/>
          <w:shd w:val="clear" w:color="auto" w:fill="FFFFFF"/>
        </w:rPr>
        <w:t>, mięso, warzywa, owoce, sery i </w:t>
      </w:r>
      <w:r w:rsidRPr="001550A2">
        <w:rPr>
          <w:spacing w:val="-2"/>
          <w:szCs w:val="19"/>
          <w:shd w:val="clear" w:color="auto" w:fill="FFFFFF"/>
        </w:rPr>
        <w:t>twarogi</w:t>
      </w:r>
      <w:r w:rsidR="00973C01">
        <w:rPr>
          <w:spacing w:val="-2"/>
          <w:szCs w:val="19"/>
          <w:shd w:val="clear" w:color="auto" w:fill="FFFFFF"/>
        </w:rPr>
        <w:t xml:space="preserve"> </w:t>
      </w:r>
      <w:r w:rsidR="00C1268F">
        <w:rPr>
          <w:spacing w:val="-2"/>
          <w:szCs w:val="19"/>
          <w:shd w:val="clear" w:color="auto" w:fill="FFFFFF"/>
        </w:rPr>
        <w:t>oraz</w:t>
      </w:r>
      <w:r w:rsidR="00973C01">
        <w:rPr>
          <w:spacing w:val="-2"/>
          <w:szCs w:val="19"/>
          <w:shd w:val="clear" w:color="auto" w:fill="FFFFFF"/>
        </w:rPr>
        <w:t xml:space="preserve"> wody mineralne i źródlane.</w:t>
      </w:r>
      <w:r w:rsidRPr="001550A2">
        <w:rPr>
          <w:spacing w:val="-2"/>
          <w:szCs w:val="19"/>
          <w:shd w:val="clear" w:color="auto" w:fill="FFFFFF"/>
        </w:rPr>
        <w:t xml:space="preserve"> </w:t>
      </w:r>
    </w:p>
    <w:p w:rsidR="00C67546" w:rsidRDefault="00C67546" w:rsidP="00C67546">
      <w:pPr>
        <w:rPr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6C244EC4" wp14:editId="47EEB841">
            <wp:extent cx="5123815" cy="2736000"/>
            <wp:effectExtent l="0" t="0" r="635" b="762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67546" w:rsidRDefault="00C67546" w:rsidP="00C67546">
      <w:pPr>
        <w:rPr>
          <w:spacing w:val="-2"/>
          <w:szCs w:val="19"/>
          <w:shd w:val="clear" w:color="auto" w:fill="FFFFFF"/>
        </w:rPr>
      </w:pPr>
    </w:p>
    <w:p w:rsidR="00C67546" w:rsidRPr="001550A2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Na poziom spożycia żywności wpływa</w:t>
      </w:r>
      <w:r w:rsidR="00F13611">
        <w:rPr>
          <w:spacing w:val="-2"/>
          <w:szCs w:val="19"/>
          <w:shd w:val="clear" w:color="auto" w:fill="FFFFFF"/>
        </w:rPr>
        <w:t>ją</w:t>
      </w:r>
      <w:r w:rsidRPr="001550A2">
        <w:rPr>
          <w:spacing w:val="-2"/>
          <w:szCs w:val="19"/>
          <w:shd w:val="clear" w:color="auto" w:fill="FFFFFF"/>
        </w:rPr>
        <w:t xml:space="preserve"> również </w:t>
      </w:r>
      <w:r w:rsidR="00F13611">
        <w:rPr>
          <w:spacing w:val="-2"/>
          <w:szCs w:val="19"/>
          <w:shd w:val="clear" w:color="auto" w:fill="FFFFFF"/>
        </w:rPr>
        <w:t>nawyki żywieniowe, dostępność i ceny produktów żywieniowych, związane z miejscem zamieszkania</w:t>
      </w:r>
      <w:r w:rsidRPr="001550A2">
        <w:rPr>
          <w:spacing w:val="-2"/>
          <w:szCs w:val="19"/>
          <w:shd w:val="clear" w:color="auto" w:fill="FFFFFF"/>
        </w:rPr>
        <w:t>. Gospodarstwa domowe zamieszkujące tereny wiejskie charakteryzują się nieco innym modelem żywienia niż gospodarstwa domowe zamieszkujące miasta.</w:t>
      </w:r>
    </w:p>
    <w:p w:rsidR="00C67546" w:rsidRDefault="00C67546" w:rsidP="00C67546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2C1F639D" wp14:editId="4B3D5B3F">
            <wp:extent cx="5123815" cy="2628000"/>
            <wp:effectExtent l="0" t="0" r="635" b="127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F4E44" w:rsidRDefault="001F4E44" w:rsidP="00C67546">
      <w:pPr>
        <w:spacing w:before="240"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before="240"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0BE2583B" wp14:editId="055F88D5">
                <wp:simplePos x="0" y="0"/>
                <wp:positionH relativeFrom="column">
                  <wp:posOffset>5210175</wp:posOffset>
                </wp:positionH>
                <wp:positionV relativeFrom="paragraph">
                  <wp:posOffset>169545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Default="001F4E44" w:rsidP="00C67546">
                            <w:pPr>
                              <w:pStyle w:val="tekstzboku"/>
                            </w:pPr>
                            <w:r w:rsidRPr="001550A2">
                              <w:t>W</w:t>
                            </w:r>
                            <w:r>
                              <w:t xml:space="preserve"> 2018 r. wystąpił wysoki wzrost </w:t>
                            </w:r>
                            <w:r w:rsidRPr="001550A2">
                              <w:t xml:space="preserve">poziomu wyposażenia </w:t>
                            </w:r>
                            <w:r>
                              <w:t>gospodarstw domowych w </w:t>
                            </w:r>
                            <w:r w:rsidRPr="001550A2">
                              <w:t>dobra trwałego użytkowania nowej generacji takich jak: zmywarka do naczyń</w:t>
                            </w:r>
                            <w:r>
                              <w:t xml:space="preserve">, </w:t>
                            </w:r>
                            <w:r w:rsidRPr="001550A2">
                              <w:t>zestaw kina domowego, smartfon</w:t>
                            </w:r>
                            <w:r>
                              <w:t>.</w:t>
                            </w:r>
                          </w:p>
                          <w:p w:rsidR="001F4E44" w:rsidRDefault="001F4E44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583B" id="Pole tekstowe 30" o:spid="_x0000_s1044" type="#_x0000_t202" style="position:absolute;margin-left:410.25pt;margin-top:13.35pt;width:135.85pt;height:133.5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" filled="f" stroked="f">
                <v:textbox>
                  <w:txbxContent>
                    <w:p w:rsidR="001F4E44" w:rsidRDefault="001F4E44" w:rsidP="00C67546">
                      <w:pPr>
                        <w:pStyle w:val="tekstzboku"/>
                      </w:pPr>
                      <w:r w:rsidRPr="001550A2">
                        <w:t>W</w:t>
                      </w:r>
                      <w:r>
                        <w:t xml:space="preserve"> 2018 r. wystąpił wysoki wzrost </w:t>
                      </w:r>
                      <w:r w:rsidRPr="001550A2">
                        <w:t xml:space="preserve">poziomu wyposażenia </w:t>
                      </w:r>
                      <w:r>
                        <w:t>gospodarstw domowych w </w:t>
                      </w:r>
                      <w:r w:rsidRPr="001550A2">
                        <w:t>dobra trwałego użytkowania nowej generacji takich jak: zmywarka do naczyń</w:t>
                      </w:r>
                      <w:r>
                        <w:t xml:space="preserve">, </w:t>
                      </w:r>
                      <w:r w:rsidRPr="001550A2">
                        <w:t>zestaw kina domowego, smartfon</w:t>
                      </w:r>
                      <w:r>
                        <w:t>.</w:t>
                      </w:r>
                    </w:p>
                    <w:p w:rsidR="001F4E44" w:rsidRDefault="001F4E44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  <w:t>Wyposażenie w przedmioty trwałego użytkowania</w:t>
      </w:r>
    </w:p>
    <w:p w:rsidR="00C67546" w:rsidRPr="001550A2" w:rsidRDefault="00C67546" w:rsidP="00C67546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 xml:space="preserve">W roku 2018 </w:t>
      </w:r>
      <w:r w:rsidR="001931C9">
        <w:rPr>
          <w:szCs w:val="19"/>
          <w:shd w:val="clear" w:color="auto" w:fill="FFFFFF"/>
        </w:rPr>
        <w:t>wy</w:t>
      </w:r>
      <w:r w:rsidRPr="001550A2">
        <w:rPr>
          <w:szCs w:val="19"/>
          <w:shd w:val="clear" w:color="auto" w:fill="FFFFFF"/>
        </w:rPr>
        <w:t xml:space="preserve">stąpił wysoki wzrost poziomu wyposażenia gospodarstw domowych w zmywarkę do naczyń (o 14,5%), </w:t>
      </w:r>
      <w:r w:rsidR="00BF2F0A" w:rsidRPr="001550A2">
        <w:rPr>
          <w:szCs w:val="19"/>
          <w:shd w:val="clear" w:color="auto" w:fill="FFFFFF"/>
        </w:rPr>
        <w:t>zestaw kina domowego (o 13,0%),</w:t>
      </w:r>
      <w:r w:rsidRPr="001550A2">
        <w:rPr>
          <w:szCs w:val="19"/>
          <w:shd w:val="clear" w:color="auto" w:fill="FFFFFF"/>
        </w:rPr>
        <w:t xml:space="preserve"> smartfon (o 11,4%), drukarkę (o 10,9%) oraz nieco niższy wzrost w przypadku ku</w:t>
      </w:r>
      <w:r w:rsidR="00B038E8">
        <w:rPr>
          <w:szCs w:val="19"/>
          <w:shd w:val="clear" w:color="auto" w:fill="FFFFFF"/>
        </w:rPr>
        <w:t>chenki mikrofalowej (o 6,8%).</w:t>
      </w:r>
    </w:p>
    <w:p w:rsidR="00C67546" w:rsidRPr="001550A2" w:rsidRDefault="00C67546" w:rsidP="00C67546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>Poziom wyposażenia gospodarstw domowych w przedmioty trwałego użytkowania jest w dużym stopniu zależny od ich sytuacji materialnej.</w:t>
      </w:r>
    </w:p>
    <w:p w:rsidR="00C67546" w:rsidRDefault="00C67546" w:rsidP="00C67546">
      <w:pPr>
        <w:rPr>
          <w:szCs w:val="19"/>
          <w:shd w:val="clear" w:color="auto" w:fill="FFFFFF"/>
        </w:rPr>
      </w:pPr>
      <w:r>
        <w:rPr>
          <w:spacing w:val="-2"/>
          <w:szCs w:val="19"/>
          <w:shd w:val="clear" w:color="auto" w:fill="FFFFFF"/>
        </w:rPr>
        <w:t xml:space="preserve">Gospodarstwa najbogatsze (V grupa kwintylowa) były znacznie lepiej wyposażone niż </w:t>
      </w:r>
      <w:r w:rsidRPr="00B038E8">
        <w:rPr>
          <w:szCs w:val="19"/>
          <w:shd w:val="clear" w:color="auto" w:fill="FFFFFF"/>
        </w:rPr>
        <w:t xml:space="preserve">gospodarstwa </w:t>
      </w:r>
      <w:r w:rsidR="000B54F4" w:rsidRPr="00B038E8">
        <w:rPr>
          <w:szCs w:val="19"/>
          <w:shd w:val="clear" w:color="auto" w:fill="FFFFFF"/>
        </w:rPr>
        <w:t>n</w:t>
      </w:r>
      <w:r w:rsidR="009C1A80">
        <w:rPr>
          <w:szCs w:val="19"/>
          <w:shd w:val="clear" w:color="auto" w:fill="FFFFFF"/>
        </w:rPr>
        <w:t xml:space="preserve">ajuboższe (I grupa kwintylowa). </w:t>
      </w:r>
      <w:r w:rsidR="001F4E44">
        <w:rPr>
          <w:szCs w:val="19"/>
          <w:shd w:val="clear" w:color="auto" w:fill="FFFFFF"/>
        </w:rPr>
        <w:t>Jednak r</w:t>
      </w:r>
      <w:r w:rsidR="001F4E44" w:rsidRPr="00B038E8">
        <w:rPr>
          <w:szCs w:val="19"/>
          <w:shd w:val="clear" w:color="auto" w:fill="FFFFFF"/>
        </w:rPr>
        <w:t xml:space="preserve">óżnice </w:t>
      </w:r>
      <w:r w:rsidR="00B038E8" w:rsidRPr="00B038E8">
        <w:rPr>
          <w:szCs w:val="19"/>
          <w:shd w:val="clear" w:color="auto" w:fill="FFFFFF"/>
        </w:rPr>
        <w:t>w</w:t>
      </w:r>
      <w:r w:rsidR="00B038E8">
        <w:rPr>
          <w:szCs w:val="19"/>
          <w:shd w:val="clear" w:color="auto" w:fill="FFFFFF"/>
        </w:rPr>
        <w:t xml:space="preserve"> stopniu wyposażenia pomiędzy V </w:t>
      </w:r>
      <w:r w:rsidR="00B038E8" w:rsidRPr="00B038E8">
        <w:rPr>
          <w:szCs w:val="19"/>
          <w:shd w:val="clear" w:color="auto" w:fill="FFFFFF"/>
        </w:rPr>
        <w:t>i</w:t>
      </w:r>
      <w:r w:rsidR="001F4E44">
        <w:rPr>
          <w:szCs w:val="19"/>
          <w:shd w:val="clear" w:color="auto" w:fill="FFFFFF"/>
        </w:rPr>
        <w:t> </w:t>
      </w:r>
      <w:r w:rsidR="00B038E8" w:rsidRPr="00B038E8">
        <w:rPr>
          <w:szCs w:val="19"/>
          <w:shd w:val="clear" w:color="auto" w:fill="FFFFFF"/>
        </w:rPr>
        <w:t>I grupą kwintylową</w:t>
      </w:r>
      <w:r w:rsidR="008752CA" w:rsidRPr="00B038E8">
        <w:rPr>
          <w:szCs w:val="19"/>
          <w:shd w:val="clear" w:color="auto" w:fill="FFFFFF"/>
        </w:rPr>
        <w:t xml:space="preserve"> </w:t>
      </w:r>
      <w:r w:rsidR="00B038E8">
        <w:rPr>
          <w:szCs w:val="19"/>
          <w:shd w:val="clear" w:color="auto" w:fill="FFFFFF"/>
        </w:rPr>
        <w:t>zmniejszyły się w stosunku do 2017 r.</w:t>
      </w:r>
      <w:r w:rsidR="009C1A80">
        <w:rPr>
          <w:szCs w:val="19"/>
          <w:shd w:val="clear" w:color="auto" w:fill="FFFFFF"/>
        </w:rPr>
        <w:t xml:space="preserve"> </w:t>
      </w:r>
      <w:r w:rsidR="008752CA" w:rsidRPr="00B038E8">
        <w:rPr>
          <w:szCs w:val="19"/>
          <w:shd w:val="clear" w:color="auto" w:fill="FFFFFF"/>
        </w:rPr>
        <w:t>o 1,7 p. proc. w przypadku smartfo</w:t>
      </w:r>
      <w:r w:rsidR="009C1A80">
        <w:rPr>
          <w:szCs w:val="19"/>
          <w:shd w:val="clear" w:color="auto" w:fill="FFFFFF"/>
        </w:rPr>
        <w:t>nu i </w:t>
      </w:r>
      <w:r w:rsidR="008752CA" w:rsidRPr="00B038E8">
        <w:rPr>
          <w:szCs w:val="19"/>
          <w:shd w:val="clear" w:color="auto" w:fill="FFFFFF"/>
        </w:rPr>
        <w:t xml:space="preserve">samochodu osobowego, </w:t>
      </w:r>
      <w:r w:rsidR="009C1A80">
        <w:rPr>
          <w:szCs w:val="19"/>
          <w:shd w:val="clear" w:color="auto" w:fill="FFFFFF"/>
        </w:rPr>
        <w:t>o</w:t>
      </w:r>
      <w:r w:rsidR="008752CA" w:rsidRPr="00B038E8">
        <w:rPr>
          <w:szCs w:val="19"/>
          <w:shd w:val="clear" w:color="auto" w:fill="FFFFFF"/>
        </w:rPr>
        <w:t xml:space="preserve"> 3,2 p. proc. w przypadku zmywarki do na</w:t>
      </w:r>
      <w:r w:rsidR="009C1A80">
        <w:rPr>
          <w:szCs w:val="19"/>
          <w:shd w:val="clear" w:color="auto" w:fill="FFFFFF"/>
        </w:rPr>
        <w:t>czyń oraz o 3,7 p. proc. w </w:t>
      </w:r>
      <w:r w:rsidR="008752CA" w:rsidRPr="00B038E8">
        <w:rPr>
          <w:szCs w:val="19"/>
          <w:shd w:val="clear" w:color="auto" w:fill="FFFFFF"/>
        </w:rPr>
        <w:t>przypadku telewizora LCD lub plazmowego</w:t>
      </w:r>
      <w:r w:rsidRPr="00B038E8">
        <w:rPr>
          <w:szCs w:val="19"/>
          <w:shd w:val="clear" w:color="auto" w:fill="FFFFFF"/>
        </w:rPr>
        <w:t>.</w:t>
      </w:r>
    </w:p>
    <w:p w:rsidR="00CD41F1" w:rsidRDefault="00CD41F1" w:rsidP="00C67546">
      <w:pPr>
        <w:rPr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D110C1A" wp14:editId="520A082D">
            <wp:extent cx="5123815" cy="2520000"/>
            <wp:effectExtent l="0" t="0" r="635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67546" w:rsidRDefault="00C67546" w:rsidP="00C67546">
      <w:pPr>
        <w:rPr>
          <w:spacing w:val="-2"/>
          <w:szCs w:val="19"/>
          <w:shd w:val="clear" w:color="auto" w:fill="FFFFFF"/>
        </w:rPr>
      </w:pPr>
    </w:p>
    <w:p w:rsidR="00C67546" w:rsidRPr="001550A2" w:rsidRDefault="00C67546" w:rsidP="00C67546">
      <w:pPr>
        <w:rPr>
          <w:spacing w:val="-4"/>
          <w:szCs w:val="19"/>
          <w:shd w:val="clear" w:color="auto" w:fill="FFFFFF"/>
        </w:rPr>
      </w:pPr>
      <w:r w:rsidRPr="001550A2">
        <w:rPr>
          <w:spacing w:val="-4"/>
          <w:szCs w:val="19"/>
          <w:shd w:val="clear" w:color="auto" w:fill="FFFFFF"/>
        </w:rPr>
        <w:t>Pod względem wyposażenia w sprzęt nowej generacji taki</w:t>
      </w:r>
      <w:r w:rsidR="00CD41F1">
        <w:rPr>
          <w:spacing w:val="-4"/>
          <w:szCs w:val="19"/>
          <w:shd w:val="clear" w:color="auto" w:fill="FFFFFF"/>
        </w:rPr>
        <w:t>ch</w:t>
      </w:r>
      <w:r w:rsidRPr="001550A2">
        <w:rPr>
          <w:spacing w:val="-4"/>
          <w:szCs w:val="19"/>
          <w:shd w:val="clear" w:color="auto" w:fill="FFFFFF"/>
        </w:rPr>
        <w:t xml:space="preserve"> jak urządzenie z dostępem do Internetu</w:t>
      </w:r>
      <w:r w:rsidR="009C1A80">
        <w:rPr>
          <w:rStyle w:val="Odwoanieprzypisudolnego"/>
          <w:spacing w:val="-4"/>
          <w:szCs w:val="19"/>
          <w:shd w:val="clear" w:color="auto" w:fill="FFFFFF"/>
        </w:rPr>
        <w:footnoteReference w:id="6"/>
      </w:r>
      <w:r w:rsidRPr="001550A2">
        <w:rPr>
          <w:spacing w:val="-4"/>
          <w:szCs w:val="19"/>
          <w:shd w:val="clear" w:color="auto" w:fill="FFFFFF"/>
        </w:rPr>
        <w:t xml:space="preserve"> czy smartfon</w:t>
      </w:r>
      <w:r w:rsidR="006C3C6D">
        <w:rPr>
          <w:rStyle w:val="Odwoanieprzypisudolnego"/>
          <w:spacing w:val="-4"/>
          <w:szCs w:val="19"/>
          <w:shd w:val="clear" w:color="auto" w:fill="FFFFFF"/>
        </w:rPr>
        <w:footnoteReference w:id="7"/>
      </w:r>
      <w:r w:rsidRPr="001550A2">
        <w:rPr>
          <w:spacing w:val="-4"/>
          <w:szCs w:val="19"/>
          <w:shd w:val="clear" w:color="auto" w:fill="FFFFFF"/>
        </w:rPr>
        <w:t xml:space="preserve"> lepiej wypadają gospodarstwa domowe zamieszkujące miasta niż gospodarstwa domowe na wsi. W przypadku telewizora plazmowego lub LCD i zmywarki do naczyń brak </w:t>
      </w:r>
      <w:r w:rsidR="005260D6">
        <w:rPr>
          <w:spacing w:val="-4"/>
          <w:szCs w:val="19"/>
          <w:shd w:val="clear" w:color="auto" w:fill="FFFFFF"/>
        </w:rPr>
        <w:t xml:space="preserve">jest </w:t>
      </w:r>
      <w:r w:rsidRPr="001550A2">
        <w:rPr>
          <w:spacing w:val="-4"/>
          <w:szCs w:val="19"/>
          <w:shd w:val="clear" w:color="auto" w:fill="FFFFFF"/>
        </w:rPr>
        <w:t>istotnych różnic, natomiast zdecydowanie większy odsetek go</w:t>
      </w:r>
      <w:r w:rsidR="005260D6">
        <w:rPr>
          <w:spacing w:val="-4"/>
          <w:szCs w:val="19"/>
          <w:shd w:val="clear" w:color="auto" w:fill="FFFFFF"/>
        </w:rPr>
        <w:t>spodarstw domowych na wsi niż w </w:t>
      </w:r>
      <w:r w:rsidRPr="001550A2">
        <w:rPr>
          <w:spacing w:val="-4"/>
          <w:szCs w:val="19"/>
          <w:shd w:val="clear" w:color="auto" w:fill="FFFFFF"/>
        </w:rPr>
        <w:t>mieście posiadał samochód osobowy, motocykl, skuter, motorower lub rower.</w:t>
      </w:r>
    </w:p>
    <w:p w:rsidR="00C67546" w:rsidRDefault="00C67546" w:rsidP="00C67546">
      <w:pPr>
        <w:spacing w:after="0"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6186370A" wp14:editId="74FA76B6">
                <wp:simplePos x="0" y="0"/>
                <wp:positionH relativeFrom="column">
                  <wp:posOffset>5210175</wp:posOffset>
                </wp:positionH>
                <wp:positionV relativeFrom="paragraph">
                  <wp:posOffset>581025</wp:posOffset>
                </wp:positionV>
                <wp:extent cx="1781175" cy="1543050"/>
                <wp:effectExtent l="0" t="0" r="0" b="0"/>
                <wp:wrapTight wrapText="bothSides">
                  <wp:wrapPolygon edited="0">
                    <wp:start x="693" y="0"/>
                    <wp:lineTo x="693" y="21333"/>
                    <wp:lineTo x="20791" y="21333"/>
                    <wp:lineTo x="20791" y="0"/>
                    <wp:lineTo x="693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Default="001F4E44" w:rsidP="00C67546">
                            <w:pPr>
                              <w:pStyle w:val="tekstzboku"/>
                            </w:pPr>
                            <w:r>
                              <w:t>Na wsi większy jest odsetek gospodarstw domowych posiadających samochód osobowy, motocykl, skuter, motorower lub rower, natomiast gospodarstwa domowe w miastach są lepiej wyposażone w sprzęt nowej generacji.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370A" id="Pole tekstowe 28" o:spid="_x0000_s1045" type="#_x0000_t202" style="position:absolute;margin-left:410.25pt;margin-top:45.75pt;width:140.25pt;height:121.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" filled="f" stroked="f">
                <v:textbox>
                  <w:txbxContent>
                    <w:p w:rsidR="001F4E44" w:rsidRDefault="001F4E44" w:rsidP="00C67546">
                      <w:pPr>
                        <w:pStyle w:val="tekstzboku"/>
                      </w:pPr>
                      <w:r>
                        <w:t>Na wsi większy jest odsetek gospodarstw domowych posiadających samochód osobowy, motocykl, skuter, motorower lub rower, natomiast gospodarstwa domowe w miastach są lepiej wyposażone w sprzęt nowej generacji.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62DCF3A" wp14:editId="0673D0B8">
            <wp:extent cx="5123815" cy="2520000"/>
            <wp:effectExtent l="0" t="0" r="635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5358B1" w:rsidRPr="00A16CDF" w:rsidRDefault="005358B1" w:rsidP="00A16CDF">
      <w:pPr>
        <w:spacing w:line="240" w:lineRule="auto"/>
        <w:rPr>
          <w:spacing w:val="-2"/>
          <w:sz w:val="18"/>
          <w:szCs w:val="19"/>
          <w:shd w:val="clear" w:color="auto" w:fill="FFFFFF"/>
        </w:rPr>
      </w:pPr>
    </w:p>
    <w:p w:rsidR="00C67546" w:rsidRPr="001550A2" w:rsidRDefault="00C67546" w:rsidP="00734888">
      <w:pPr>
        <w:spacing w:line="230" w:lineRule="exact"/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W ciągu ostatnich kilku lat obserwujemy znacznie wyższą dynamikę wzrostu wyposażenia w niektóre dobra trwałego użytkowania gospodarstw domowych na wsi, niż w mieście.</w:t>
      </w:r>
    </w:p>
    <w:p w:rsidR="00C67546" w:rsidRDefault="00C67546" w:rsidP="00734888">
      <w:pPr>
        <w:spacing w:line="230" w:lineRule="exact"/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Także pomiędzy poszczególnymi województwami wystąpiły znaczące różnice w wyposażeniu gospodarstw domowych w dobra trwałego użytkowania. W 2018 roku najwyższy poziom wyposażenia w urządzenia z dostępem do Internetu</w:t>
      </w:r>
      <w:r w:rsidR="00113A40">
        <w:rPr>
          <w:spacing w:val="-2"/>
          <w:szCs w:val="19"/>
          <w:shd w:val="clear" w:color="auto" w:fill="FFFFFF"/>
        </w:rPr>
        <w:t xml:space="preserve"> </w:t>
      </w:r>
      <w:r w:rsidRPr="001550A2">
        <w:rPr>
          <w:spacing w:val="-2"/>
          <w:szCs w:val="19"/>
          <w:shd w:val="clear" w:color="auto" w:fill="FFFFFF"/>
        </w:rPr>
        <w:t>odnotowano w województwach: podkarpackim, kujawsko-pomorskim, wie</w:t>
      </w:r>
      <w:r w:rsidR="008752CA">
        <w:rPr>
          <w:spacing w:val="-2"/>
          <w:szCs w:val="19"/>
          <w:shd w:val="clear" w:color="auto" w:fill="FFFFFF"/>
        </w:rPr>
        <w:t xml:space="preserve">lkopolskim, zachodniopomorskim i </w:t>
      </w:r>
      <w:r w:rsidRPr="001550A2">
        <w:rPr>
          <w:spacing w:val="-2"/>
          <w:szCs w:val="19"/>
          <w:shd w:val="clear" w:color="auto" w:fill="FFFFFF"/>
        </w:rPr>
        <w:t xml:space="preserve">mazowieckim. Z kolei najlepiej wyposażone w smartfon były </w:t>
      </w:r>
      <w:r w:rsidR="00A012CB">
        <w:rPr>
          <w:spacing w:val="-2"/>
          <w:szCs w:val="19"/>
          <w:shd w:val="clear" w:color="auto" w:fill="FFFFFF"/>
        </w:rPr>
        <w:t xml:space="preserve">gospodarstwa domowe w </w:t>
      </w:r>
      <w:r w:rsidR="00A16CDF">
        <w:rPr>
          <w:spacing w:val="-2"/>
          <w:szCs w:val="19"/>
          <w:shd w:val="clear" w:color="auto" w:fill="FFFFFF"/>
        </w:rPr>
        <w:t>województwa</w:t>
      </w:r>
      <w:r w:rsidR="00A012CB">
        <w:rPr>
          <w:spacing w:val="-2"/>
          <w:szCs w:val="19"/>
          <w:shd w:val="clear" w:color="auto" w:fill="FFFFFF"/>
        </w:rPr>
        <w:t>ch</w:t>
      </w:r>
      <w:r w:rsidRPr="001550A2">
        <w:rPr>
          <w:spacing w:val="-2"/>
          <w:szCs w:val="19"/>
          <w:shd w:val="clear" w:color="auto" w:fill="FFFFFF"/>
        </w:rPr>
        <w:t xml:space="preserve">: </w:t>
      </w:r>
      <w:r w:rsidR="00A16CDF" w:rsidRPr="001550A2">
        <w:rPr>
          <w:spacing w:val="-2"/>
          <w:szCs w:val="19"/>
          <w:shd w:val="clear" w:color="auto" w:fill="FFFFFF"/>
        </w:rPr>
        <w:t>pomorski</w:t>
      </w:r>
      <w:r w:rsidR="00A012CB">
        <w:rPr>
          <w:spacing w:val="-2"/>
          <w:szCs w:val="19"/>
          <w:shd w:val="clear" w:color="auto" w:fill="FFFFFF"/>
        </w:rPr>
        <w:t>m</w:t>
      </w:r>
      <w:r w:rsidRPr="001550A2">
        <w:rPr>
          <w:spacing w:val="-2"/>
          <w:szCs w:val="19"/>
          <w:shd w:val="clear" w:color="auto" w:fill="FFFFFF"/>
        </w:rPr>
        <w:t xml:space="preserve">, </w:t>
      </w:r>
      <w:r w:rsidR="00A16CDF" w:rsidRPr="001550A2">
        <w:rPr>
          <w:spacing w:val="-2"/>
          <w:szCs w:val="19"/>
          <w:shd w:val="clear" w:color="auto" w:fill="FFFFFF"/>
        </w:rPr>
        <w:t>podkarpacki</w:t>
      </w:r>
      <w:r w:rsidR="00A012CB">
        <w:rPr>
          <w:spacing w:val="-2"/>
          <w:szCs w:val="19"/>
          <w:shd w:val="clear" w:color="auto" w:fill="FFFFFF"/>
        </w:rPr>
        <w:t>m</w:t>
      </w:r>
      <w:r w:rsidRPr="001550A2">
        <w:rPr>
          <w:spacing w:val="-2"/>
          <w:szCs w:val="19"/>
          <w:shd w:val="clear" w:color="auto" w:fill="FFFFFF"/>
        </w:rPr>
        <w:t xml:space="preserve">, </w:t>
      </w:r>
      <w:r w:rsidR="00A16CDF" w:rsidRPr="001550A2">
        <w:rPr>
          <w:spacing w:val="-2"/>
          <w:szCs w:val="19"/>
          <w:shd w:val="clear" w:color="auto" w:fill="FFFFFF"/>
        </w:rPr>
        <w:t>śląski</w:t>
      </w:r>
      <w:r w:rsidR="00A012CB">
        <w:rPr>
          <w:spacing w:val="-2"/>
          <w:szCs w:val="19"/>
          <w:shd w:val="clear" w:color="auto" w:fill="FFFFFF"/>
        </w:rPr>
        <w:t>m</w:t>
      </w:r>
      <w:r w:rsidR="00A16CDF">
        <w:rPr>
          <w:spacing w:val="-2"/>
          <w:szCs w:val="19"/>
          <w:shd w:val="clear" w:color="auto" w:fill="FFFFFF"/>
        </w:rPr>
        <w:t xml:space="preserve"> </w:t>
      </w:r>
      <w:r w:rsidR="008752CA">
        <w:rPr>
          <w:spacing w:val="-2"/>
          <w:szCs w:val="19"/>
          <w:shd w:val="clear" w:color="auto" w:fill="FFFFFF"/>
        </w:rPr>
        <w:t xml:space="preserve">i </w:t>
      </w:r>
      <w:r w:rsidR="00A16CDF" w:rsidRPr="001550A2">
        <w:rPr>
          <w:spacing w:val="-2"/>
          <w:szCs w:val="19"/>
          <w:shd w:val="clear" w:color="auto" w:fill="FFFFFF"/>
        </w:rPr>
        <w:t>mazowiecki</w:t>
      </w:r>
      <w:r w:rsidR="00A012CB">
        <w:rPr>
          <w:spacing w:val="-2"/>
          <w:szCs w:val="19"/>
          <w:shd w:val="clear" w:color="auto" w:fill="FFFFFF"/>
        </w:rPr>
        <w:t>m</w:t>
      </w:r>
      <w:r w:rsidRPr="001550A2">
        <w:rPr>
          <w:spacing w:val="-2"/>
          <w:szCs w:val="19"/>
          <w:shd w:val="clear" w:color="auto" w:fill="FFFFFF"/>
        </w:rPr>
        <w:t>.</w:t>
      </w:r>
    </w:p>
    <w:p w:rsidR="00A16CDF" w:rsidRPr="00A012CB" w:rsidRDefault="00A16CDF" w:rsidP="00A16CDF">
      <w:pPr>
        <w:spacing w:after="0" w:line="240" w:lineRule="auto"/>
        <w:rPr>
          <w:spacing w:val="-2"/>
          <w:sz w:val="22"/>
          <w:szCs w:val="19"/>
          <w:shd w:val="clear" w:color="auto" w:fill="FFFFFF"/>
        </w:rPr>
      </w:pPr>
    </w:p>
    <w:p w:rsidR="00A012CB" w:rsidRDefault="00C67546" w:rsidP="00A16CDF">
      <w:pPr>
        <w:pStyle w:val="Nagwek1"/>
        <w:spacing w:before="0" w:after="0"/>
        <w:rPr>
          <w:noProof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0725B0A9" wp14:editId="4BF6FFA3">
                <wp:simplePos x="0" y="0"/>
                <wp:positionH relativeFrom="column">
                  <wp:posOffset>5210175</wp:posOffset>
                </wp:positionH>
                <wp:positionV relativeFrom="paragraph">
                  <wp:posOffset>1628775</wp:posOffset>
                </wp:positionV>
                <wp:extent cx="1790700" cy="1790700"/>
                <wp:effectExtent l="0" t="0" r="0" b="0"/>
                <wp:wrapTight wrapText="bothSides">
                  <wp:wrapPolygon edited="0">
                    <wp:start x="689" y="0"/>
                    <wp:lineTo x="689" y="21370"/>
                    <wp:lineTo x="20681" y="21370"/>
                    <wp:lineTo x="20681" y="0"/>
                    <wp:lineTo x="689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79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324BD5" w:rsidRDefault="001F4E44" w:rsidP="00324BD5">
                            <w:pPr>
                              <w:pStyle w:val="tekstzboku"/>
                            </w:pPr>
                            <w:r>
                              <w:t>Najlepiej wyposażone w urządzenia z dostępem do Internetu i smartfon były gospodarstwa domowe z województw: mazowieckiego, podkarpackiego, śląskiego, wielkopolskiego i zachodniopomorskiego.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5B0A9" id="Pole tekstowe 27" o:spid="_x0000_s1046" type="#_x0000_t202" style="position:absolute;margin-left:410.25pt;margin-top:128.25pt;width:141pt;height:141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" filled="f" stroked="f">
                <v:textbox>
                  <w:txbxContent>
                    <w:p w:rsidR="001F4E44" w:rsidRPr="00324BD5" w:rsidRDefault="001F4E44" w:rsidP="00324BD5">
                      <w:pPr>
                        <w:pStyle w:val="tekstzboku"/>
                      </w:pPr>
                      <w:r>
                        <w:t>Najlepiej wyposażone w urządzenia z dostępem do Internetu i smartfon były gospodarstwa domowe z województw: mazowieckiego, podkarpackiego, śląskiego, wielkopolskiego i zachodniopomorskiego.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67546" w:rsidRDefault="00A16CDF" w:rsidP="00A16CDF">
      <w:pPr>
        <w:pStyle w:val="Nagwek1"/>
        <w:spacing w:before="0" w:after="0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DB9F70D" wp14:editId="4247A65B">
            <wp:extent cx="5122800" cy="5182833"/>
            <wp:effectExtent l="0" t="0" r="1905" b="0"/>
            <wp:docPr id="4" name="Obraz 4" descr="D:\PUBLIKACJE, NOTATKI\NOTATKA maj 2019\Mapki do Notatki BGD za 2018\mapa 3 2019 sz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UBLIKACJE, NOTATKI\NOTATKA maj 2019\Mapki do Notatki BGD za 2018\mapa 3 2019 sza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33" b="8963"/>
                    <a:stretch/>
                  </pic:blipFill>
                  <pic:spPr bwMode="auto">
                    <a:xfrm>
                      <a:off x="0" y="0"/>
                      <a:ext cx="5122800" cy="518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546" w:rsidRPr="00A16CDF" w:rsidRDefault="00C67546" w:rsidP="00A16CDF">
      <w:pPr>
        <w:spacing w:line="240" w:lineRule="auto"/>
        <w:jc w:val="both"/>
        <w:rPr>
          <w:spacing w:val="-2"/>
          <w:sz w:val="2"/>
          <w:szCs w:val="19"/>
          <w:shd w:val="clear" w:color="auto" w:fill="FFFFFF"/>
        </w:rPr>
      </w:pPr>
    </w:p>
    <w:p w:rsidR="00C67546" w:rsidRPr="004477C2" w:rsidRDefault="007E04C5" w:rsidP="00C67546">
      <w:pPr>
        <w:rPr>
          <w:szCs w:val="19"/>
          <w:shd w:val="clear" w:color="auto" w:fill="FFFFFF"/>
        </w:rPr>
      </w:pPr>
      <w:r w:rsidRPr="004477C2">
        <w:rPr>
          <w:szCs w:val="19"/>
          <w:shd w:val="clear" w:color="auto" w:fill="FFFFFF"/>
        </w:rPr>
        <w:lastRenderedPageBreak/>
        <w:t>Analizując gospodarstwa domowe wybrane ze</w:t>
      </w:r>
      <w:r w:rsidR="00F13611" w:rsidRPr="004477C2">
        <w:rPr>
          <w:szCs w:val="19"/>
          <w:shd w:val="clear" w:color="auto" w:fill="FFFFFF"/>
        </w:rPr>
        <w:t xml:space="preserve"> względu na ich typ biologiczny</w:t>
      </w:r>
      <w:r w:rsidRPr="004477C2">
        <w:rPr>
          <w:szCs w:val="19"/>
          <w:shd w:val="clear" w:color="auto" w:fill="FFFFFF"/>
        </w:rPr>
        <w:t xml:space="preserve"> można zauważyć, że g</w:t>
      </w:r>
      <w:r w:rsidR="00C67546" w:rsidRPr="004477C2">
        <w:rPr>
          <w:szCs w:val="19"/>
          <w:shd w:val="clear" w:color="auto" w:fill="FFFFFF"/>
        </w:rPr>
        <w:t>ospodarstwa małżeństw z dziećmi na utrzymaniu były zdecydowanie lepiej wyposażone w dobra trwałego użytkowania, niż gospodarstwa bez dzieci na utrzymaniu.</w:t>
      </w:r>
      <w:r w:rsidRPr="004477C2">
        <w:rPr>
          <w:szCs w:val="19"/>
          <w:shd w:val="clear" w:color="auto" w:fill="FFFFFF"/>
        </w:rPr>
        <w:t xml:space="preserve"> </w:t>
      </w:r>
      <w:r w:rsidR="00C67546" w:rsidRPr="004477C2">
        <w:rPr>
          <w:szCs w:val="19"/>
          <w:shd w:val="clear" w:color="auto" w:fill="FFFFFF"/>
        </w:rPr>
        <w:t>Aż 94,6% gospodarstw domowych małżeństw z dziećmi na utrzymaniu oraz 68,0% gospodarstw małżeństw bez dzieci na utrzymaniu posiadało urządzenie z dostępem do Internetu, natomiast smartfon – odpowiednio 90,1% i 55,5%. Samochód osobowy posiadało 89,2% gospodarstw domowych małżeństw z dziećmi na utrzymaniu i 72,3% gospodarstw małżeństw bez dzieci na utrzymaniu.</w:t>
      </w:r>
    </w:p>
    <w:p w:rsidR="00C67546" w:rsidRPr="004477C2" w:rsidRDefault="00DA1A33" w:rsidP="00C67546">
      <w:pPr>
        <w:rPr>
          <w:szCs w:val="19"/>
          <w:shd w:val="clear" w:color="auto" w:fill="FFFFFF"/>
        </w:rPr>
      </w:pPr>
      <w:r w:rsidRPr="004477C2">
        <w:rPr>
          <w:szCs w:val="19"/>
          <w:shd w:val="clear" w:color="auto" w:fill="FFFFFF"/>
        </w:rPr>
        <w:t>W przypadku gospodarstw wyodrębnionych ze względu na zamieszkiwanie z osoba niepełnosprawną</w:t>
      </w:r>
      <w:r w:rsidR="00C471BB" w:rsidRPr="004477C2">
        <w:rPr>
          <w:szCs w:val="19"/>
          <w:shd w:val="clear" w:color="auto" w:fill="FFFFFF"/>
        </w:rPr>
        <w:t xml:space="preserve"> – były one gorzej </w:t>
      </w:r>
      <w:r w:rsidR="00C67546" w:rsidRPr="004477C2">
        <w:rPr>
          <w:szCs w:val="19"/>
          <w:shd w:val="clear" w:color="auto" w:fill="FFFFFF"/>
        </w:rPr>
        <w:t xml:space="preserve">wyposażone w przedmioty trwałego użytkowania, a </w:t>
      </w:r>
      <w:r w:rsidR="00C471BB" w:rsidRPr="004477C2">
        <w:rPr>
          <w:szCs w:val="19"/>
          <w:shd w:val="clear" w:color="auto" w:fill="FFFFFF"/>
        </w:rPr>
        <w:t xml:space="preserve">zwłaszcza </w:t>
      </w:r>
      <w:r w:rsidR="00C67546" w:rsidRPr="004477C2">
        <w:rPr>
          <w:szCs w:val="19"/>
          <w:shd w:val="clear" w:color="auto" w:fill="FFFFFF"/>
        </w:rPr>
        <w:t>w</w:t>
      </w:r>
      <w:r w:rsidR="00C471BB" w:rsidRPr="004477C2">
        <w:rPr>
          <w:szCs w:val="19"/>
          <w:shd w:val="clear" w:color="auto" w:fill="FFFFFF"/>
        </w:rPr>
        <w:t> </w:t>
      </w:r>
      <w:r w:rsidR="00C67546" w:rsidRPr="004477C2">
        <w:rPr>
          <w:szCs w:val="19"/>
          <w:shd w:val="clear" w:color="auto" w:fill="FFFFFF"/>
        </w:rPr>
        <w:t xml:space="preserve">urządzenia zaawansowane technologicznie, niż gospodarstwa domowe </w:t>
      </w:r>
      <w:r w:rsidR="00C471BB" w:rsidRPr="004477C2">
        <w:rPr>
          <w:szCs w:val="19"/>
          <w:shd w:val="clear" w:color="auto" w:fill="FFFFFF"/>
        </w:rPr>
        <w:t>bez osób niepełnosprawnych</w:t>
      </w:r>
      <w:r w:rsidR="00734888" w:rsidRPr="004477C2">
        <w:rPr>
          <w:szCs w:val="19"/>
          <w:shd w:val="clear" w:color="auto" w:fill="FFFFFF"/>
        </w:rPr>
        <w:t>.</w:t>
      </w:r>
    </w:p>
    <w:p w:rsidR="00A16CDF" w:rsidRPr="004477C2" w:rsidRDefault="00C67546" w:rsidP="00A16CDF">
      <w:pPr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4477C2">
        <w:rPr>
          <w:szCs w:val="19"/>
          <w:shd w:val="clear" w:color="auto" w:fill="FFFFFF"/>
        </w:rPr>
        <w:t>Urządzenie z dostępem do Internetu posiadało 76,9% gospodarstw domowych bez osób niepełnosprawnych i 69,4% gospodarstw domowych z osobami niepełnosprawnymi, natomiast smartfon – odpowiednio 69,3% oraz 58,9%.</w:t>
      </w:r>
      <w:r w:rsidR="00C471BB" w:rsidRPr="004477C2">
        <w:rPr>
          <w:szCs w:val="19"/>
          <w:shd w:val="clear" w:color="auto" w:fill="FFFFFF"/>
        </w:rPr>
        <w:t xml:space="preserve"> </w:t>
      </w:r>
      <w:r w:rsidRPr="004477C2">
        <w:rPr>
          <w:szCs w:val="19"/>
          <w:shd w:val="clear" w:color="auto" w:fill="FFFFFF"/>
        </w:rPr>
        <w:t xml:space="preserve">Samochód osobowy posiadało 68,0% gospodarstw domowych bez osób niepełnosprawnych i 57,7% gospodarstw z </w:t>
      </w:r>
      <w:r w:rsidR="009A3FCA" w:rsidRPr="004477C2">
        <w:rPr>
          <w:szCs w:val="19"/>
          <w:shd w:val="clear" w:color="auto" w:fill="FFFFFF"/>
        </w:rPr>
        <w:t>osobami niepełnosprawnymi.</w:t>
      </w:r>
    </w:p>
    <w:p w:rsidR="00A16CDF" w:rsidRDefault="00A16CDF" w:rsidP="00A16CDF">
      <w:pP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</w:p>
    <w:p w:rsidR="00C67546" w:rsidRPr="00A16CDF" w:rsidRDefault="00C67546" w:rsidP="00A16CDF">
      <w:pP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FFC1402" wp14:editId="2498543D">
                <wp:simplePos x="0" y="0"/>
                <wp:positionH relativeFrom="column">
                  <wp:posOffset>5210175</wp:posOffset>
                </wp:positionH>
                <wp:positionV relativeFrom="paragraph">
                  <wp:posOffset>99695</wp:posOffset>
                </wp:positionV>
                <wp:extent cx="1725295" cy="1714500"/>
                <wp:effectExtent l="0" t="0" r="0" b="0"/>
                <wp:wrapTight wrapText="bothSides">
                  <wp:wrapPolygon edited="0">
                    <wp:start x="715" y="0"/>
                    <wp:lineTo x="715" y="21360"/>
                    <wp:lineTo x="20749" y="21360"/>
                    <wp:lineTo x="20749" y="0"/>
                    <wp:lineTo x="715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Pr="001550A2" w:rsidRDefault="001F4E44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1550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2018 roku sytuacja mieszkaniowa gospodarstw domowych nieznacznie się poprawiła. Przeciętne gospodarstwo domowe zajmowało mieszkanie o powierzchni 79,4 m</w:t>
                            </w:r>
                            <w:r w:rsidRPr="001550A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składające się z 3 pokoi.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1402" id="Pole tekstowe 26" o:spid="_x0000_s1047" type="#_x0000_t202" style="position:absolute;margin-left:410.25pt;margin-top:7.85pt;width:135.85pt;height:135pt;z-index:-25149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" filled="f" stroked="f">
                <v:textbox>
                  <w:txbxContent>
                    <w:p w:rsidR="001F4E44" w:rsidRPr="001550A2" w:rsidRDefault="001F4E44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1550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2018 roku sytuacja mieszkaniowa gospodarstw domowych nieznacznie się poprawiła. Przeciętne gospodarstwo domowe zajmowało mieszkanie o powierzchni 79,4 m</w:t>
                      </w:r>
                      <w:r w:rsidRPr="001550A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składające się z 3 pokoi.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  <w:t>Warunki mieszkaniowe</w:t>
      </w:r>
    </w:p>
    <w:p w:rsidR="00C67546" w:rsidRPr="001550A2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Przeciętne gospodarstwo domowe w 2018 roku zajmowało mieszkanie o powierzchni 79,4 m</w:t>
      </w:r>
      <w:r w:rsidRPr="001550A2">
        <w:rPr>
          <w:spacing w:val="-2"/>
          <w:szCs w:val="19"/>
          <w:shd w:val="clear" w:color="auto" w:fill="FFFFFF"/>
          <w:vertAlign w:val="superscript"/>
        </w:rPr>
        <w:t>2</w:t>
      </w:r>
      <w:r w:rsidRPr="001550A2">
        <w:rPr>
          <w:spacing w:val="-2"/>
          <w:szCs w:val="19"/>
          <w:shd w:val="clear" w:color="auto" w:fill="FFFFFF"/>
        </w:rPr>
        <w:t xml:space="preserve"> (w 2017 r. 77,9 m</w:t>
      </w:r>
      <w:r w:rsidRPr="001550A2">
        <w:rPr>
          <w:spacing w:val="-2"/>
          <w:szCs w:val="19"/>
          <w:shd w:val="clear" w:color="auto" w:fill="FFFFFF"/>
          <w:vertAlign w:val="superscript"/>
        </w:rPr>
        <w:t>2</w:t>
      </w:r>
      <w:r w:rsidRPr="001550A2">
        <w:rPr>
          <w:spacing w:val="-2"/>
          <w:szCs w:val="19"/>
          <w:shd w:val="clear" w:color="auto" w:fill="FFFFFF"/>
        </w:rPr>
        <w:t>), składające się z 3 pokoi. Na jedną osobę w gospodarstwie przypadało średnio 28,4 m</w:t>
      </w:r>
      <w:r w:rsidRPr="001550A2">
        <w:rPr>
          <w:spacing w:val="-2"/>
          <w:szCs w:val="19"/>
          <w:shd w:val="clear" w:color="auto" w:fill="FFFFFF"/>
          <w:vertAlign w:val="superscript"/>
        </w:rPr>
        <w:t>2</w:t>
      </w:r>
      <w:r w:rsidRPr="001550A2">
        <w:rPr>
          <w:spacing w:val="-2"/>
          <w:szCs w:val="19"/>
          <w:shd w:val="clear" w:color="auto" w:fill="FFFFFF"/>
        </w:rPr>
        <w:t xml:space="preserve"> powierzchni użytkowej oraz 1 pokój (w 2017 r. – 27,8 m</w:t>
      </w:r>
      <w:r w:rsidRPr="001550A2">
        <w:rPr>
          <w:spacing w:val="-2"/>
          <w:szCs w:val="19"/>
          <w:shd w:val="clear" w:color="auto" w:fill="FFFFFF"/>
          <w:vertAlign w:val="superscript"/>
        </w:rPr>
        <w:t xml:space="preserve">2 </w:t>
      </w:r>
      <w:r w:rsidRPr="001550A2">
        <w:rPr>
          <w:spacing w:val="-2"/>
          <w:szCs w:val="19"/>
          <w:shd w:val="clear" w:color="auto" w:fill="FFFFFF"/>
        </w:rPr>
        <w:t xml:space="preserve">oraz 1 pokój). </w:t>
      </w:r>
    </w:p>
    <w:p w:rsidR="006135D3" w:rsidRDefault="00C67546" w:rsidP="00C67546">
      <w:pPr>
        <w:rPr>
          <w:szCs w:val="19"/>
          <w:shd w:val="clear" w:color="auto" w:fill="FFFFFF"/>
        </w:rPr>
      </w:pPr>
      <w:r w:rsidRPr="002D6744">
        <w:rPr>
          <w:szCs w:val="19"/>
          <w:shd w:val="clear" w:color="auto" w:fill="FFFFFF"/>
        </w:rPr>
        <w:t>Największą przeciętną powierzchnią użytkową mieszkań dysponowały gospodarstwa domowe rolników – 133,5 m</w:t>
      </w:r>
      <w:r w:rsidRPr="002D6744">
        <w:rPr>
          <w:szCs w:val="19"/>
          <w:shd w:val="clear" w:color="auto" w:fill="FFFFFF"/>
          <w:vertAlign w:val="superscript"/>
        </w:rPr>
        <w:t>2</w:t>
      </w:r>
      <w:r w:rsidR="006D3D65" w:rsidRPr="002D6744">
        <w:rPr>
          <w:szCs w:val="19"/>
          <w:shd w:val="clear" w:color="auto" w:fill="FFFFFF"/>
        </w:rPr>
        <w:t>, zaś najmniejszą gospodarstwa domowe rencistów – 66,3 m</w:t>
      </w:r>
      <w:r w:rsidR="006D3D65" w:rsidRPr="002D6744">
        <w:rPr>
          <w:szCs w:val="19"/>
          <w:shd w:val="clear" w:color="auto" w:fill="FFFFFF"/>
          <w:vertAlign w:val="superscript"/>
        </w:rPr>
        <w:t>2</w:t>
      </w:r>
      <w:r w:rsidR="006D3D65" w:rsidRPr="002D6744">
        <w:rPr>
          <w:szCs w:val="19"/>
          <w:shd w:val="clear" w:color="auto" w:fill="FFFFFF"/>
        </w:rPr>
        <w:t>.</w:t>
      </w:r>
      <w:r w:rsidRPr="002D6744">
        <w:rPr>
          <w:szCs w:val="19"/>
          <w:shd w:val="clear" w:color="auto" w:fill="FFFFFF"/>
        </w:rPr>
        <w:t xml:space="preserve"> </w:t>
      </w:r>
      <w:r w:rsidR="006D3D65" w:rsidRPr="002D6744">
        <w:rPr>
          <w:szCs w:val="19"/>
          <w:shd w:val="clear" w:color="auto" w:fill="FFFFFF"/>
        </w:rPr>
        <w:t>We wszystkich grupach społeczno-ekonomicznych (za wyjątkiem rencistów, u który</w:t>
      </w:r>
      <w:r w:rsidR="003457D7">
        <w:rPr>
          <w:szCs w:val="19"/>
          <w:shd w:val="clear" w:color="auto" w:fill="FFFFFF"/>
        </w:rPr>
        <w:t>ch</w:t>
      </w:r>
      <w:r w:rsidR="006D3D65" w:rsidRPr="002D6744">
        <w:rPr>
          <w:szCs w:val="19"/>
          <w:shd w:val="clear" w:color="auto" w:fill="FFFFFF"/>
        </w:rPr>
        <w:t xml:space="preserve"> odnotowano poziom sprzed roku) wystąpił wzrost powierzchni użytkowanego mieszkania</w:t>
      </w:r>
      <w:r w:rsidR="00C32F5B" w:rsidRPr="002D6744">
        <w:rPr>
          <w:szCs w:val="19"/>
          <w:shd w:val="clear" w:color="auto" w:fill="FFFFFF"/>
        </w:rPr>
        <w:t xml:space="preserve"> – największy </w:t>
      </w:r>
      <w:r w:rsidR="00A16CDF">
        <w:rPr>
          <w:szCs w:val="19"/>
          <w:shd w:val="clear" w:color="auto" w:fill="FFFFFF"/>
        </w:rPr>
        <w:t>w </w:t>
      </w:r>
      <w:r w:rsidR="006D3D65" w:rsidRPr="002D6744">
        <w:rPr>
          <w:szCs w:val="19"/>
          <w:shd w:val="clear" w:color="auto" w:fill="FFFFFF"/>
        </w:rPr>
        <w:t>przypadku rolników</w:t>
      </w:r>
      <w:r w:rsidR="00C32F5B" w:rsidRPr="002D6744">
        <w:rPr>
          <w:szCs w:val="19"/>
          <w:shd w:val="clear" w:color="auto" w:fill="FFFFFF"/>
        </w:rPr>
        <w:t xml:space="preserve"> (o 5,0 m</w:t>
      </w:r>
      <w:r w:rsidR="00C32F5B" w:rsidRPr="002D6744">
        <w:rPr>
          <w:szCs w:val="19"/>
          <w:shd w:val="clear" w:color="auto" w:fill="FFFFFF"/>
          <w:vertAlign w:val="superscript"/>
        </w:rPr>
        <w:t>2</w:t>
      </w:r>
      <w:r w:rsidR="00C32F5B" w:rsidRPr="002D6744">
        <w:rPr>
          <w:szCs w:val="19"/>
          <w:shd w:val="clear" w:color="auto" w:fill="FFFFFF"/>
        </w:rPr>
        <w:t>)</w:t>
      </w:r>
      <w:r w:rsidR="006D3D65" w:rsidRPr="002D6744">
        <w:rPr>
          <w:szCs w:val="19"/>
          <w:shd w:val="clear" w:color="auto" w:fill="FFFFFF"/>
        </w:rPr>
        <w:t xml:space="preserve">. </w:t>
      </w:r>
    </w:p>
    <w:p w:rsidR="00C67546" w:rsidRPr="002D6744" w:rsidRDefault="00C67546" w:rsidP="00C67546">
      <w:pPr>
        <w:rPr>
          <w:szCs w:val="19"/>
          <w:shd w:val="clear" w:color="auto" w:fill="FFFFFF"/>
        </w:rPr>
      </w:pPr>
      <w:r w:rsidRPr="002D6744">
        <w:rPr>
          <w:szCs w:val="19"/>
          <w:shd w:val="clear" w:color="auto" w:fill="FFFFFF"/>
        </w:rPr>
        <w:t>Największą powierzchnię użytkową na 1 osobę posiadały gospodarstwa domowe rencistów (40,9 m</w:t>
      </w:r>
      <w:r w:rsidRPr="002D6744">
        <w:rPr>
          <w:szCs w:val="19"/>
          <w:shd w:val="clear" w:color="auto" w:fill="FFFFFF"/>
          <w:vertAlign w:val="superscript"/>
        </w:rPr>
        <w:t>2</w:t>
      </w:r>
      <w:r w:rsidRPr="002D6744">
        <w:rPr>
          <w:szCs w:val="19"/>
          <w:shd w:val="clear" w:color="auto" w:fill="FFFFFF"/>
        </w:rPr>
        <w:t>) oraz emerytów (38,6 m</w:t>
      </w:r>
      <w:r w:rsidRPr="002D6744">
        <w:rPr>
          <w:szCs w:val="19"/>
          <w:shd w:val="clear" w:color="auto" w:fill="FFFFFF"/>
          <w:vertAlign w:val="superscript"/>
        </w:rPr>
        <w:t>2</w:t>
      </w:r>
      <w:r w:rsidRPr="002D6744">
        <w:rPr>
          <w:szCs w:val="19"/>
          <w:shd w:val="clear" w:color="auto" w:fill="FFFFFF"/>
        </w:rPr>
        <w:t>), co wiąże się z mniejszą liczbą osób w gospodarstwie domowym, zaś najmniejszą – gospodarstwa domowe pracowników (24,2 m</w:t>
      </w:r>
      <w:r w:rsidRPr="002D6744">
        <w:rPr>
          <w:szCs w:val="19"/>
          <w:shd w:val="clear" w:color="auto" w:fill="FFFFFF"/>
          <w:vertAlign w:val="superscript"/>
        </w:rPr>
        <w:t>2</w:t>
      </w:r>
      <w:r w:rsidRPr="002D6744">
        <w:rPr>
          <w:szCs w:val="19"/>
          <w:shd w:val="clear" w:color="auto" w:fill="FFFFFF"/>
        </w:rPr>
        <w:t xml:space="preserve">). </w:t>
      </w:r>
    </w:p>
    <w:p w:rsidR="00C67546" w:rsidRPr="001550A2" w:rsidRDefault="00C67546" w:rsidP="00C67546">
      <w:pPr>
        <w:rPr>
          <w:szCs w:val="19"/>
          <w:shd w:val="clear" w:color="auto" w:fill="FFFFFF"/>
        </w:rPr>
      </w:pPr>
      <w:r w:rsidRPr="001550A2">
        <w:rPr>
          <w:szCs w:val="19"/>
          <w:shd w:val="clear" w:color="auto" w:fill="FFFFFF"/>
        </w:rPr>
        <w:t>Wielkość mieszkań użytkowanych przez gospodarstwa domowe była też zróżnicowana ze względu na poziom dochodów gospodarstwa. W przypadku gospodarstw domowych o najwyższych dochodach (V grupa kwintylowa), zajmowana powierzchnia była nieznacznie mniejsza (79,5 m</w:t>
      </w:r>
      <w:r w:rsidRPr="001550A2">
        <w:rPr>
          <w:szCs w:val="19"/>
          <w:shd w:val="clear" w:color="auto" w:fill="FFFFFF"/>
          <w:vertAlign w:val="superscript"/>
        </w:rPr>
        <w:t>2</w:t>
      </w:r>
      <w:r w:rsidRPr="001550A2">
        <w:rPr>
          <w:szCs w:val="19"/>
          <w:shd w:val="clear" w:color="auto" w:fill="FFFFFF"/>
        </w:rPr>
        <w:t>) niż w gospodarstwach o najniższych dochodach (I grupa kwintylowa) – 84,2 m</w:t>
      </w:r>
      <w:r w:rsidRPr="001550A2">
        <w:rPr>
          <w:szCs w:val="19"/>
          <w:shd w:val="clear" w:color="auto" w:fill="FFFFFF"/>
          <w:vertAlign w:val="superscript"/>
        </w:rPr>
        <w:t>2</w:t>
      </w:r>
      <w:r w:rsidRPr="001550A2">
        <w:rPr>
          <w:szCs w:val="19"/>
          <w:shd w:val="clear" w:color="auto" w:fill="FFFFFF"/>
        </w:rPr>
        <w:t>, jednak ich członkowie dysponowali dużo większą powierzchnią przypadającą na 1 osobę (odpowiednio 36,8 m</w:t>
      </w:r>
      <w:r w:rsidRPr="001550A2">
        <w:rPr>
          <w:szCs w:val="19"/>
          <w:shd w:val="clear" w:color="auto" w:fill="FFFFFF"/>
          <w:vertAlign w:val="superscript"/>
        </w:rPr>
        <w:t>2</w:t>
      </w:r>
      <w:r w:rsidRPr="001550A2">
        <w:rPr>
          <w:szCs w:val="19"/>
          <w:shd w:val="clear" w:color="auto" w:fill="FFFFFF"/>
        </w:rPr>
        <w:t xml:space="preserve"> wobec 22,1 m</w:t>
      </w:r>
      <w:r w:rsidRPr="001550A2">
        <w:rPr>
          <w:szCs w:val="19"/>
          <w:shd w:val="clear" w:color="auto" w:fill="FFFFFF"/>
          <w:vertAlign w:val="superscript"/>
        </w:rPr>
        <w:t>2</w:t>
      </w:r>
      <w:r w:rsidRPr="001550A2">
        <w:rPr>
          <w:szCs w:val="19"/>
          <w:shd w:val="clear" w:color="auto" w:fill="FFFFFF"/>
        </w:rPr>
        <w:t>)</w:t>
      </w:r>
      <w:r w:rsidRPr="001550A2">
        <w:rPr>
          <w:rStyle w:val="Odwoanieprzypisudolnego"/>
          <w:szCs w:val="19"/>
          <w:shd w:val="clear" w:color="auto" w:fill="FFFFFF"/>
        </w:rPr>
        <w:footnoteReference w:id="8"/>
      </w:r>
      <w:r w:rsidRPr="001550A2">
        <w:rPr>
          <w:szCs w:val="19"/>
          <w:shd w:val="clear" w:color="auto" w:fill="FFFFFF"/>
        </w:rPr>
        <w:t>.</w:t>
      </w:r>
    </w:p>
    <w:p w:rsidR="00C67546" w:rsidRPr="001550A2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Systematycznie poprawia się wyposażenie mieszkań w instalacje techniczno-sanitarne. Mieszkania wyposażone w wodociąg  zajmowało 99,7% gospodarstw domowych, 98,2% w ustęp spłukiwany i 97,9% w łazienkę.</w:t>
      </w:r>
    </w:p>
    <w:p w:rsidR="00C67546" w:rsidRPr="001550A2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4FB722FB" wp14:editId="3FC5C688">
                <wp:simplePos x="0" y="0"/>
                <wp:positionH relativeFrom="column">
                  <wp:posOffset>5210175</wp:posOffset>
                </wp:positionH>
                <wp:positionV relativeFrom="paragraph">
                  <wp:posOffset>417195</wp:posOffset>
                </wp:positionV>
                <wp:extent cx="1725295" cy="1809750"/>
                <wp:effectExtent l="0" t="0" r="0" b="0"/>
                <wp:wrapTight wrapText="bothSides">
                  <wp:wrapPolygon edited="0">
                    <wp:start x="715" y="0"/>
                    <wp:lineTo x="715" y="21373"/>
                    <wp:lineTo x="20749" y="21373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Default="001F4E44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Mieszkania gospodarstw domowych mieszkających w miastach były nieco lepiej wyposażone w instalacje sanitarno-techniczne od gospodarstw zamieszkujących wieś, za wyjątkiem wyposażenia w gaz.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22FB" id="Pole tekstowe 25" o:spid="_x0000_s1048" type="#_x0000_t202" style="position:absolute;margin-left:410.25pt;margin-top:32.85pt;width:135.85pt;height:142.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" filled="f" stroked="f">
                <v:textbox>
                  <w:txbxContent>
                    <w:p w:rsidR="001F4E44" w:rsidRDefault="001F4E44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Mieszkania gospodarstw domowych mieszkających w miastach były nieco lepiej wyposażone w instalacje sanitarno-techniczne od gospodarstw zamieszkujących wieś, za wyjątkiem wyposażenia w gaz.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550A2">
        <w:rPr>
          <w:spacing w:val="-2"/>
          <w:szCs w:val="19"/>
          <w:shd w:val="clear" w:color="auto" w:fill="FFFFFF"/>
        </w:rPr>
        <w:t xml:space="preserve">Najlepiej wyposażone w instalacje techniczno-sanitarne (poza wyposażeniem w gaz i centralne ogrzewanie) były mieszkania gospodarstw domowych pracujących na własny rachunek poza gospodarstwem rolnym, a najsłabiej </w:t>
      </w:r>
      <w:r w:rsidR="002D6744">
        <w:rPr>
          <w:spacing w:val="-2"/>
          <w:szCs w:val="19"/>
          <w:shd w:val="clear" w:color="auto" w:fill="FFFFFF"/>
        </w:rPr>
        <w:t xml:space="preserve">– </w:t>
      </w:r>
      <w:r w:rsidRPr="001550A2">
        <w:rPr>
          <w:spacing w:val="-2"/>
          <w:szCs w:val="19"/>
          <w:shd w:val="clear" w:color="auto" w:fill="FFFFFF"/>
        </w:rPr>
        <w:t>gospodarstwa rencistów.</w:t>
      </w:r>
    </w:p>
    <w:p w:rsidR="00C67546" w:rsidRPr="001550A2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>Mieszkania gospodarstw domowych mieszkających w miastach były nieco lepiej wyposażone w instalacje sanitarno-techniczne od gospodarstw zamieszkujących wieś, za wyjątkiem wyposażenia w gaz.</w:t>
      </w:r>
    </w:p>
    <w:p w:rsidR="00C67546" w:rsidRDefault="00C67546" w:rsidP="00C67546">
      <w:pPr>
        <w:jc w:val="both"/>
        <w:rPr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215E36F6" wp14:editId="366F2FE5">
            <wp:extent cx="5123815" cy="2628000"/>
            <wp:effectExtent l="0" t="0" r="635" b="127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67546" w:rsidRDefault="00C67546" w:rsidP="00C67546">
      <w:pPr>
        <w:rPr>
          <w:spacing w:val="-2"/>
          <w:szCs w:val="19"/>
          <w:shd w:val="clear" w:color="auto" w:fill="FFFFFF"/>
        </w:rPr>
      </w:pPr>
    </w:p>
    <w:p w:rsidR="00C67546" w:rsidRPr="008D28A2" w:rsidRDefault="00C67546" w:rsidP="00C67546">
      <w:pPr>
        <w:rPr>
          <w:szCs w:val="19"/>
          <w:shd w:val="clear" w:color="auto" w:fill="FFFFFF"/>
        </w:rPr>
      </w:pPr>
      <w:r w:rsidRPr="008D28A2">
        <w:rPr>
          <w:szCs w:val="19"/>
          <w:shd w:val="clear" w:color="auto" w:fill="FFFFFF"/>
        </w:rPr>
        <w:t>Istnieje wyraźna zależność między dochodami gospodarstwa a wyposażeniem mieszkania w instalacje techniczno-sanitarne, z wyjątkiem gazu, z którego najrzadziej korzystają najbogatsze gospodarstwa (V grupa kwintylowa). Najbardziej znacząca różnica w tym zakresie pomiędzy I i V grupą kwintylową</w:t>
      </w:r>
      <w:r w:rsidR="00D3099D" w:rsidRPr="008D28A2">
        <w:rPr>
          <w:szCs w:val="19"/>
          <w:shd w:val="clear" w:color="auto" w:fill="FFFFFF"/>
        </w:rPr>
        <w:t xml:space="preserve"> na korzyść najbogatszych gospodarstw domowych</w:t>
      </w:r>
      <w:r w:rsidRPr="008D28A2">
        <w:rPr>
          <w:szCs w:val="19"/>
          <w:shd w:val="clear" w:color="auto" w:fill="FFFFFF"/>
        </w:rPr>
        <w:t xml:space="preserve"> dotyczyła wyposażenia w centralne ogrzewanie (12,0 p. proc.), łazienkę (5,6 p. proc.</w:t>
      </w:r>
      <w:r w:rsidR="008D28A2" w:rsidRPr="008D28A2">
        <w:rPr>
          <w:szCs w:val="19"/>
          <w:shd w:val="clear" w:color="auto" w:fill="FFFFFF"/>
        </w:rPr>
        <w:t>) oraz ustęp spłukiwany (5,0 p. </w:t>
      </w:r>
      <w:r w:rsidRPr="008D28A2">
        <w:rPr>
          <w:szCs w:val="19"/>
          <w:shd w:val="clear" w:color="auto" w:fill="FFFFFF"/>
        </w:rPr>
        <w:t>proc.). Różnice te zmalały w stosunku do 2017 r.</w:t>
      </w:r>
    </w:p>
    <w:p w:rsidR="00C67546" w:rsidRDefault="00C67546" w:rsidP="00C67546">
      <w:pPr>
        <w:jc w:val="both"/>
        <w:rPr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628D2454" wp14:editId="5BB796EF">
            <wp:extent cx="5123815" cy="2628000"/>
            <wp:effectExtent l="0" t="0" r="635" b="127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67546" w:rsidRDefault="00C67546" w:rsidP="00C67546">
      <w:pPr>
        <w:spacing w:before="240"/>
        <w:rPr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before="240" w:line="240" w:lineRule="auto"/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2D2648A9" wp14:editId="30BE3C35">
                <wp:simplePos x="0" y="0"/>
                <wp:positionH relativeFrom="column">
                  <wp:posOffset>5210175</wp:posOffset>
                </wp:positionH>
                <wp:positionV relativeFrom="paragraph">
                  <wp:posOffset>171450</wp:posOffset>
                </wp:positionV>
                <wp:extent cx="1725295" cy="1257300"/>
                <wp:effectExtent l="0" t="0" r="0" b="0"/>
                <wp:wrapTight wrapText="bothSides">
                  <wp:wrapPolygon edited="0">
                    <wp:start x="715" y="0"/>
                    <wp:lineTo x="715" y="21273"/>
                    <wp:lineTo x="20749" y="21273"/>
                    <wp:lineTo x="20749" y="0"/>
                    <wp:lineTo x="715" y="0"/>
                  </wp:wrapPolygon>
                </wp:wrapTight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Default="001F4E44" w:rsidP="00C67546">
                            <w:pPr>
                              <w:pStyle w:val="tekstzboku"/>
                            </w:pPr>
                            <w:r>
                              <w:t>Systematycznie poprawia się subiektywna ocena sytuacji materialnej gospodarstw domowych.</w:t>
                            </w:r>
                          </w:p>
                          <w:p w:rsidR="001F4E44" w:rsidRDefault="001F4E44" w:rsidP="00C6754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48A9" id="Pole tekstowe 23" o:spid="_x0000_s1049" type="#_x0000_t202" style="position:absolute;margin-left:410.25pt;margin-top:13.5pt;width:135.85pt;height:99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" filled="f" stroked="f">
                <v:textbox>
                  <w:txbxContent>
                    <w:p w:rsidR="001F4E44" w:rsidRDefault="001F4E44" w:rsidP="00C67546">
                      <w:pPr>
                        <w:pStyle w:val="tekstzboku"/>
                      </w:pPr>
                      <w:r>
                        <w:t>Systematycznie poprawia się subiektywna ocena sytuacji materialnej gospodarstw domowych.</w:t>
                      </w:r>
                    </w:p>
                    <w:p w:rsidR="001F4E44" w:rsidRDefault="001F4E44" w:rsidP="00C6754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 SemiBold" w:hAnsi="Fira Sans SemiBold"/>
          <w:color w:val="001D77"/>
          <w:spacing w:val="-2"/>
          <w:szCs w:val="19"/>
          <w:shd w:val="clear" w:color="auto" w:fill="FFFFFF"/>
        </w:rPr>
        <w:t xml:space="preserve">Subiektywna ocena sytuacji materialnej gospodarstw domowych </w:t>
      </w:r>
    </w:p>
    <w:p w:rsidR="00C67546" w:rsidRPr="001550A2" w:rsidRDefault="00C67546" w:rsidP="00C67546">
      <w:pPr>
        <w:rPr>
          <w:b/>
          <w:noProof/>
          <w:spacing w:val="-2"/>
          <w:szCs w:val="19"/>
        </w:rPr>
      </w:pPr>
      <w:r w:rsidRPr="001550A2">
        <w:rPr>
          <w:spacing w:val="-2"/>
          <w:szCs w:val="19"/>
          <w:shd w:val="clear" w:color="auto" w:fill="FFFFFF"/>
        </w:rPr>
        <w:t>Od kilku lat systematycznie poprawia się subiektywna ocena sytuacji materialnej gospodarstw domowych we wszystkich grupach społeczno-ekonomicznych. W 2018 r. nastąpił dalszy wzrost odsetka gospodarstw oceniających swoją sytuację materialną jako bardzo dobrą albo raczej dobrą (44,0% gospodarstw domowych ogółem wobec 37,2% w 2017 r.) oraz spadek odsetka gospodarstw postrzegających ją jako raczej złą albo złą (8,1% wobec 11,2% w 2017 r.).</w:t>
      </w:r>
      <w:r w:rsidRPr="001550A2">
        <w:rPr>
          <w:b/>
          <w:noProof/>
          <w:spacing w:val="-2"/>
          <w:szCs w:val="19"/>
        </w:rPr>
        <w:t xml:space="preserve"> </w:t>
      </w:r>
      <w:r w:rsidRPr="001550A2">
        <w:rPr>
          <w:noProof/>
          <w:spacing w:val="-2"/>
          <w:szCs w:val="19"/>
        </w:rPr>
        <w:t>Najlepiej swoją sytuację materialną postrzegały  gospodarstwa domowe pracujących na własny rachunek poza gospodarstwem rolnym (70,1% ocen pozytywnych wobec 64,1% w 2017 r.), najgorzej zaś gospodarstwa domowe rencistów (18,1% ocen pozytywnych wobec 14,5% w 2017 r.).</w:t>
      </w:r>
    </w:p>
    <w:p w:rsidR="00C67546" w:rsidRDefault="00C67546" w:rsidP="00C67546">
      <w:pPr>
        <w:jc w:val="both"/>
        <w:rPr>
          <w:spacing w:val="-2"/>
          <w:szCs w:val="19"/>
          <w:shd w:val="clear" w:color="auto" w:fill="FFFFFF"/>
        </w:rPr>
      </w:pPr>
    </w:p>
    <w:p w:rsidR="00C67546" w:rsidRDefault="00C67546" w:rsidP="00C67546">
      <w:pPr>
        <w:spacing w:line="240" w:lineRule="auto"/>
        <w:rPr>
          <w:spacing w:val="-2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0D189BAB" wp14:editId="04189D81">
            <wp:extent cx="5123815" cy="4320000"/>
            <wp:effectExtent l="0" t="0" r="635" b="444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67546" w:rsidRPr="003457D7" w:rsidRDefault="00C67546" w:rsidP="003457D7">
      <w:pPr>
        <w:spacing w:line="240" w:lineRule="auto"/>
        <w:rPr>
          <w:spacing w:val="-2"/>
          <w:sz w:val="18"/>
          <w:szCs w:val="19"/>
          <w:shd w:val="clear" w:color="auto" w:fill="FFFFFF"/>
        </w:rPr>
      </w:pPr>
    </w:p>
    <w:p w:rsidR="00C67546" w:rsidRDefault="00C67546" w:rsidP="00C67546">
      <w:pPr>
        <w:rPr>
          <w:spacing w:val="-2"/>
          <w:szCs w:val="19"/>
          <w:shd w:val="clear" w:color="auto" w:fill="FFFFFF"/>
        </w:rPr>
      </w:pPr>
      <w:r w:rsidRPr="001550A2">
        <w:rPr>
          <w:spacing w:val="-2"/>
          <w:szCs w:val="19"/>
          <w:shd w:val="clear" w:color="auto" w:fill="FFFFFF"/>
        </w:rPr>
        <w:t xml:space="preserve">Subiektywna ocena sytuacji materialnej gospodarstw domowych w znacznym stopniu zależy od miejsca zamieszkania gospodarstwa domowego. Gospodarstwa mieszkające na wsi gorzej oceniały swoją sytuację materialną niż mieszkańcy miast, zwłaszcza tych największych o liczbie </w:t>
      </w:r>
      <w:r w:rsidR="002D6744">
        <w:rPr>
          <w:spacing w:val="-2"/>
          <w:szCs w:val="19"/>
          <w:shd w:val="clear" w:color="auto" w:fill="FFFFFF"/>
        </w:rPr>
        <w:t>mieszkańców 500 tys. lub więcej, choć w obu przypadkach oceny te znacząco się poprawiły w stosunku do 2017 r.</w:t>
      </w:r>
      <w:r w:rsidRPr="001550A2">
        <w:rPr>
          <w:spacing w:val="-2"/>
          <w:szCs w:val="19"/>
          <w:shd w:val="clear" w:color="auto" w:fill="FFFFFF"/>
        </w:rPr>
        <w:t xml:space="preserve"> 53,0% gospodarstw domowych z miast liczących 500 tys. lub więcej mieszkańców i 39,3% mieszkańców wsi oceniało swoją sytuację materialną jako bardzo dobrą lub dobrą (w 2017 r. było to odpowiednio 44,5% i 32,6%). </w:t>
      </w:r>
    </w:p>
    <w:p w:rsidR="003457D7" w:rsidRPr="003457D7" w:rsidRDefault="003457D7" w:rsidP="003457D7">
      <w:pPr>
        <w:spacing w:line="240" w:lineRule="auto"/>
        <w:rPr>
          <w:spacing w:val="-2"/>
          <w:sz w:val="18"/>
          <w:szCs w:val="19"/>
          <w:shd w:val="clear" w:color="auto" w:fill="FFFFFF"/>
        </w:rPr>
      </w:pPr>
    </w:p>
    <w:p w:rsidR="00694AF0" w:rsidRPr="00001C5B" w:rsidRDefault="00956B79" w:rsidP="003457D7">
      <w:pPr>
        <w:spacing w:line="240" w:lineRule="auto"/>
        <w:rPr>
          <w:sz w:val="18"/>
        </w:rPr>
        <w:sectPr w:rsidR="00694AF0" w:rsidRPr="00001C5B" w:rsidSect="00181548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05EC7314" wp14:editId="5B077DB6">
            <wp:extent cx="5122545" cy="3276000"/>
            <wp:effectExtent l="0" t="0" r="1905" b="63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9F6AA2" w:rsidRPr="00705419" w:rsidTr="0034767F">
        <w:trPr>
          <w:trHeight w:val="1266"/>
        </w:trPr>
        <w:tc>
          <w:tcPr>
            <w:tcW w:w="4379" w:type="dxa"/>
          </w:tcPr>
          <w:p w:rsidR="009F6AA2" w:rsidRPr="00E82407" w:rsidRDefault="009F6AA2" w:rsidP="00BB17F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82407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9F6AA2" w:rsidRDefault="009F6AA2" w:rsidP="00BB17FA">
            <w:pPr>
              <w:pStyle w:val="Nagwek3"/>
              <w:spacing w:before="0" w:line="276" w:lineRule="auto"/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</w:pPr>
            <w:r w:rsidRPr="003552D3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Wydział </w:t>
            </w:r>
            <w:r w:rsidR="007F4A26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>Społeczno-Ekonomicznych Badań</w:t>
            </w:r>
            <w:r w:rsidRPr="003552D3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 Gospodarstw Domowych</w:t>
            </w:r>
          </w:p>
          <w:p w:rsidR="009F6AA2" w:rsidRPr="00E82407" w:rsidRDefault="009F6AA2" w:rsidP="00BB17F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Krystyna Siwiak</w:t>
            </w:r>
          </w:p>
          <w:p w:rsidR="009F6AA2" w:rsidRPr="003552D3" w:rsidRDefault="009F6AA2" w:rsidP="00BB17FA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3552D3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>
              <w:t xml:space="preserve"> </w:t>
            </w:r>
            <w:r w:rsidR="00C424DA">
              <w:rPr>
                <w:rFonts w:ascii="Fira Sans" w:hAnsi="Fira Sans" w:cs="Arial"/>
                <w:color w:val="000000" w:themeColor="text1"/>
                <w:sz w:val="20"/>
              </w:rPr>
              <w:t>608 32</w:t>
            </w:r>
            <w:r w:rsidRPr="003552D3">
              <w:rPr>
                <w:rFonts w:ascii="Fira Sans" w:hAnsi="Fira Sans" w:cs="Arial"/>
                <w:color w:val="000000" w:themeColor="text1"/>
                <w:sz w:val="20"/>
              </w:rPr>
              <w:t>92</w:t>
            </w:r>
          </w:p>
          <w:p w:rsidR="008B6991" w:rsidRPr="00C424DA" w:rsidRDefault="009F6AA2" w:rsidP="00BB17FA">
            <w:pPr>
              <w:pStyle w:val="Nagwek3"/>
              <w:spacing w:before="0" w:line="276" w:lineRule="auto"/>
              <w:rPr>
                <w:rFonts w:ascii="Fira Sans" w:hAnsi="Fira Sans"/>
                <w:color w:val="0000FF"/>
                <w:sz w:val="20"/>
                <w:u w:val="single"/>
              </w:rPr>
            </w:pPr>
            <w:r w:rsidRPr="00C424DA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</w:t>
            </w:r>
            <w:r w:rsidRPr="00C424DA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 </w:t>
            </w:r>
            <w:hyperlink r:id="rId40" w:history="1">
              <w:r w:rsidRPr="00C424DA">
                <w:rPr>
                  <w:rStyle w:val="Hipercze"/>
                  <w:rFonts w:ascii="Fira Sans" w:hAnsi="Fira Sans" w:cstheme="majorBidi"/>
                  <w:b/>
                  <w:color w:val="auto"/>
                  <w:sz w:val="20"/>
                </w:rPr>
                <w:t>K.Siwiak@stat.gov.pl</w:t>
              </w:r>
            </w:hyperlink>
          </w:p>
        </w:tc>
        <w:tc>
          <w:tcPr>
            <w:tcW w:w="3942" w:type="dxa"/>
          </w:tcPr>
          <w:p w:rsidR="009F6AA2" w:rsidRPr="00E82407" w:rsidRDefault="009F6AA2" w:rsidP="00BB17F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8240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82407">
              <w:rPr>
                <w:rFonts w:cs="Arial"/>
                <w:color w:val="000000" w:themeColor="text1"/>
                <w:sz w:val="20"/>
              </w:rPr>
              <w:br/>
            </w:r>
            <w:r w:rsidRPr="00E8240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9F6AA2" w:rsidRPr="00E82407" w:rsidRDefault="009F6AA2" w:rsidP="00BB17F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8240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9F6AA2" w:rsidRPr="000C5C0F" w:rsidRDefault="009F6AA2" w:rsidP="00BB17FA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0C5C0F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Tel: 22 608 3475, 22 608 3009</w:t>
            </w:r>
          </w:p>
          <w:p w:rsidR="008B6991" w:rsidRPr="008B6991" w:rsidRDefault="009F6AA2" w:rsidP="00BB17FA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0C5C0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41" w:history="1">
              <w:r w:rsidRPr="00944BA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303707" w:rsidRDefault="00303707" w:rsidP="00303707">
      <w:pPr>
        <w:rPr>
          <w:sz w:val="20"/>
          <w:lang w:val="en-US"/>
        </w:rPr>
      </w:pPr>
    </w:p>
    <w:p w:rsidR="0034767F" w:rsidRPr="008A2B30" w:rsidRDefault="004B298F" w:rsidP="00303707">
      <w:pPr>
        <w:rPr>
          <w:sz w:val="20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1508809</wp:posOffset>
                </wp:positionV>
                <wp:extent cx="6645275" cy="6384290"/>
                <wp:effectExtent l="0" t="0" r="22225" b="1651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6384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4" w:rsidRDefault="001F4E44" w:rsidP="009F6AA2">
                            <w:pPr>
                              <w:rPr>
                                <w:b/>
                              </w:rPr>
                            </w:pPr>
                          </w:p>
                          <w:p w:rsidR="001F4E44" w:rsidRPr="00BB78DB" w:rsidRDefault="001F4E44" w:rsidP="009F6AA2">
                            <w:pPr>
                              <w:rPr>
                                <w:b/>
                              </w:rPr>
                            </w:pPr>
                            <w:r w:rsidRPr="00BB78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F4E44" w:rsidRPr="00474A3A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1F4E44" w:rsidRPr="00474A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Budżety gospodarstw domowych w 2017 r.</w:t>
                              </w:r>
                            </w:hyperlink>
                          </w:p>
                          <w:p w:rsidR="001F4E44" w:rsidRPr="00474A3A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3" w:history="1">
                              <w:r w:rsidR="001F4E44" w:rsidRPr="00474A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Sytuacja gospodarstw domowych w 2017 r. w świetle wyników badania budżetów gospodarstw domowych</w:t>
                              </w:r>
                            </w:hyperlink>
                            <w:r w:rsidR="001F4E44" w:rsidRPr="00474A3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F4E44" w:rsidRPr="00474A3A" w:rsidRDefault="001F4E44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"http://stat.gov.pl/obszary-tematyczne/warunki-zycia/dochody-wydatki-i-warunki-zycia-ludnosci/sytuacja-materialna-i-dochodowa-gospodarstw-domowych-emerytow-i-rencistow-w-2016-r-,27,1.html"</w:instrText>
                            </w: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474A3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Sytuacja materialna i dochodowa gospodarstw domowych emerytów i rencistów w 2016 r.</w:t>
                            </w:r>
                          </w:p>
                          <w:p w:rsidR="001F4E44" w:rsidRPr="008706A0" w:rsidRDefault="001F4E44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74A3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44" w:history="1">
                              <w:r w:rsidRPr="008706A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Sytuacja społeczno-ekonomiczna gospodarstw domowych w latach 2000-2015. Zróżnicowanie miasto-wieś</w:t>
                              </w:r>
                            </w:hyperlink>
                            <w:r w:rsidRPr="008706A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F4E44" w:rsidRPr="00BB78DB" w:rsidRDefault="001F4E44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F4E44" w:rsidRPr="006726D5" w:rsidRDefault="001F4E44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726D5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F4E44" w:rsidRPr="00D30F4A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5" w:history="1">
                              <w:r w:rsidR="001F4E44" w:rsidRPr="00D30F4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gospodarstwa domowe</w:t>
                              </w:r>
                            </w:hyperlink>
                          </w:p>
                          <w:p w:rsidR="001F4E44" w:rsidRPr="00D30F4A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6" w:history="1">
                              <w:r w:rsidR="001F4E44" w:rsidRPr="00D30F4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BGD - warunki materialne ludności według grup społeczno-ekonomicznych i wielkości gospodarstwa</w:t>
                              </w:r>
                            </w:hyperlink>
                          </w:p>
                          <w:p w:rsidR="001F4E44" w:rsidRPr="00D30F4A" w:rsidRDefault="006B5F93" w:rsidP="009F6AA2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47" w:history="1">
                              <w:r w:rsidR="001F4E44" w:rsidRPr="00D30F4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Badanie BGD - warunki materialne ludności według klasy miejscowości zamieszkania</w:t>
                              </w:r>
                            </w:hyperlink>
                          </w:p>
                          <w:p w:rsidR="001F4E44" w:rsidRDefault="006B5F93" w:rsidP="009F6AA2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48" w:history="1">
                              <w:r w:rsidR="001F4E44" w:rsidRPr="00D30F4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Badanie BGD - warunki materialne ludności według województw</w:t>
                              </w:r>
                            </w:hyperlink>
                          </w:p>
                          <w:p w:rsidR="001F4E44" w:rsidRPr="00D30F4A" w:rsidRDefault="001F4E44" w:rsidP="009F6AA2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</w:p>
                          <w:p w:rsidR="001F4E44" w:rsidRDefault="001F4E44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1F4E44" w:rsidRPr="006C2B81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9" w:history="1">
                              <w:r w:rsidR="001F4E44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Budżet gospodarstwa domowego</w:t>
                              </w:r>
                            </w:hyperlink>
                          </w:p>
                          <w:p w:rsidR="001F4E44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0" w:history="1">
                              <w:r w:rsidR="001F4E44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Dochód do dyspozycji</w:t>
                              </w:r>
                            </w:hyperlink>
                          </w:p>
                          <w:p w:rsidR="001F4E44" w:rsidRPr="006C2B81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1" w:history="1">
                              <w:r w:rsidR="001F4E44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Dochód rozporządzalny gospodarstwa domowego</w:t>
                              </w:r>
                            </w:hyperlink>
                          </w:p>
                          <w:p w:rsidR="001F4E44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2" w:history="1">
                              <w:r w:rsidR="001F4E44" w:rsidRPr="006C2B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Gospodarstwo domowe</w:t>
                              </w:r>
                            </w:hyperlink>
                          </w:p>
                          <w:p w:rsidR="001F4E44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3" w:history="1">
                              <w:r w:rsidR="001F4E44" w:rsidRPr="002E00F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gospodarstwa domowego netto</w:t>
                              </w:r>
                            </w:hyperlink>
                          </w:p>
                          <w:p w:rsidR="001F4E44" w:rsidRPr="00F6162B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4" w:history="1">
                              <w:r w:rsidR="001F4E44" w:rsidRPr="00F6162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Rozchody gospodarstwa domowego netto</w:t>
                              </w:r>
                            </w:hyperlink>
                          </w:p>
                          <w:p w:rsidR="001F4E44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5" w:history="1">
                              <w:r w:rsidR="001F4E44" w:rsidRPr="00DC2C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Spożycie artykułów żywnościowych w gospodarstwie domowym</w:t>
                              </w:r>
                            </w:hyperlink>
                          </w:p>
                          <w:p w:rsidR="001F4E44" w:rsidRPr="00921FC2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1F4E44" w:rsidRPr="00921FC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Subiektywna ocena sytuacji materialnej gospodarstw domowych</w:t>
                              </w:r>
                            </w:hyperlink>
                          </w:p>
                          <w:p w:rsidR="001F4E44" w:rsidRPr="00921FC2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1F4E44" w:rsidRPr="00921FC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Warunki mieszkaniowe</w:t>
                              </w:r>
                            </w:hyperlink>
                          </w:p>
                          <w:p w:rsidR="001F4E44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1F4E44" w:rsidRPr="00307A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Wydatki gospodarstwa domowego</w:t>
                              </w:r>
                            </w:hyperlink>
                          </w:p>
                          <w:p w:rsidR="001F4E44" w:rsidRPr="00307A05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1F4E44" w:rsidRPr="00307A0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Wydatki na towary i usługi konsumpcyjne</w:t>
                              </w:r>
                            </w:hyperlink>
                          </w:p>
                          <w:p w:rsidR="001F4E44" w:rsidRPr="0081004B" w:rsidRDefault="006B5F93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1F4E44" w:rsidRPr="0081004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Wyposażenie gospodarstw domowych</w:t>
                              </w:r>
                            </w:hyperlink>
                          </w:p>
                          <w:p w:rsidR="001F4E44" w:rsidRPr="006C2B81" w:rsidRDefault="001F4E44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1F4E44" w:rsidRPr="00660624" w:rsidRDefault="001F4E44" w:rsidP="009F6AA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1F4E44" w:rsidRPr="003662E1" w:rsidRDefault="001F4E44" w:rsidP="009F6AA2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50" type="#_x0000_t202" style="position:absolute;margin-left:.3pt;margin-top:118.8pt;width:523.25pt;height:50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" fillcolor="#f2f2f2 [3052]" strokecolor="white [3212]">
                <v:textbox>
                  <w:txbxContent>
                    <w:p w:rsidR="001F4E44" w:rsidRDefault="001F4E44" w:rsidP="009F6AA2">
                      <w:pPr>
                        <w:rPr>
                          <w:b/>
                        </w:rPr>
                      </w:pPr>
                    </w:p>
                    <w:p w:rsidR="001F4E44" w:rsidRPr="00BB78DB" w:rsidRDefault="001F4E44" w:rsidP="009F6AA2">
                      <w:pPr>
                        <w:rPr>
                          <w:b/>
                        </w:rPr>
                      </w:pPr>
                      <w:r w:rsidRPr="00BB78DB">
                        <w:rPr>
                          <w:b/>
                        </w:rPr>
                        <w:t>Powiązane opracowania</w:t>
                      </w:r>
                    </w:p>
                    <w:p w:rsidR="001F4E44" w:rsidRPr="00474A3A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1" w:history="1">
                        <w:r w:rsidR="001F4E44" w:rsidRPr="00474A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Budżety gospodarstw domowych w 2017 r.</w:t>
                        </w:r>
                      </w:hyperlink>
                    </w:p>
                    <w:p w:rsidR="001F4E44" w:rsidRPr="00474A3A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1F4E44" w:rsidRPr="00474A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Sytuacja gospodarstw domowych w 2017 r. w świetle wyników badania budżetów gospodarstw domowych</w:t>
                        </w:r>
                      </w:hyperlink>
                      <w:r w:rsidR="001F4E44" w:rsidRPr="00474A3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F4E44" w:rsidRPr="00474A3A" w:rsidRDefault="001F4E44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"http://stat.gov.pl/obszary-tematyczne/warunki-zycia/dochody-wydatki-i-warunki-zycia-ludnosci/sytuacja-materialna-i-dochodowa-gospodarstw-domowych-emerytow-i-rencistow-w-2016-r-,27,1.html"</w:instrText>
                      </w: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474A3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Sytuacja materialna i dochodowa gospodarstw domowych emerytów i rencistów w 2016 r.</w:t>
                      </w:r>
                    </w:p>
                    <w:p w:rsidR="001F4E44" w:rsidRPr="008706A0" w:rsidRDefault="001F4E44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74A3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63" w:history="1">
                        <w:r w:rsidRPr="008706A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Sytuacja społeczno-ekonomiczna gospodarstw domowych w latach 2000-2015. Zróżnicowanie miasto-wieś</w:t>
                        </w:r>
                      </w:hyperlink>
                      <w:r w:rsidRPr="008706A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F4E44" w:rsidRPr="00BB78DB" w:rsidRDefault="001F4E44" w:rsidP="009F6AA2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F4E44" w:rsidRPr="006726D5" w:rsidRDefault="001F4E44" w:rsidP="009F6AA2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726D5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F4E44" w:rsidRPr="00D30F4A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1F4E44" w:rsidRPr="00D30F4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gospodarstwa domowe</w:t>
                        </w:r>
                      </w:hyperlink>
                    </w:p>
                    <w:p w:rsidR="001F4E44" w:rsidRPr="00D30F4A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1F4E44" w:rsidRPr="00D30F4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BGD - warunki materialne ludności według grup społeczno-ekonomicznych i wielkości gospodarstwa</w:t>
                        </w:r>
                      </w:hyperlink>
                    </w:p>
                    <w:p w:rsidR="001F4E44" w:rsidRPr="00D30F4A" w:rsidRDefault="006B5F93" w:rsidP="009F6AA2">
                      <w:pPr>
                        <w:rPr>
                          <w:color w:val="001D77"/>
                          <w:szCs w:val="24"/>
                        </w:rPr>
                      </w:pPr>
                      <w:hyperlink r:id="rId66" w:history="1">
                        <w:r w:rsidR="001F4E44" w:rsidRPr="00D30F4A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Badanie BGD - warunki materialne ludności według klasy miejscowości zamieszkania</w:t>
                        </w:r>
                      </w:hyperlink>
                    </w:p>
                    <w:p w:rsidR="001F4E44" w:rsidRDefault="006B5F93" w:rsidP="009F6AA2">
                      <w:pPr>
                        <w:rPr>
                          <w:color w:val="001D77"/>
                          <w:szCs w:val="24"/>
                        </w:rPr>
                      </w:pPr>
                      <w:hyperlink r:id="rId67" w:history="1">
                        <w:r w:rsidR="001F4E44" w:rsidRPr="00D30F4A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Badanie BGD - warunki materialne ludności według województw</w:t>
                        </w:r>
                      </w:hyperlink>
                    </w:p>
                    <w:p w:rsidR="001F4E44" w:rsidRPr="00D30F4A" w:rsidRDefault="001F4E44" w:rsidP="009F6AA2">
                      <w:pPr>
                        <w:rPr>
                          <w:color w:val="001D77"/>
                          <w:szCs w:val="24"/>
                        </w:rPr>
                      </w:pPr>
                    </w:p>
                    <w:p w:rsidR="001F4E44" w:rsidRDefault="001F4E44" w:rsidP="009F6AA2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1F4E44" w:rsidRPr="006C2B81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="001F4E44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Budżet gospodarstwa domowego</w:t>
                        </w:r>
                      </w:hyperlink>
                    </w:p>
                    <w:p w:rsidR="001F4E44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9" w:history="1">
                        <w:r w:rsidR="001F4E44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Dochód do dyspozycji</w:t>
                        </w:r>
                      </w:hyperlink>
                    </w:p>
                    <w:p w:rsidR="001F4E44" w:rsidRPr="006C2B81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0" w:history="1">
                        <w:r w:rsidR="001F4E44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Dochód rozporządzalny gospodarstwa domowego</w:t>
                        </w:r>
                      </w:hyperlink>
                    </w:p>
                    <w:p w:rsidR="001F4E44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1" w:history="1">
                        <w:r w:rsidR="001F4E44" w:rsidRPr="006C2B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Gospodarstwo domowe</w:t>
                        </w:r>
                      </w:hyperlink>
                    </w:p>
                    <w:p w:rsidR="001F4E44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2" w:history="1">
                        <w:r w:rsidR="001F4E44" w:rsidRPr="002E00F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gospodarstwa domowego netto</w:t>
                        </w:r>
                      </w:hyperlink>
                    </w:p>
                    <w:p w:rsidR="001F4E44" w:rsidRPr="00F6162B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3" w:history="1">
                        <w:r w:rsidR="001F4E44" w:rsidRPr="00F6162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Rozchody gospodarstwa domowego netto</w:t>
                        </w:r>
                      </w:hyperlink>
                    </w:p>
                    <w:p w:rsidR="001F4E44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4" w:history="1">
                        <w:r w:rsidR="001F4E44" w:rsidRPr="00DC2C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Spożycie artykułów żywnościowych w gospodarstwie domowym</w:t>
                        </w:r>
                      </w:hyperlink>
                    </w:p>
                    <w:p w:rsidR="001F4E44" w:rsidRPr="00921FC2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5" w:history="1">
                        <w:r w:rsidR="001F4E44" w:rsidRPr="00921FC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Subiektywna ocena sytuacji materialnej gospodarstw domowych</w:t>
                        </w:r>
                      </w:hyperlink>
                    </w:p>
                    <w:p w:rsidR="001F4E44" w:rsidRPr="00921FC2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6" w:history="1">
                        <w:r w:rsidR="001F4E44" w:rsidRPr="00921FC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Warunki mieszkaniowe</w:t>
                        </w:r>
                      </w:hyperlink>
                    </w:p>
                    <w:p w:rsidR="001F4E44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7" w:history="1">
                        <w:r w:rsidR="001F4E44" w:rsidRPr="00307A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Wydatki gospodarstwa domowego</w:t>
                        </w:r>
                      </w:hyperlink>
                    </w:p>
                    <w:p w:rsidR="001F4E44" w:rsidRPr="00307A05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8" w:history="1">
                        <w:r w:rsidR="001F4E44" w:rsidRPr="00307A0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Wydatki na towary i usługi konsumpcyjne</w:t>
                        </w:r>
                      </w:hyperlink>
                    </w:p>
                    <w:p w:rsidR="001F4E44" w:rsidRPr="0081004B" w:rsidRDefault="006B5F93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79" w:history="1">
                        <w:r w:rsidR="001F4E44" w:rsidRPr="0081004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Wyposażenie gospodarstw domowych</w:t>
                        </w:r>
                      </w:hyperlink>
                    </w:p>
                    <w:p w:rsidR="001F4E44" w:rsidRPr="006C2B81" w:rsidRDefault="001F4E44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1F4E44" w:rsidRPr="00660624" w:rsidRDefault="001F4E44" w:rsidP="009F6AA2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1F4E44" w:rsidRPr="003662E1" w:rsidRDefault="001F4E44" w:rsidP="009F6AA2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9F6AA2" w:rsidRPr="00C424DA" w:rsidTr="00D51E5E">
        <w:trPr>
          <w:trHeight w:val="610"/>
        </w:trPr>
        <w:tc>
          <w:tcPr>
            <w:tcW w:w="2721" w:type="pct"/>
            <w:vMerge w:val="restart"/>
            <w:vAlign w:val="center"/>
          </w:tcPr>
          <w:p w:rsidR="009F6AA2" w:rsidRPr="00E82407" w:rsidRDefault="009F6AA2" w:rsidP="00D51E5E">
            <w:pPr>
              <w:rPr>
                <w:b/>
                <w:sz w:val="20"/>
              </w:rPr>
            </w:pPr>
            <w:r w:rsidRPr="00E82407">
              <w:rPr>
                <w:b/>
                <w:sz w:val="20"/>
              </w:rPr>
              <w:t xml:space="preserve">Wydział Współpracy z Mediami </w:t>
            </w:r>
          </w:p>
          <w:p w:rsidR="009F6AA2" w:rsidRPr="006C10C8" w:rsidRDefault="00C424DA" w:rsidP="00D51E5E">
            <w:pPr>
              <w:rPr>
                <w:sz w:val="20"/>
              </w:rPr>
            </w:pPr>
            <w:r w:rsidRPr="006C10C8">
              <w:rPr>
                <w:sz w:val="20"/>
              </w:rPr>
              <w:t>Tel:</w:t>
            </w:r>
            <w:r w:rsidR="009F6AA2" w:rsidRPr="006C10C8">
              <w:rPr>
                <w:b/>
                <w:sz w:val="20"/>
              </w:rPr>
              <w:t xml:space="preserve"> </w:t>
            </w:r>
            <w:r w:rsidRPr="006C10C8">
              <w:rPr>
                <w:sz w:val="20"/>
              </w:rPr>
              <w:t>22 608 3491, 22 608 38</w:t>
            </w:r>
            <w:r w:rsidR="009F6AA2" w:rsidRPr="006C10C8">
              <w:rPr>
                <w:sz w:val="20"/>
              </w:rPr>
              <w:t xml:space="preserve">04 </w:t>
            </w:r>
          </w:p>
          <w:p w:rsidR="009F6AA2" w:rsidRPr="000C5C0F" w:rsidRDefault="009F6AA2" w:rsidP="00D51E5E">
            <w:pPr>
              <w:rPr>
                <w:sz w:val="18"/>
                <w:lang w:val="en-US"/>
              </w:rPr>
            </w:pPr>
            <w:r w:rsidRPr="000C5C0F">
              <w:rPr>
                <w:b/>
                <w:sz w:val="20"/>
                <w:lang w:val="en-US"/>
              </w:rPr>
              <w:t>e-mail:</w:t>
            </w:r>
            <w:r w:rsidRPr="000C5C0F">
              <w:rPr>
                <w:sz w:val="20"/>
                <w:lang w:val="en-US"/>
              </w:rPr>
              <w:t xml:space="preserve"> </w:t>
            </w:r>
            <w:hyperlink r:id="rId80" w:history="1">
              <w:r w:rsidRPr="00C424D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9F6AA2" w:rsidRPr="000C5C0F" w:rsidRDefault="009F6AA2" w:rsidP="00D51E5E">
            <w:pPr>
              <w:rPr>
                <w:sz w:val="18"/>
                <w:lang w:val="en-US"/>
              </w:rPr>
            </w:pPr>
            <w:r w:rsidRPr="00E8240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2" name="Obraz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9F6AA2" w:rsidRPr="00C424DA" w:rsidRDefault="009F6AA2" w:rsidP="00D51E5E">
            <w:pPr>
              <w:rPr>
                <w:sz w:val="18"/>
                <w:lang w:val="en-US"/>
              </w:rPr>
            </w:pPr>
            <w:r w:rsidRPr="00C424DA">
              <w:rPr>
                <w:sz w:val="20"/>
                <w:lang w:val="en-US"/>
              </w:rPr>
              <w:t>www.stat.gov.pl</w:t>
            </w:r>
          </w:p>
        </w:tc>
      </w:tr>
      <w:tr w:rsidR="009F6AA2" w:rsidRPr="00C424DA" w:rsidTr="00D51E5E">
        <w:trPr>
          <w:trHeight w:val="436"/>
        </w:trPr>
        <w:tc>
          <w:tcPr>
            <w:tcW w:w="2721" w:type="pct"/>
            <w:vMerge/>
            <w:vAlign w:val="center"/>
          </w:tcPr>
          <w:p w:rsidR="009F6AA2" w:rsidRPr="00C424DA" w:rsidRDefault="009F6AA2" w:rsidP="00D51E5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9F6AA2" w:rsidRPr="00C424DA" w:rsidRDefault="009F6AA2" w:rsidP="00D51E5E">
            <w:pPr>
              <w:rPr>
                <w:sz w:val="18"/>
                <w:lang w:val="en-US"/>
              </w:rPr>
            </w:pPr>
            <w:r w:rsidRPr="00E8240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9F6AA2" w:rsidRPr="00C424DA" w:rsidRDefault="009F6AA2" w:rsidP="00D51E5E">
            <w:pPr>
              <w:rPr>
                <w:sz w:val="18"/>
                <w:lang w:val="en-US"/>
              </w:rPr>
            </w:pPr>
            <w:r w:rsidRPr="00C424DA">
              <w:rPr>
                <w:sz w:val="20"/>
                <w:lang w:val="en-US"/>
              </w:rPr>
              <w:t>@GUS_STAT</w:t>
            </w:r>
          </w:p>
        </w:tc>
      </w:tr>
      <w:tr w:rsidR="009F6AA2" w:rsidRPr="00C424DA" w:rsidTr="00D51E5E">
        <w:trPr>
          <w:trHeight w:val="436"/>
        </w:trPr>
        <w:tc>
          <w:tcPr>
            <w:tcW w:w="2721" w:type="pct"/>
            <w:vMerge/>
            <w:vAlign w:val="center"/>
          </w:tcPr>
          <w:p w:rsidR="009F6AA2" w:rsidRPr="00C424DA" w:rsidRDefault="009F6AA2" w:rsidP="00D51E5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9F6AA2" w:rsidRPr="00C424DA" w:rsidRDefault="009F6AA2" w:rsidP="00D51E5E">
            <w:pPr>
              <w:rPr>
                <w:sz w:val="18"/>
                <w:lang w:val="en-US"/>
              </w:rPr>
            </w:pPr>
            <w:r w:rsidRPr="00E8240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9F6AA2" w:rsidRPr="00C424DA" w:rsidRDefault="009F6AA2" w:rsidP="00D51E5E">
            <w:pPr>
              <w:rPr>
                <w:sz w:val="20"/>
                <w:lang w:val="en-US"/>
              </w:rPr>
            </w:pPr>
            <w:r w:rsidRPr="00C424DA">
              <w:rPr>
                <w:sz w:val="20"/>
                <w:lang w:val="en-US"/>
              </w:rPr>
              <w:t>@GlownyUrzadStatystyczny</w:t>
            </w:r>
          </w:p>
        </w:tc>
      </w:tr>
    </w:tbl>
    <w:p w:rsidR="00303707" w:rsidRPr="00C424DA" w:rsidRDefault="00303707" w:rsidP="00303707">
      <w:pPr>
        <w:rPr>
          <w:sz w:val="20"/>
          <w:lang w:val="en-US"/>
        </w:rPr>
      </w:pPr>
    </w:p>
    <w:p w:rsidR="00474A3A" w:rsidRPr="00C424DA" w:rsidRDefault="00474A3A" w:rsidP="00474A3A">
      <w:pPr>
        <w:rPr>
          <w:lang w:val="en-US"/>
        </w:rPr>
      </w:pPr>
    </w:p>
    <w:sectPr w:rsidR="00474A3A" w:rsidRPr="00C424DA" w:rsidSect="00E240FE">
      <w:headerReference w:type="default" r:id="rId84"/>
      <w:footerReference w:type="default" r:id="rId8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93" w:rsidRDefault="006B5F93" w:rsidP="000662E2">
      <w:pPr>
        <w:spacing w:after="0" w:line="240" w:lineRule="auto"/>
      </w:pPr>
      <w:r>
        <w:separator/>
      </w:r>
    </w:p>
  </w:endnote>
  <w:endnote w:type="continuationSeparator" w:id="0">
    <w:p w:rsidR="006B5F93" w:rsidRDefault="006B5F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510229"/>
      <w:docPartObj>
        <w:docPartGallery w:val="Page Numbers (Bottom of Page)"/>
        <w:docPartUnique/>
      </w:docPartObj>
    </w:sdtPr>
    <w:sdtEndPr/>
    <w:sdtContent>
      <w:p w:rsidR="001F4E44" w:rsidRDefault="001F4E4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1728881"/>
      <w:docPartObj>
        <w:docPartGallery w:val="Page Numbers (Bottom of Page)"/>
        <w:docPartUnique/>
      </w:docPartObj>
    </w:sdtPr>
    <w:sdtEndPr/>
    <w:sdtContent>
      <w:p w:rsidR="001F4E44" w:rsidRDefault="001F4E4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F4E44" w:rsidRDefault="001F4E4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D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93" w:rsidRDefault="006B5F93" w:rsidP="000662E2">
      <w:pPr>
        <w:spacing w:after="0" w:line="240" w:lineRule="auto"/>
      </w:pPr>
      <w:r>
        <w:separator/>
      </w:r>
    </w:p>
  </w:footnote>
  <w:footnote w:type="continuationSeparator" w:id="0">
    <w:p w:rsidR="006B5F93" w:rsidRDefault="006B5F93" w:rsidP="000662E2">
      <w:pPr>
        <w:spacing w:after="0" w:line="240" w:lineRule="auto"/>
      </w:pPr>
      <w:r>
        <w:continuationSeparator/>
      </w:r>
    </w:p>
  </w:footnote>
  <w:footnote w:id="1">
    <w:p w:rsidR="001F4E44" w:rsidRDefault="001F4E44" w:rsidP="00764D9C">
      <w:pPr>
        <w:pStyle w:val="Tekstprzypisudolnego"/>
        <w:spacing w:before="0"/>
      </w:pPr>
      <w:r w:rsidRPr="00AC06CA">
        <w:rPr>
          <w:rStyle w:val="Odwoanieprzypisudolnego"/>
          <w:sz w:val="16"/>
        </w:rPr>
        <w:footnoteRef/>
      </w:r>
      <w:r w:rsidRPr="00AC06CA">
        <w:rPr>
          <w:sz w:val="16"/>
        </w:rPr>
        <w:t xml:space="preserve"> Ze względu na wprowadzenie od 2013 r. nowej klasyfikacji spożycia indywidualnego według celu, opartej na zharmonizowanej klasyfikacji COICOP dla wszystkich </w:t>
      </w:r>
      <w:r w:rsidRPr="00A564BA">
        <w:rPr>
          <w:sz w:val="16"/>
        </w:rPr>
        <w:t xml:space="preserve">badań Europejskiego Systemu Statystycznego, wyniki dla okresu 2004–2018 podano w warunkach porównywalnych i </w:t>
      </w:r>
      <w:r w:rsidRPr="00AC06CA">
        <w:rPr>
          <w:sz w:val="16"/>
        </w:rPr>
        <w:t>do pozycji „wydatki” w latach 2004–2012 doliczono pozycję „składki na ubezpieczenie na życie”.</w:t>
      </w:r>
    </w:p>
  </w:footnote>
  <w:footnote w:id="2">
    <w:p w:rsidR="001F4E44" w:rsidRDefault="001F4E44" w:rsidP="00764D9C">
      <w:pPr>
        <w:pStyle w:val="Tekstprzypisudolnego"/>
        <w:spacing w:before="0"/>
      </w:pPr>
      <w:r w:rsidRPr="001777E3">
        <w:rPr>
          <w:rStyle w:val="Odwoanieprzypisudolnego"/>
          <w:sz w:val="16"/>
        </w:rPr>
        <w:footnoteRef/>
      </w:r>
      <w:r w:rsidRPr="001777E3">
        <w:rPr>
          <w:sz w:val="16"/>
        </w:rPr>
        <w:t xml:space="preserve"> Do grupy tej dołączono także osoby żyjące w związkach nieformalnych.</w:t>
      </w:r>
    </w:p>
  </w:footnote>
  <w:footnote w:id="3">
    <w:p w:rsidR="001F4E44" w:rsidRDefault="001F4E44" w:rsidP="00764D9C">
      <w:pPr>
        <w:pStyle w:val="Tekstprzypisudolnego"/>
        <w:spacing w:before="0"/>
      </w:pPr>
      <w:r w:rsidRPr="001777E3">
        <w:rPr>
          <w:rStyle w:val="Odwoanieprzypisudolnego"/>
          <w:sz w:val="16"/>
        </w:rPr>
        <w:footnoteRef/>
      </w:r>
      <w:r w:rsidRPr="001777E3">
        <w:rPr>
          <w:sz w:val="16"/>
        </w:rPr>
        <w:t xml:space="preserve"> Dziecko na utrzymaniu – osoba w wieku 0–14 lat (włącznie) będąca w składzie gospodarstwa domowego lub osoba w wieku 15–25 lat, o ile nie posiada własnego źródła utrzymania i nie pozostaje w związku małżeńskim lub związku nieformalnym. W grupie osób z dziećmi na utrzymaniu znajdują si</w:t>
      </w:r>
      <w:r>
        <w:rPr>
          <w:sz w:val="16"/>
        </w:rPr>
        <w:t>ę małżeństwa, samotni rodzice i </w:t>
      </w:r>
      <w:r w:rsidRPr="001777E3">
        <w:rPr>
          <w:sz w:val="16"/>
        </w:rPr>
        <w:t>pozostałe osoby z dziećmi na utrzymaniu.</w:t>
      </w:r>
    </w:p>
  </w:footnote>
  <w:footnote w:id="4">
    <w:p w:rsidR="001F4E44" w:rsidRPr="00DD4BA4" w:rsidRDefault="001F4E44" w:rsidP="006D5D15">
      <w:pPr>
        <w:pStyle w:val="Tekstprzypisudolnego"/>
        <w:rPr>
          <w:sz w:val="16"/>
        </w:rPr>
      </w:pPr>
      <w:r w:rsidRPr="00DD4BA4">
        <w:rPr>
          <w:rStyle w:val="Odwoanieprzypisudolnego"/>
          <w:spacing w:val="-3"/>
          <w:sz w:val="16"/>
        </w:rPr>
        <w:footnoteRef/>
      </w:r>
      <w:r w:rsidRPr="00DD4BA4">
        <w:rPr>
          <w:spacing w:val="-3"/>
          <w:sz w:val="16"/>
        </w:rPr>
        <w:t xml:space="preserve"> </w:t>
      </w:r>
      <w:r w:rsidRPr="00DD4BA4">
        <w:rPr>
          <w:spacing w:val="-2"/>
          <w:sz w:val="16"/>
        </w:rPr>
        <w:t>Przeciętna liczba dzieci w wieku 0–17 lat włącznie w gospodarstwach domowych biorących udział w badaniu budżetów gospodarstw domowych i pobierających świadczenie wychowawcze Rodzina 500+ w 2018 r. wynosiła:</w:t>
      </w:r>
      <w:r w:rsidRPr="00DD4BA4">
        <w:rPr>
          <w:sz w:val="16"/>
        </w:rPr>
        <w:t> </w:t>
      </w:r>
    </w:p>
    <w:p w:rsidR="001F4E44" w:rsidRPr="009C5ABA" w:rsidRDefault="001F4E44" w:rsidP="006D5D15">
      <w:pPr>
        <w:pStyle w:val="Tekstprzypisudolnego"/>
        <w:spacing w:before="0"/>
      </w:pPr>
      <w:r w:rsidRPr="00DD4BA4">
        <w:rPr>
          <w:sz w:val="16"/>
        </w:rPr>
        <w:t>ogółem – 2,1</w:t>
      </w:r>
      <w:r>
        <w:rPr>
          <w:sz w:val="16"/>
        </w:rPr>
        <w:t>0</w:t>
      </w:r>
      <w:r w:rsidRPr="00DD4BA4">
        <w:rPr>
          <w:sz w:val="16"/>
        </w:rPr>
        <w:t>; pracowników – 2,09; rolników – 2,14; pracujących na własny rachunek – 2,14; emerytów</w:t>
      </w:r>
      <w:r>
        <w:rPr>
          <w:sz w:val="16"/>
        </w:rPr>
        <w:t xml:space="preserve"> – 1,73</w:t>
      </w:r>
      <w:r w:rsidRPr="009C5ABA">
        <w:rPr>
          <w:sz w:val="16"/>
        </w:rPr>
        <w:t xml:space="preserve"> i rencistów – 1,50.</w:t>
      </w:r>
    </w:p>
  </w:footnote>
  <w:footnote w:id="5">
    <w:p w:rsidR="001F4E44" w:rsidRDefault="001F4E44">
      <w:pPr>
        <w:pStyle w:val="Tekstprzypisudolnego"/>
      </w:pPr>
      <w:r w:rsidRPr="00471D75">
        <w:rPr>
          <w:rStyle w:val="Odwoanieprzypisudolnego"/>
          <w:sz w:val="16"/>
        </w:rPr>
        <w:footnoteRef/>
      </w:r>
      <w:r w:rsidRPr="00471D75">
        <w:rPr>
          <w:sz w:val="16"/>
        </w:rPr>
        <w:t xml:space="preserve"> Różnice w spożyciu odnotowano dla grupy „pieczywo i produkty zbożowe”, zaś dla </w:t>
      </w:r>
      <w:r>
        <w:rPr>
          <w:sz w:val="16"/>
        </w:rPr>
        <w:t xml:space="preserve">samego </w:t>
      </w:r>
      <w:r w:rsidRPr="00471D75">
        <w:rPr>
          <w:sz w:val="16"/>
        </w:rPr>
        <w:t>pieczywa, jako części składowej</w:t>
      </w:r>
      <w:r>
        <w:rPr>
          <w:sz w:val="16"/>
        </w:rPr>
        <w:t>,</w:t>
      </w:r>
      <w:r w:rsidRPr="00471D75">
        <w:rPr>
          <w:sz w:val="16"/>
        </w:rPr>
        <w:t xml:space="preserve"> odnotowano taki sam poziom spożycia zarówno w I, jaki i V grupie kwintylowej.</w:t>
      </w:r>
    </w:p>
  </w:footnote>
  <w:footnote w:id="6">
    <w:p w:rsidR="001F4E44" w:rsidRPr="00A16CDF" w:rsidRDefault="001F4E44">
      <w:pPr>
        <w:pStyle w:val="Tekstprzypisudolnego"/>
        <w:rPr>
          <w:spacing w:val="-4"/>
        </w:rPr>
      </w:pPr>
      <w:r w:rsidRPr="00A16CDF">
        <w:rPr>
          <w:rStyle w:val="Odwoanieprzypisudolnego"/>
          <w:spacing w:val="-4"/>
          <w:sz w:val="16"/>
        </w:rPr>
        <w:footnoteRef/>
      </w:r>
      <w:r w:rsidRPr="00A16CDF">
        <w:rPr>
          <w:spacing w:val="-4"/>
          <w:sz w:val="16"/>
        </w:rPr>
        <w:t xml:space="preserve"> Kategoria ta obejmuje urządzenia umożliwiające połączenie z Internetem, niezależnie od rodzaju urządzenia i typu połączenia internetowego (np. komputer stacjonarny, laptop, tablet, telewizor, smartfon).</w:t>
      </w:r>
    </w:p>
  </w:footnote>
  <w:footnote w:id="7">
    <w:p w:rsidR="001F4E44" w:rsidRPr="00A16CDF" w:rsidRDefault="001F4E44">
      <w:pPr>
        <w:pStyle w:val="Tekstprzypisudolnego"/>
        <w:rPr>
          <w:spacing w:val="-5"/>
        </w:rPr>
      </w:pPr>
      <w:r w:rsidRPr="00A16CDF">
        <w:rPr>
          <w:rStyle w:val="Odwoanieprzypisudolnego"/>
          <w:spacing w:val="-5"/>
          <w:sz w:val="16"/>
        </w:rPr>
        <w:footnoteRef/>
      </w:r>
      <w:r w:rsidRPr="00A16CDF">
        <w:rPr>
          <w:spacing w:val="-5"/>
          <w:sz w:val="16"/>
        </w:rPr>
        <w:t xml:space="preserve"> Pomimo zaliczenia smartfonu do kategorii „Urządzenie z dostępem do Internetu”, prezentowany jest również poziom wyposażenia w sam smartfon jako osobny rodzaj urządzenia, z uwagi na jego powszechność i różne zastosowania.</w:t>
      </w:r>
    </w:p>
  </w:footnote>
  <w:footnote w:id="8">
    <w:p w:rsidR="001F4E44" w:rsidRDefault="001F4E44" w:rsidP="00C67546">
      <w:pPr>
        <w:pStyle w:val="Tekstprzypisudolnego"/>
        <w:spacing w:before="0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Przeciętna liczba osób w gospodarstwach należących do I grupy kwintylowej wynosiła 3,46, a w V grupie kwintylowej 2,12.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44" w:rsidRDefault="001F4E4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6005D8" wp14:editId="1ECCFEA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C4A8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44" w:rsidRDefault="004B298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B3CA55A" wp14:editId="50A03ACC">
              <wp:simplePos x="0" y="0"/>
              <wp:positionH relativeFrom="column">
                <wp:posOffset>5208710</wp:posOffset>
              </wp:positionH>
              <wp:positionV relativeFrom="paragraph">
                <wp:posOffset>202614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6E20DF" id="Prostokąt 10" o:spid="_x0000_s1026" style="position:absolute;margin-left:410.15pt;margin-top:15.95pt;width:147.4pt;height:1803.5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kNTF4N8AAAAMAQAADwAAAAAAAAAA&#10;AAAAAAAABQAAZHJzL2Rvd25yZXYueG1sUEsFBgAAAAAEAAQA8wAAAAwGAAAAAA==&#10;" fillcolor="#f2f2f2" stroked="f" strokeweight="1pt">
              <v:path arrowok="t"/>
            </v:rect>
          </w:pict>
        </mc:Fallback>
      </mc:AlternateContent>
    </w:r>
    <w:r w:rsidR="001F4E4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52BFBC" wp14:editId="369272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F4E44" w:rsidRPr="003C6C8D" w:rsidRDefault="001F4E4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2BFBC" id="Schemat blokowy: opóźnienie 6" o:spid="_x0000_s1051" style="position:absolute;margin-left:396.6pt;margin-top:15.65pt;width:162.2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F4E44" w:rsidRPr="003C6C8D" w:rsidRDefault="001F4E4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1F4E44">
      <w:rPr>
        <w:noProof/>
        <w:lang w:eastAsia="pl-PL"/>
      </w:rPr>
      <w:drawing>
        <wp:inline distT="0" distB="0" distL="0" distR="0" wp14:anchorId="2DFC7A6E" wp14:editId="49F18B07">
          <wp:extent cx="1153274" cy="720000"/>
          <wp:effectExtent l="0" t="0" r="0" b="4445"/>
          <wp:docPr id="29" name="Obraz 2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4E44" w:rsidRDefault="008142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7E02F55C" wp14:editId="528BCFF1">
              <wp:simplePos x="0" y="0"/>
              <wp:positionH relativeFrom="column">
                <wp:posOffset>5219496</wp:posOffset>
              </wp:positionH>
              <wp:positionV relativeFrom="paragraph">
                <wp:posOffset>219123</wp:posOffset>
              </wp:positionV>
              <wp:extent cx="1432293" cy="336589"/>
              <wp:effectExtent l="0" t="0" r="0" b="635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422B" w:rsidRPr="00C97596" w:rsidRDefault="0081422B" w:rsidP="0081422B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30.05.2019 r.</w:t>
                          </w:r>
                        </w:p>
                        <w:p w:rsidR="0081422B" w:rsidRPr="00C97596" w:rsidRDefault="0081422B" w:rsidP="0081422B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F55C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411pt;margin-top:17.25pt;width:112.8pt;height:26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" filled="f" stroked="f">
              <v:textbox>
                <w:txbxContent>
                  <w:p w:rsidR="0081422B" w:rsidRPr="00C97596" w:rsidRDefault="0081422B" w:rsidP="0081422B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30.05.2019 r.</w:t>
                    </w:r>
                  </w:p>
                  <w:p w:rsidR="0081422B" w:rsidRPr="00C97596" w:rsidRDefault="0081422B" w:rsidP="0081422B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  <w:r w:rsidR="001F4E44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26F66CE" wp14:editId="16C7CFD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4E44" w:rsidRDefault="001F4E44"/>
                        <w:p w:rsidR="001F4E44" w:rsidRPr="00C97596" w:rsidRDefault="001F4E4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dd.mm.rrrr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F66CE" id="_x0000_s1053" type="#_x0000_t202" style="position:absolute;margin-left:411pt;margin-top:20.95pt;width:112.8pt;height:26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F4E44" w:rsidRDefault="001F4E44"/>
                  <w:p w:rsidR="001F4E44" w:rsidRPr="00C97596" w:rsidRDefault="001F4E4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dd.mm.rrrr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44" w:rsidRDefault="001F4E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6D23"/>
    <w:rsid w:val="0000709F"/>
    <w:rsid w:val="00010600"/>
    <w:rsid w:val="000108B8"/>
    <w:rsid w:val="000152F5"/>
    <w:rsid w:val="00015853"/>
    <w:rsid w:val="00015F38"/>
    <w:rsid w:val="00020B67"/>
    <w:rsid w:val="00022773"/>
    <w:rsid w:val="00022B92"/>
    <w:rsid w:val="00024670"/>
    <w:rsid w:val="00030FF6"/>
    <w:rsid w:val="00033605"/>
    <w:rsid w:val="00033C7A"/>
    <w:rsid w:val="00033E65"/>
    <w:rsid w:val="000344C0"/>
    <w:rsid w:val="000363C8"/>
    <w:rsid w:val="000374A2"/>
    <w:rsid w:val="00040208"/>
    <w:rsid w:val="00041D2B"/>
    <w:rsid w:val="00042B02"/>
    <w:rsid w:val="00043063"/>
    <w:rsid w:val="00044796"/>
    <w:rsid w:val="0004582E"/>
    <w:rsid w:val="000470AA"/>
    <w:rsid w:val="000515F2"/>
    <w:rsid w:val="000552F7"/>
    <w:rsid w:val="00057CA1"/>
    <w:rsid w:val="00062380"/>
    <w:rsid w:val="00063858"/>
    <w:rsid w:val="0006514B"/>
    <w:rsid w:val="000662E2"/>
    <w:rsid w:val="00066603"/>
    <w:rsid w:val="00066883"/>
    <w:rsid w:val="00070936"/>
    <w:rsid w:val="00073583"/>
    <w:rsid w:val="00074DD8"/>
    <w:rsid w:val="00075074"/>
    <w:rsid w:val="000752AE"/>
    <w:rsid w:val="000806F7"/>
    <w:rsid w:val="00080EE5"/>
    <w:rsid w:val="00086E2F"/>
    <w:rsid w:val="0008735C"/>
    <w:rsid w:val="00090897"/>
    <w:rsid w:val="000916D0"/>
    <w:rsid w:val="00092FDF"/>
    <w:rsid w:val="00095F54"/>
    <w:rsid w:val="00097840"/>
    <w:rsid w:val="000A03BF"/>
    <w:rsid w:val="000A2B97"/>
    <w:rsid w:val="000A3711"/>
    <w:rsid w:val="000A4599"/>
    <w:rsid w:val="000A4CAA"/>
    <w:rsid w:val="000A6EE6"/>
    <w:rsid w:val="000B0727"/>
    <w:rsid w:val="000B088F"/>
    <w:rsid w:val="000B3813"/>
    <w:rsid w:val="000B39CD"/>
    <w:rsid w:val="000B40C5"/>
    <w:rsid w:val="000B54F4"/>
    <w:rsid w:val="000B5D96"/>
    <w:rsid w:val="000C135D"/>
    <w:rsid w:val="000C2B9E"/>
    <w:rsid w:val="000C3538"/>
    <w:rsid w:val="000C65C9"/>
    <w:rsid w:val="000D1D43"/>
    <w:rsid w:val="000D2215"/>
    <w:rsid w:val="000D225C"/>
    <w:rsid w:val="000D2A5C"/>
    <w:rsid w:val="000D64AA"/>
    <w:rsid w:val="000E02F4"/>
    <w:rsid w:val="000E0918"/>
    <w:rsid w:val="000E116D"/>
    <w:rsid w:val="000E312A"/>
    <w:rsid w:val="000E3160"/>
    <w:rsid w:val="000E5EAC"/>
    <w:rsid w:val="000E617F"/>
    <w:rsid w:val="000F3240"/>
    <w:rsid w:val="000F4736"/>
    <w:rsid w:val="000F5FF3"/>
    <w:rsid w:val="001006C8"/>
    <w:rsid w:val="001011C3"/>
    <w:rsid w:val="00103C80"/>
    <w:rsid w:val="00103DA6"/>
    <w:rsid w:val="001053BE"/>
    <w:rsid w:val="00110B61"/>
    <w:rsid w:val="00110D87"/>
    <w:rsid w:val="00113A40"/>
    <w:rsid w:val="00114DB9"/>
    <w:rsid w:val="00115CFE"/>
    <w:rsid w:val="00116087"/>
    <w:rsid w:val="00117F16"/>
    <w:rsid w:val="0012125A"/>
    <w:rsid w:val="0012375C"/>
    <w:rsid w:val="00126772"/>
    <w:rsid w:val="001267B5"/>
    <w:rsid w:val="00126EA7"/>
    <w:rsid w:val="00126FF1"/>
    <w:rsid w:val="00130296"/>
    <w:rsid w:val="00134653"/>
    <w:rsid w:val="00137D32"/>
    <w:rsid w:val="00141C86"/>
    <w:rsid w:val="001423B6"/>
    <w:rsid w:val="00143BC0"/>
    <w:rsid w:val="001448A7"/>
    <w:rsid w:val="001465FA"/>
    <w:rsid w:val="00146621"/>
    <w:rsid w:val="00151655"/>
    <w:rsid w:val="001550A2"/>
    <w:rsid w:val="001558B0"/>
    <w:rsid w:val="00157C8F"/>
    <w:rsid w:val="00162325"/>
    <w:rsid w:val="001642DA"/>
    <w:rsid w:val="0016568B"/>
    <w:rsid w:val="00167FA5"/>
    <w:rsid w:val="00170256"/>
    <w:rsid w:val="0017045C"/>
    <w:rsid w:val="001708D1"/>
    <w:rsid w:val="0017122E"/>
    <w:rsid w:val="00173D6C"/>
    <w:rsid w:val="001747E2"/>
    <w:rsid w:val="00174B82"/>
    <w:rsid w:val="001802EF"/>
    <w:rsid w:val="00180604"/>
    <w:rsid w:val="00181548"/>
    <w:rsid w:val="001849AA"/>
    <w:rsid w:val="00184C28"/>
    <w:rsid w:val="001864F9"/>
    <w:rsid w:val="00186B5C"/>
    <w:rsid w:val="001915A8"/>
    <w:rsid w:val="001931C9"/>
    <w:rsid w:val="0019505E"/>
    <w:rsid w:val="001951DA"/>
    <w:rsid w:val="001953D9"/>
    <w:rsid w:val="001A08FF"/>
    <w:rsid w:val="001A0DD4"/>
    <w:rsid w:val="001A18B1"/>
    <w:rsid w:val="001A1FD8"/>
    <w:rsid w:val="001A37D5"/>
    <w:rsid w:val="001A6DB4"/>
    <w:rsid w:val="001A7478"/>
    <w:rsid w:val="001B11D0"/>
    <w:rsid w:val="001B43D7"/>
    <w:rsid w:val="001B5EAF"/>
    <w:rsid w:val="001B7686"/>
    <w:rsid w:val="001C013D"/>
    <w:rsid w:val="001C23FA"/>
    <w:rsid w:val="001C3269"/>
    <w:rsid w:val="001C364E"/>
    <w:rsid w:val="001C3D59"/>
    <w:rsid w:val="001D1DB4"/>
    <w:rsid w:val="001D212D"/>
    <w:rsid w:val="001D3C55"/>
    <w:rsid w:val="001D3E4A"/>
    <w:rsid w:val="001D5B0C"/>
    <w:rsid w:val="001D6F16"/>
    <w:rsid w:val="001E5C91"/>
    <w:rsid w:val="001E7FC1"/>
    <w:rsid w:val="001F2560"/>
    <w:rsid w:val="001F2F80"/>
    <w:rsid w:val="001F43F3"/>
    <w:rsid w:val="001F4E44"/>
    <w:rsid w:val="00211078"/>
    <w:rsid w:val="00211327"/>
    <w:rsid w:val="00212A6F"/>
    <w:rsid w:val="00212E22"/>
    <w:rsid w:val="002155E0"/>
    <w:rsid w:val="0021569B"/>
    <w:rsid w:val="002167B8"/>
    <w:rsid w:val="00222E56"/>
    <w:rsid w:val="00227C3D"/>
    <w:rsid w:val="00230347"/>
    <w:rsid w:val="002314CE"/>
    <w:rsid w:val="00242E02"/>
    <w:rsid w:val="00242FCB"/>
    <w:rsid w:val="0024486C"/>
    <w:rsid w:val="00246327"/>
    <w:rsid w:val="00250172"/>
    <w:rsid w:val="002520CA"/>
    <w:rsid w:val="002574F9"/>
    <w:rsid w:val="00261B01"/>
    <w:rsid w:val="00262B61"/>
    <w:rsid w:val="00262EE2"/>
    <w:rsid w:val="0026513B"/>
    <w:rsid w:val="00265274"/>
    <w:rsid w:val="00266292"/>
    <w:rsid w:val="00271B98"/>
    <w:rsid w:val="002727F2"/>
    <w:rsid w:val="0027580C"/>
    <w:rsid w:val="00276811"/>
    <w:rsid w:val="00282699"/>
    <w:rsid w:val="00285AE8"/>
    <w:rsid w:val="0028726B"/>
    <w:rsid w:val="002926DF"/>
    <w:rsid w:val="00294C77"/>
    <w:rsid w:val="00296697"/>
    <w:rsid w:val="00296806"/>
    <w:rsid w:val="00296D91"/>
    <w:rsid w:val="002A08B3"/>
    <w:rsid w:val="002A0E52"/>
    <w:rsid w:val="002A1439"/>
    <w:rsid w:val="002A6EC6"/>
    <w:rsid w:val="002A72FC"/>
    <w:rsid w:val="002B0472"/>
    <w:rsid w:val="002B1B85"/>
    <w:rsid w:val="002B2234"/>
    <w:rsid w:val="002B3015"/>
    <w:rsid w:val="002B4145"/>
    <w:rsid w:val="002B6440"/>
    <w:rsid w:val="002B6B12"/>
    <w:rsid w:val="002B7B1C"/>
    <w:rsid w:val="002C15EA"/>
    <w:rsid w:val="002C2735"/>
    <w:rsid w:val="002C4152"/>
    <w:rsid w:val="002C5949"/>
    <w:rsid w:val="002D35B1"/>
    <w:rsid w:val="002D440E"/>
    <w:rsid w:val="002D4B5B"/>
    <w:rsid w:val="002D6744"/>
    <w:rsid w:val="002D75E9"/>
    <w:rsid w:val="002E00F8"/>
    <w:rsid w:val="002E3B6E"/>
    <w:rsid w:val="002E3CE8"/>
    <w:rsid w:val="002E3D41"/>
    <w:rsid w:val="002E575D"/>
    <w:rsid w:val="002E6140"/>
    <w:rsid w:val="002E6985"/>
    <w:rsid w:val="002E71B6"/>
    <w:rsid w:val="002F0C89"/>
    <w:rsid w:val="002F1F81"/>
    <w:rsid w:val="002F77C8"/>
    <w:rsid w:val="00303707"/>
    <w:rsid w:val="003042C1"/>
    <w:rsid w:val="00304C1D"/>
    <w:rsid w:val="00304F22"/>
    <w:rsid w:val="00306C7C"/>
    <w:rsid w:val="00307A05"/>
    <w:rsid w:val="00310217"/>
    <w:rsid w:val="00314457"/>
    <w:rsid w:val="0031645A"/>
    <w:rsid w:val="00320094"/>
    <w:rsid w:val="00320936"/>
    <w:rsid w:val="00321021"/>
    <w:rsid w:val="0032105B"/>
    <w:rsid w:val="0032219F"/>
    <w:rsid w:val="00322EDD"/>
    <w:rsid w:val="003237FB"/>
    <w:rsid w:val="00323958"/>
    <w:rsid w:val="00324BD5"/>
    <w:rsid w:val="0032757A"/>
    <w:rsid w:val="00327D1A"/>
    <w:rsid w:val="00332320"/>
    <w:rsid w:val="00332939"/>
    <w:rsid w:val="00332A25"/>
    <w:rsid w:val="00332A54"/>
    <w:rsid w:val="003337D8"/>
    <w:rsid w:val="0033494C"/>
    <w:rsid w:val="00334C90"/>
    <w:rsid w:val="0033608A"/>
    <w:rsid w:val="003402B6"/>
    <w:rsid w:val="00342218"/>
    <w:rsid w:val="00342EB3"/>
    <w:rsid w:val="003453A4"/>
    <w:rsid w:val="003457D7"/>
    <w:rsid w:val="00345959"/>
    <w:rsid w:val="00346B44"/>
    <w:rsid w:val="0034767F"/>
    <w:rsid w:val="00347D72"/>
    <w:rsid w:val="00354919"/>
    <w:rsid w:val="00357611"/>
    <w:rsid w:val="00367237"/>
    <w:rsid w:val="0037077F"/>
    <w:rsid w:val="00372411"/>
    <w:rsid w:val="00373882"/>
    <w:rsid w:val="003750AC"/>
    <w:rsid w:val="0037524C"/>
    <w:rsid w:val="003768E5"/>
    <w:rsid w:val="003815F4"/>
    <w:rsid w:val="00382390"/>
    <w:rsid w:val="0038410A"/>
    <w:rsid w:val="003843DB"/>
    <w:rsid w:val="003849E2"/>
    <w:rsid w:val="00385E91"/>
    <w:rsid w:val="00391AA9"/>
    <w:rsid w:val="00393761"/>
    <w:rsid w:val="003953D4"/>
    <w:rsid w:val="00397C2D"/>
    <w:rsid w:val="00397D18"/>
    <w:rsid w:val="003A1B36"/>
    <w:rsid w:val="003A3452"/>
    <w:rsid w:val="003A4C31"/>
    <w:rsid w:val="003A6735"/>
    <w:rsid w:val="003B0C2D"/>
    <w:rsid w:val="003B1454"/>
    <w:rsid w:val="003B18B6"/>
    <w:rsid w:val="003B1F9A"/>
    <w:rsid w:val="003B6FC7"/>
    <w:rsid w:val="003C425A"/>
    <w:rsid w:val="003C4B7E"/>
    <w:rsid w:val="003C59E0"/>
    <w:rsid w:val="003C66FA"/>
    <w:rsid w:val="003C6C8D"/>
    <w:rsid w:val="003D3CCA"/>
    <w:rsid w:val="003D4F95"/>
    <w:rsid w:val="003D5F42"/>
    <w:rsid w:val="003D60A9"/>
    <w:rsid w:val="003E3394"/>
    <w:rsid w:val="003F2669"/>
    <w:rsid w:val="003F42C7"/>
    <w:rsid w:val="003F468F"/>
    <w:rsid w:val="003F4C97"/>
    <w:rsid w:val="003F7FE6"/>
    <w:rsid w:val="00400193"/>
    <w:rsid w:val="0040103E"/>
    <w:rsid w:val="00401337"/>
    <w:rsid w:val="00402D1D"/>
    <w:rsid w:val="00411654"/>
    <w:rsid w:val="00415F50"/>
    <w:rsid w:val="004170F6"/>
    <w:rsid w:val="004212E7"/>
    <w:rsid w:val="00421A4D"/>
    <w:rsid w:val="00422A69"/>
    <w:rsid w:val="0042446D"/>
    <w:rsid w:val="00424C18"/>
    <w:rsid w:val="00427BF8"/>
    <w:rsid w:val="00431C02"/>
    <w:rsid w:val="0043404D"/>
    <w:rsid w:val="00437395"/>
    <w:rsid w:val="00440700"/>
    <w:rsid w:val="0044076B"/>
    <w:rsid w:val="004417FA"/>
    <w:rsid w:val="00441A8B"/>
    <w:rsid w:val="00445047"/>
    <w:rsid w:val="004470D2"/>
    <w:rsid w:val="004477C2"/>
    <w:rsid w:val="00455144"/>
    <w:rsid w:val="00461BDE"/>
    <w:rsid w:val="00463E39"/>
    <w:rsid w:val="004657FC"/>
    <w:rsid w:val="00466210"/>
    <w:rsid w:val="00467BE9"/>
    <w:rsid w:val="004716FD"/>
    <w:rsid w:val="00471D75"/>
    <w:rsid w:val="004722FA"/>
    <w:rsid w:val="004733F6"/>
    <w:rsid w:val="00474A3A"/>
    <w:rsid w:val="00474E69"/>
    <w:rsid w:val="00476524"/>
    <w:rsid w:val="00476B05"/>
    <w:rsid w:val="004815D6"/>
    <w:rsid w:val="00483EDF"/>
    <w:rsid w:val="004875F8"/>
    <w:rsid w:val="00490E03"/>
    <w:rsid w:val="00492B21"/>
    <w:rsid w:val="00493BA8"/>
    <w:rsid w:val="004942C8"/>
    <w:rsid w:val="0049621B"/>
    <w:rsid w:val="004A2E81"/>
    <w:rsid w:val="004A3305"/>
    <w:rsid w:val="004A5B9E"/>
    <w:rsid w:val="004A7B44"/>
    <w:rsid w:val="004B1ED2"/>
    <w:rsid w:val="004B298F"/>
    <w:rsid w:val="004B49AE"/>
    <w:rsid w:val="004C1895"/>
    <w:rsid w:val="004C23D2"/>
    <w:rsid w:val="004C348C"/>
    <w:rsid w:val="004C3E99"/>
    <w:rsid w:val="004C6D40"/>
    <w:rsid w:val="004D0F47"/>
    <w:rsid w:val="004D1923"/>
    <w:rsid w:val="004D2DD3"/>
    <w:rsid w:val="004D507F"/>
    <w:rsid w:val="004E0604"/>
    <w:rsid w:val="004E07D3"/>
    <w:rsid w:val="004E2B0A"/>
    <w:rsid w:val="004E4803"/>
    <w:rsid w:val="004E497C"/>
    <w:rsid w:val="004E584D"/>
    <w:rsid w:val="004E67B9"/>
    <w:rsid w:val="004F0C3C"/>
    <w:rsid w:val="004F1F24"/>
    <w:rsid w:val="004F43BC"/>
    <w:rsid w:val="004F492A"/>
    <w:rsid w:val="004F63FC"/>
    <w:rsid w:val="004F75C3"/>
    <w:rsid w:val="00500599"/>
    <w:rsid w:val="00501812"/>
    <w:rsid w:val="00501A4C"/>
    <w:rsid w:val="0050322B"/>
    <w:rsid w:val="0050497E"/>
    <w:rsid w:val="00505977"/>
    <w:rsid w:val="00505A92"/>
    <w:rsid w:val="00506EDA"/>
    <w:rsid w:val="005116B3"/>
    <w:rsid w:val="005123BF"/>
    <w:rsid w:val="00513DB5"/>
    <w:rsid w:val="005140B7"/>
    <w:rsid w:val="00515B9C"/>
    <w:rsid w:val="005203F1"/>
    <w:rsid w:val="005206C8"/>
    <w:rsid w:val="00521212"/>
    <w:rsid w:val="00521A37"/>
    <w:rsid w:val="00521BC3"/>
    <w:rsid w:val="005260D6"/>
    <w:rsid w:val="00533632"/>
    <w:rsid w:val="00533E00"/>
    <w:rsid w:val="005358B1"/>
    <w:rsid w:val="00541339"/>
    <w:rsid w:val="00541E6E"/>
    <w:rsid w:val="00541ECD"/>
    <w:rsid w:val="0054251F"/>
    <w:rsid w:val="00543B74"/>
    <w:rsid w:val="00544FB7"/>
    <w:rsid w:val="00550CFB"/>
    <w:rsid w:val="00550F40"/>
    <w:rsid w:val="005520D8"/>
    <w:rsid w:val="00552CDC"/>
    <w:rsid w:val="0055643F"/>
    <w:rsid w:val="00556CF1"/>
    <w:rsid w:val="00556E49"/>
    <w:rsid w:val="00561AE5"/>
    <w:rsid w:val="00562055"/>
    <w:rsid w:val="00564A74"/>
    <w:rsid w:val="00564F88"/>
    <w:rsid w:val="005664CC"/>
    <w:rsid w:val="00567186"/>
    <w:rsid w:val="005731B7"/>
    <w:rsid w:val="005757FE"/>
    <w:rsid w:val="00575D05"/>
    <w:rsid w:val="005762A7"/>
    <w:rsid w:val="00582A3E"/>
    <w:rsid w:val="00582D3F"/>
    <w:rsid w:val="00587E37"/>
    <w:rsid w:val="0059075A"/>
    <w:rsid w:val="005916D7"/>
    <w:rsid w:val="00596464"/>
    <w:rsid w:val="0059710B"/>
    <w:rsid w:val="005A2AEF"/>
    <w:rsid w:val="005A3C7F"/>
    <w:rsid w:val="005A698C"/>
    <w:rsid w:val="005A7BB3"/>
    <w:rsid w:val="005B0772"/>
    <w:rsid w:val="005B1FEB"/>
    <w:rsid w:val="005B22F0"/>
    <w:rsid w:val="005C0D7D"/>
    <w:rsid w:val="005C13CD"/>
    <w:rsid w:val="005C14BD"/>
    <w:rsid w:val="005C196B"/>
    <w:rsid w:val="005C34F9"/>
    <w:rsid w:val="005C577E"/>
    <w:rsid w:val="005C7031"/>
    <w:rsid w:val="005D2934"/>
    <w:rsid w:val="005D5835"/>
    <w:rsid w:val="005E0799"/>
    <w:rsid w:val="005E0A61"/>
    <w:rsid w:val="005E1D1E"/>
    <w:rsid w:val="005E4031"/>
    <w:rsid w:val="005F11DF"/>
    <w:rsid w:val="005F1EA9"/>
    <w:rsid w:val="005F1F3D"/>
    <w:rsid w:val="005F2C48"/>
    <w:rsid w:val="005F5A80"/>
    <w:rsid w:val="005F5E6B"/>
    <w:rsid w:val="005F6CCC"/>
    <w:rsid w:val="005F7FD8"/>
    <w:rsid w:val="00600D5C"/>
    <w:rsid w:val="00602A7C"/>
    <w:rsid w:val="006044FF"/>
    <w:rsid w:val="0060484B"/>
    <w:rsid w:val="006051FF"/>
    <w:rsid w:val="00607CC5"/>
    <w:rsid w:val="006109D8"/>
    <w:rsid w:val="006111C4"/>
    <w:rsid w:val="006135D3"/>
    <w:rsid w:val="00623E67"/>
    <w:rsid w:val="00625E5B"/>
    <w:rsid w:val="00626BD1"/>
    <w:rsid w:val="006319E3"/>
    <w:rsid w:val="00633014"/>
    <w:rsid w:val="00633332"/>
    <w:rsid w:val="00633882"/>
    <w:rsid w:val="0063437B"/>
    <w:rsid w:val="00634948"/>
    <w:rsid w:val="0063564F"/>
    <w:rsid w:val="0064144A"/>
    <w:rsid w:val="00646F3A"/>
    <w:rsid w:val="00647316"/>
    <w:rsid w:val="00647D55"/>
    <w:rsid w:val="00654166"/>
    <w:rsid w:val="00654D2E"/>
    <w:rsid w:val="00654EA6"/>
    <w:rsid w:val="00655460"/>
    <w:rsid w:val="00660624"/>
    <w:rsid w:val="0066338E"/>
    <w:rsid w:val="006673CA"/>
    <w:rsid w:val="00670DB1"/>
    <w:rsid w:val="00671BFE"/>
    <w:rsid w:val="006726D5"/>
    <w:rsid w:val="00673C26"/>
    <w:rsid w:val="00673FC8"/>
    <w:rsid w:val="00674A5B"/>
    <w:rsid w:val="00675755"/>
    <w:rsid w:val="006812AF"/>
    <w:rsid w:val="0068157C"/>
    <w:rsid w:val="0068327D"/>
    <w:rsid w:val="006836F9"/>
    <w:rsid w:val="0068627A"/>
    <w:rsid w:val="006863A7"/>
    <w:rsid w:val="0068741D"/>
    <w:rsid w:val="00687461"/>
    <w:rsid w:val="006929FE"/>
    <w:rsid w:val="00692C33"/>
    <w:rsid w:val="00692D54"/>
    <w:rsid w:val="00692FD9"/>
    <w:rsid w:val="00693338"/>
    <w:rsid w:val="00694465"/>
    <w:rsid w:val="00694AF0"/>
    <w:rsid w:val="00694DE3"/>
    <w:rsid w:val="00697D5A"/>
    <w:rsid w:val="006A2F59"/>
    <w:rsid w:val="006A4686"/>
    <w:rsid w:val="006A4D40"/>
    <w:rsid w:val="006A71F6"/>
    <w:rsid w:val="006B0E9E"/>
    <w:rsid w:val="006B1F19"/>
    <w:rsid w:val="006B5679"/>
    <w:rsid w:val="006B5AE4"/>
    <w:rsid w:val="006B5F93"/>
    <w:rsid w:val="006B7C37"/>
    <w:rsid w:val="006C10C8"/>
    <w:rsid w:val="006C2B81"/>
    <w:rsid w:val="006C3C6D"/>
    <w:rsid w:val="006C46C0"/>
    <w:rsid w:val="006C6F58"/>
    <w:rsid w:val="006D1507"/>
    <w:rsid w:val="006D1D38"/>
    <w:rsid w:val="006D3D65"/>
    <w:rsid w:val="006D4054"/>
    <w:rsid w:val="006D5D15"/>
    <w:rsid w:val="006E02EC"/>
    <w:rsid w:val="006E23F6"/>
    <w:rsid w:val="006E2BD8"/>
    <w:rsid w:val="006E2E50"/>
    <w:rsid w:val="006E504B"/>
    <w:rsid w:val="006E7636"/>
    <w:rsid w:val="006E7F78"/>
    <w:rsid w:val="006F08B9"/>
    <w:rsid w:val="006F6DCF"/>
    <w:rsid w:val="00702C2F"/>
    <w:rsid w:val="00702D89"/>
    <w:rsid w:val="00705419"/>
    <w:rsid w:val="00705CD4"/>
    <w:rsid w:val="00706A79"/>
    <w:rsid w:val="00707906"/>
    <w:rsid w:val="007116B6"/>
    <w:rsid w:val="00715D29"/>
    <w:rsid w:val="00716DE0"/>
    <w:rsid w:val="0072040E"/>
    <w:rsid w:val="007211B1"/>
    <w:rsid w:val="00724030"/>
    <w:rsid w:val="00727703"/>
    <w:rsid w:val="007347E4"/>
    <w:rsid w:val="00734888"/>
    <w:rsid w:val="00734FEF"/>
    <w:rsid w:val="007454E5"/>
    <w:rsid w:val="00746187"/>
    <w:rsid w:val="007502F3"/>
    <w:rsid w:val="00751FAC"/>
    <w:rsid w:val="00752DAC"/>
    <w:rsid w:val="007554B0"/>
    <w:rsid w:val="0076254F"/>
    <w:rsid w:val="00762FF2"/>
    <w:rsid w:val="00764D9C"/>
    <w:rsid w:val="00771A5A"/>
    <w:rsid w:val="007731D8"/>
    <w:rsid w:val="00773CE5"/>
    <w:rsid w:val="0077402D"/>
    <w:rsid w:val="00774D61"/>
    <w:rsid w:val="00774D62"/>
    <w:rsid w:val="00775896"/>
    <w:rsid w:val="007764D2"/>
    <w:rsid w:val="007801F5"/>
    <w:rsid w:val="00783CA4"/>
    <w:rsid w:val="00783CAA"/>
    <w:rsid w:val="007842FB"/>
    <w:rsid w:val="00785540"/>
    <w:rsid w:val="00785705"/>
    <w:rsid w:val="00786124"/>
    <w:rsid w:val="00790C3E"/>
    <w:rsid w:val="0079514B"/>
    <w:rsid w:val="007A11BD"/>
    <w:rsid w:val="007A2DC1"/>
    <w:rsid w:val="007A3E0B"/>
    <w:rsid w:val="007B08F3"/>
    <w:rsid w:val="007B0BAB"/>
    <w:rsid w:val="007B3C4A"/>
    <w:rsid w:val="007B5D32"/>
    <w:rsid w:val="007B74AB"/>
    <w:rsid w:val="007C4094"/>
    <w:rsid w:val="007C73A0"/>
    <w:rsid w:val="007D1C31"/>
    <w:rsid w:val="007D3319"/>
    <w:rsid w:val="007D335D"/>
    <w:rsid w:val="007D3642"/>
    <w:rsid w:val="007D4EB8"/>
    <w:rsid w:val="007D6267"/>
    <w:rsid w:val="007D6B06"/>
    <w:rsid w:val="007E04C5"/>
    <w:rsid w:val="007E0DB2"/>
    <w:rsid w:val="007E1352"/>
    <w:rsid w:val="007E1F14"/>
    <w:rsid w:val="007E2298"/>
    <w:rsid w:val="007E3314"/>
    <w:rsid w:val="007E4B03"/>
    <w:rsid w:val="007E716F"/>
    <w:rsid w:val="007F04F4"/>
    <w:rsid w:val="007F275E"/>
    <w:rsid w:val="007F324B"/>
    <w:rsid w:val="007F36F4"/>
    <w:rsid w:val="007F3898"/>
    <w:rsid w:val="007F4A26"/>
    <w:rsid w:val="007F6485"/>
    <w:rsid w:val="007F7BFB"/>
    <w:rsid w:val="008021BD"/>
    <w:rsid w:val="00802DC2"/>
    <w:rsid w:val="00803B35"/>
    <w:rsid w:val="0080553C"/>
    <w:rsid w:val="00805B46"/>
    <w:rsid w:val="0081004B"/>
    <w:rsid w:val="008119BB"/>
    <w:rsid w:val="008127B9"/>
    <w:rsid w:val="0081422B"/>
    <w:rsid w:val="0081438B"/>
    <w:rsid w:val="00814632"/>
    <w:rsid w:val="0081668A"/>
    <w:rsid w:val="00816E06"/>
    <w:rsid w:val="008205A7"/>
    <w:rsid w:val="008223FB"/>
    <w:rsid w:val="00825DC2"/>
    <w:rsid w:val="00826CD5"/>
    <w:rsid w:val="00830977"/>
    <w:rsid w:val="00830A13"/>
    <w:rsid w:val="0083126D"/>
    <w:rsid w:val="0083335F"/>
    <w:rsid w:val="008335A8"/>
    <w:rsid w:val="00834AD3"/>
    <w:rsid w:val="00834DE5"/>
    <w:rsid w:val="00835284"/>
    <w:rsid w:val="00843795"/>
    <w:rsid w:val="0084551C"/>
    <w:rsid w:val="00847F0F"/>
    <w:rsid w:val="00852448"/>
    <w:rsid w:val="008540F0"/>
    <w:rsid w:val="00860BA6"/>
    <w:rsid w:val="00861137"/>
    <w:rsid w:val="0086798B"/>
    <w:rsid w:val="008706A0"/>
    <w:rsid w:val="008707CF"/>
    <w:rsid w:val="00872C2A"/>
    <w:rsid w:val="0087427F"/>
    <w:rsid w:val="00874865"/>
    <w:rsid w:val="0087524B"/>
    <w:rsid w:val="008752CA"/>
    <w:rsid w:val="00875393"/>
    <w:rsid w:val="00875D6D"/>
    <w:rsid w:val="008770E5"/>
    <w:rsid w:val="008802BF"/>
    <w:rsid w:val="0088258A"/>
    <w:rsid w:val="00884D73"/>
    <w:rsid w:val="00884EDE"/>
    <w:rsid w:val="00886332"/>
    <w:rsid w:val="0088757B"/>
    <w:rsid w:val="0088797D"/>
    <w:rsid w:val="00894293"/>
    <w:rsid w:val="00895898"/>
    <w:rsid w:val="0089665A"/>
    <w:rsid w:val="00896D71"/>
    <w:rsid w:val="00897B0C"/>
    <w:rsid w:val="008A26D9"/>
    <w:rsid w:val="008A278B"/>
    <w:rsid w:val="008A2B30"/>
    <w:rsid w:val="008A3AA7"/>
    <w:rsid w:val="008A3C4A"/>
    <w:rsid w:val="008A5AE9"/>
    <w:rsid w:val="008A7009"/>
    <w:rsid w:val="008A7CF0"/>
    <w:rsid w:val="008B18FF"/>
    <w:rsid w:val="008B52D7"/>
    <w:rsid w:val="008B6867"/>
    <w:rsid w:val="008B6991"/>
    <w:rsid w:val="008C0C29"/>
    <w:rsid w:val="008D2898"/>
    <w:rsid w:val="008D28A2"/>
    <w:rsid w:val="008E119E"/>
    <w:rsid w:val="008E24D9"/>
    <w:rsid w:val="008E2C60"/>
    <w:rsid w:val="008E2FED"/>
    <w:rsid w:val="008E431C"/>
    <w:rsid w:val="008F3638"/>
    <w:rsid w:val="008F4441"/>
    <w:rsid w:val="008F4694"/>
    <w:rsid w:val="008F615E"/>
    <w:rsid w:val="008F6964"/>
    <w:rsid w:val="008F6C3C"/>
    <w:rsid w:val="008F6F31"/>
    <w:rsid w:val="008F74DF"/>
    <w:rsid w:val="00901007"/>
    <w:rsid w:val="009014EF"/>
    <w:rsid w:val="00901ED6"/>
    <w:rsid w:val="009034B4"/>
    <w:rsid w:val="00903DA5"/>
    <w:rsid w:val="00906F75"/>
    <w:rsid w:val="00907511"/>
    <w:rsid w:val="0091010B"/>
    <w:rsid w:val="009127BA"/>
    <w:rsid w:val="009143A0"/>
    <w:rsid w:val="00920460"/>
    <w:rsid w:val="00921FC2"/>
    <w:rsid w:val="009227A6"/>
    <w:rsid w:val="00923404"/>
    <w:rsid w:val="00926858"/>
    <w:rsid w:val="0093054B"/>
    <w:rsid w:val="00930703"/>
    <w:rsid w:val="009317DD"/>
    <w:rsid w:val="009320D1"/>
    <w:rsid w:val="0093262A"/>
    <w:rsid w:val="00933EC1"/>
    <w:rsid w:val="00933F58"/>
    <w:rsid w:val="00933F94"/>
    <w:rsid w:val="00936260"/>
    <w:rsid w:val="00937540"/>
    <w:rsid w:val="00937F39"/>
    <w:rsid w:val="00940A2B"/>
    <w:rsid w:val="00944BA9"/>
    <w:rsid w:val="00947876"/>
    <w:rsid w:val="0095200D"/>
    <w:rsid w:val="00952578"/>
    <w:rsid w:val="009530DB"/>
    <w:rsid w:val="00953676"/>
    <w:rsid w:val="00954B27"/>
    <w:rsid w:val="00956B79"/>
    <w:rsid w:val="00957F9D"/>
    <w:rsid w:val="00960CD8"/>
    <w:rsid w:val="00961F59"/>
    <w:rsid w:val="00963117"/>
    <w:rsid w:val="009705EE"/>
    <w:rsid w:val="00972330"/>
    <w:rsid w:val="0097394C"/>
    <w:rsid w:val="00973C01"/>
    <w:rsid w:val="00974594"/>
    <w:rsid w:val="0097699E"/>
    <w:rsid w:val="00977927"/>
    <w:rsid w:val="009804A8"/>
    <w:rsid w:val="00980AA6"/>
    <w:rsid w:val="0098135C"/>
    <w:rsid w:val="0098156A"/>
    <w:rsid w:val="009838FE"/>
    <w:rsid w:val="00985670"/>
    <w:rsid w:val="00991260"/>
    <w:rsid w:val="00991BAC"/>
    <w:rsid w:val="009978F7"/>
    <w:rsid w:val="009A0387"/>
    <w:rsid w:val="009A235F"/>
    <w:rsid w:val="009A3FCA"/>
    <w:rsid w:val="009A6187"/>
    <w:rsid w:val="009A6EA0"/>
    <w:rsid w:val="009A77B4"/>
    <w:rsid w:val="009B2FD4"/>
    <w:rsid w:val="009B34C9"/>
    <w:rsid w:val="009B3FDD"/>
    <w:rsid w:val="009B5377"/>
    <w:rsid w:val="009B6E36"/>
    <w:rsid w:val="009B6F21"/>
    <w:rsid w:val="009C0323"/>
    <w:rsid w:val="009C087A"/>
    <w:rsid w:val="009C1335"/>
    <w:rsid w:val="009C1A80"/>
    <w:rsid w:val="009C1AB2"/>
    <w:rsid w:val="009C22E5"/>
    <w:rsid w:val="009C43FB"/>
    <w:rsid w:val="009C4C33"/>
    <w:rsid w:val="009C51C9"/>
    <w:rsid w:val="009C5ABA"/>
    <w:rsid w:val="009C6326"/>
    <w:rsid w:val="009C6E51"/>
    <w:rsid w:val="009C7251"/>
    <w:rsid w:val="009D064D"/>
    <w:rsid w:val="009D1B1C"/>
    <w:rsid w:val="009D1E1D"/>
    <w:rsid w:val="009D288E"/>
    <w:rsid w:val="009D4395"/>
    <w:rsid w:val="009D4BF7"/>
    <w:rsid w:val="009D504A"/>
    <w:rsid w:val="009E2E91"/>
    <w:rsid w:val="009E34DB"/>
    <w:rsid w:val="009F5388"/>
    <w:rsid w:val="009F6AA2"/>
    <w:rsid w:val="00A012CB"/>
    <w:rsid w:val="00A02CE3"/>
    <w:rsid w:val="00A03FD9"/>
    <w:rsid w:val="00A05E8C"/>
    <w:rsid w:val="00A1024B"/>
    <w:rsid w:val="00A139F5"/>
    <w:rsid w:val="00A13B58"/>
    <w:rsid w:val="00A16CDF"/>
    <w:rsid w:val="00A17319"/>
    <w:rsid w:val="00A20E77"/>
    <w:rsid w:val="00A212B2"/>
    <w:rsid w:val="00A215C4"/>
    <w:rsid w:val="00A219FA"/>
    <w:rsid w:val="00A2518C"/>
    <w:rsid w:val="00A258B3"/>
    <w:rsid w:val="00A305D4"/>
    <w:rsid w:val="00A325CB"/>
    <w:rsid w:val="00A34416"/>
    <w:rsid w:val="00A365F4"/>
    <w:rsid w:val="00A37950"/>
    <w:rsid w:val="00A40C0F"/>
    <w:rsid w:val="00A4600B"/>
    <w:rsid w:val="00A47D80"/>
    <w:rsid w:val="00A5010A"/>
    <w:rsid w:val="00A517AB"/>
    <w:rsid w:val="00A51E94"/>
    <w:rsid w:val="00A529D6"/>
    <w:rsid w:val="00A53132"/>
    <w:rsid w:val="00A55A05"/>
    <w:rsid w:val="00A55CA7"/>
    <w:rsid w:val="00A563F2"/>
    <w:rsid w:val="00A564BA"/>
    <w:rsid w:val="00A566E8"/>
    <w:rsid w:val="00A61095"/>
    <w:rsid w:val="00A63893"/>
    <w:rsid w:val="00A656F8"/>
    <w:rsid w:val="00A65B90"/>
    <w:rsid w:val="00A66E8F"/>
    <w:rsid w:val="00A72341"/>
    <w:rsid w:val="00A72BCA"/>
    <w:rsid w:val="00A731F9"/>
    <w:rsid w:val="00A77A42"/>
    <w:rsid w:val="00A810F9"/>
    <w:rsid w:val="00A8595F"/>
    <w:rsid w:val="00A86AF8"/>
    <w:rsid w:val="00A86DDA"/>
    <w:rsid w:val="00A86EAA"/>
    <w:rsid w:val="00A86ECC"/>
    <w:rsid w:val="00A86FCC"/>
    <w:rsid w:val="00A9012A"/>
    <w:rsid w:val="00A91B28"/>
    <w:rsid w:val="00AA710D"/>
    <w:rsid w:val="00AB1674"/>
    <w:rsid w:val="00AB2F6D"/>
    <w:rsid w:val="00AB3E7F"/>
    <w:rsid w:val="00AB436F"/>
    <w:rsid w:val="00AB5D35"/>
    <w:rsid w:val="00AB6184"/>
    <w:rsid w:val="00AB678D"/>
    <w:rsid w:val="00AB6D25"/>
    <w:rsid w:val="00AB7D66"/>
    <w:rsid w:val="00AC1180"/>
    <w:rsid w:val="00AC2753"/>
    <w:rsid w:val="00AC6E12"/>
    <w:rsid w:val="00AD0033"/>
    <w:rsid w:val="00AD49E7"/>
    <w:rsid w:val="00AD60A7"/>
    <w:rsid w:val="00AD66DA"/>
    <w:rsid w:val="00AE1FD1"/>
    <w:rsid w:val="00AE2D4B"/>
    <w:rsid w:val="00AE2F21"/>
    <w:rsid w:val="00AE4ABC"/>
    <w:rsid w:val="00AE4C2E"/>
    <w:rsid w:val="00AE4F99"/>
    <w:rsid w:val="00AE4FB0"/>
    <w:rsid w:val="00AF0F9C"/>
    <w:rsid w:val="00AF56E8"/>
    <w:rsid w:val="00B01B2A"/>
    <w:rsid w:val="00B038E8"/>
    <w:rsid w:val="00B060EF"/>
    <w:rsid w:val="00B071EF"/>
    <w:rsid w:val="00B10DE1"/>
    <w:rsid w:val="00B118D1"/>
    <w:rsid w:val="00B11B69"/>
    <w:rsid w:val="00B12CF3"/>
    <w:rsid w:val="00B1437C"/>
    <w:rsid w:val="00B14952"/>
    <w:rsid w:val="00B17824"/>
    <w:rsid w:val="00B20166"/>
    <w:rsid w:val="00B21244"/>
    <w:rsid w:val="00B21D78"/>
    <w:rsid w:val="00B26284"/>
    <w:rsid w:val="00B26CBA"/>
    <w:rsid w:val="00B30DB9"/>
    <w:rsid w:val="00B31E5A"/>
    <w:rsid w:val="00B33ED6"/>
    <w:rsid w:val="00B37F13"/>
    <w:rsid w:val="00B4519C"/>
    <w:rsid w:val="00B4789E"/>
    <w:rsid w:val="00B525F3"/>
    <w:rsid w:val="00B5372D"/>
    <w:rsid w:val="00B541D2"/>
    <w:rsid w:val="00B55329"/>
    <w:rsid w:val="00B5591A"/>
    <w:rsid w:val="00B56291"/>
    <w:rsid w:val="00B61381"/>
    <w:rsid w:val="00B6377A"/>
    <w:rsid w:val="00B63EFD"/>
    <w:rsid w:val="00B646AB"/>
    <w:rsid w:val="00B653AB"/>
    <w:rsid w:val="00B65F9E"/>
    <w:rsid w:val="00B66B19"/>
    <w:rsid w:val="00B71955"/>
    <w:rsid w:val="00B800D0"/>
    <w:rsid w:val="00B82E07"/>
    <w:rsid w:val="00B914E9"/>
    <w:rsid w:val="00B924B1"/>
    <w:rsid w:val="00B929EA"/>
    <w:rsid w:val="00B92D7C"/>
    <w:rsid w:val="00B956EE"/>
    <w:rsid w:val="00B96807"/>
    <w:rsid w:val="00B9714F"/>
    <w:rsid w:val="00B97537"/>
    <w:rsid w:val="00BA2BA1"/>
    <w:rsid w:val="00BA3562"/>
    <w:rsid w:val="00BA56A1"/>
    <w:rsid w:val="00BA65CA"/>
    <w:rsid w:val="00BA6CA9"/>
    <w:rsid w:val="00BA6DD5"/>
    <w:rsid w:val="00BA6E7A"/>
    <w:rsid w:val="00BB17FA"/>
    <w:rsid w:val="00BB1970"/>
    <w:rsid w:val="00BB22F2"/>
    <w:rsid w:val="00BB2737"/>
    <w:rsid w:val="00BB4F09"/>
    <w:rsid w:val="00BB78DB"/>
    <w:rsid w:val="00BC312C"/>
    <w:rsid w:val="00BC3AB4"/>
    <w:rsid w:val="00BC616E"/>
    <w:rsid w:val="00BD029E"/>
    <w:rsid w:val="00BD0BE3"/>
    <w:rsid w:val="00BD4E33"/>
    <w:rsid w:val="00BD54FB"/>
    <w:rsid w:val="00BD5800"/>
    <w:rsid w:val="00BD77C8"/>
    <w:rsid w:val="00BE1396"/>
    <w:rsid w:val="00BE18F4"/>
    <w:rsid w:val="00BF0788"/>
    <w:rsid w:val="00BF0A8B"/>
    <w:rsid w:val="00BF2D56"/>
    <w:rsid w:val="00BF2F0A"/>
    <w:rsid w:val="00BF3D54"/>
    <w:rsid w:val="00BF5D23"/>
    <w:rsid w:val="00C010C7"/>
    <w:rsid w:val="00C01B88"/>
    <w:rsid w:val="00C030DE"/>
    <w:rsid w:val="00C03634"/>
    <w:rsid w:val="00C068AD"/>
    <w:rsid w:val="00C1042C"/>
    <w:rsid w:val="00C10821"/>
    <w:rsid w:val="00C1268F"/>
    <w:rsid w:val="00C13E53"/>
    <w:rsid w:val="00C16714"/>
    <w:rsid w:val="00C16E19"/>
    <w:rsid w:val="00C17D01"/>
    <w:rsid w:val="00C201DA"/>
    <w:rsid w:val="00C212CA"/>
    <w:rsid w:val="00C22105"/>
    <w:rsid w:val="00C2292C"/>
    <w:rsid w:val="00C244B6"/>
    <w:rsid w:val="00C25C16"/>
    <w:rsid w:val="00C26D31"/>
    <w:rsid w:val="00C32F5B"/>
    <w:rsid w:val="00C338D8"/>
    <w:rsid w:val="00C33A8D"/>
    <w:rsid w:val="00C3702F"/>
    <w:rsid w:val="00C424DA"/>
    <w:rsid w:val="00C4254F"/>
    <w:rsid w:val="00C43298"/>
    <w:rsid w:val="00C44200"/>
    <w:rsid w:val="00C4500A"/>
    <w:rsid w:val="00C471BB"/>
    <w:rsid w:val="00C50705"/>
    <w:rsid w:val="00C5176F"/>
    <w:rsid w:val="00C51790"/>
    <w:rsid w:val="00C52028"/>
    <w:rsid w:val="00C52D1F"/>
    <w:rsid w:val="00C52EFA"/>
    <w:rsid w:val="00C534A1"/>
    <w:rsid w:val="00C53EBB"/>
    <w:rsid w:val="00C54A56"/>
    <w:rsid w:val="00C6033B"/>
    <w:rsid w:val="00C61E79"/>
    <w:rsid w:val="00C64A37"/>
    <w:rsid w:val="00C65B7D"/>
    <w:rsid w:val="00C67546"/>
    <w:rsid w:val="00C7158E"/>
    <w:rsid w:val="00C7250B"/>
    <w:rsid w:val="00C7267A"/>
    <w:rsid w:val="00C730E2"/>
    <w:rsid w:val="00C7346B"/>
    <w:rsid w:val="00C73A6C"/>
    <w:rsid w:val="00C752A3"/>
    <w:rsid w:val="00C7771A"/>
    <w:rsid w:val="00C77C0E"/>
    <w:rsid w:val="00C821D3"/>
    <w:rsid w:val="00C91687"/>
    <w:rsid w:val="00C924A8"/>
    <w:rsid w:val="00C94162"/>
    <w:rsid w:val="00C945FE"/>
    <w:rsid w:val="00C96FAA"/>
    <w:rsid w:val="00C978E4"/>
    <w:rsid w:val="00C97A04"/>
    <w:rsid w:val="00CA107B"/>
    <w:rsid w:val="00CA331F"/>
    <w:rsid w:val="00CA484D"/>
    <w:rsid w:val="00CA4FB6"/>
    <w:rsid w:val="00CA7650"/>
    <w:rsid w:val="00CA7CCF"/>
    <w:rsid w:val="00CB209B"/>
    <w:rsid w:val="00CB2843"/>
    <w:rsid w:val="00CB5E24"/>
    <w:rsid w:val="00CB6B70"/>
    <w:rsid w:val="00CB7248"/>
    <w:rsid w:val="00CC3509"/>
    <w:rsid w:val="00CC4178"/>
    <w:rsid w:val="00CC69AE"/>
    <w:rsid w:val="00CC739E"/>
    <w:rsid w:val="00CD2A8E"/>
    <w:rsid w:val="00CD41F1"/>
    <w:rsid w:val="00CD4A0A"/>
    <w:rsid w:val="00CD5555"/>
    <w:rsid w:val="00CD58B7"/>
    <w:rsid w:val="00CD76EE"/>
    <w:rsid w:val="00CE3297"/>
    <w:rsid w:val="00CE3326"/>
    <w:rsid w:val="00CE755A"/>
    <w:rsid w:val="00CF1BC8"/>
    <w:rsid w:val="00CF34B7"/>
    <w:rsid w:val="00CF4099"/>
    <w:rsid w:val="00CF49D0"/>
    <w:rsid w:val="00CF6F1A"/>
    <w:rsid w:val="00CF7F84"/>
    <w:rsid w:val="00D00796"/>
    <w:rsid w:val="00D011D1"/>
    <w:rsid w:val="00D02248"/>
    <w:rsid w:val="00D04BE9"/>
    <w:rsid w:val="00D04F5A"/>
    <w:rsid w:val="00D06BA6"/>
    <w:rsid w:val="00D10D36"/>
    <w:rsid w:val="00D119F1"/>
    <w:rsid w:val="00D217A4"/>
    <w:rsid w:val="00D244D7"/>
    <w:rsid w:val="00D24F57"/>
    <w:rsid w:val="00D25EA0"/>
    <w:rsid w:val="00D261A2"/>
    <w:rsid w:val="00D27A55"/>
    <w:rsid w:val="00D3099D"/>
    <w:rsid w:val="00D30F4A"/>
    <w:rsid w:val="00D340D2"/>
    <w:rsid w:val="00D353A5"/>
    <w:rsid w:val="00D410F9"/>
    <w:rsid w:val="00D41B07"/>
    <w:rsid w:val="00D44FF9"/>
    <w:rsid w:val="00D467D5"/>
    <w:rsid w:val="00D46F4B"/>
    <w:rsid w:val="00D505E6"/>
    <w:rsid w:val="00D51E5E"/>
    <w:rsid w:val="00D5213F"/>
    <w:rsid w:val="00D5343E"/>
    <w:rsid w:val="00D53B7B"/>
    <w:rsid w:val="00D5687B"/>
    <w:rsid w:val="00D616D2"/>
    <w:rsid w:val="00D622A2"/>
    <w:rsid w:val="00D63247"/>
    <w:rsid w:val="00D63B5F"/>
    <w:rsid w:val="00D64DFD"/>
    <w:rsid w:val="00D67AB6"/>
    <w:rsid w:val="00D70EF7"/>
    <w:rsid w:val="00D71E97"/>
    <w:rsid w:val="00D73824"/>
    <w:rsid w:val="00D75766"/>
    <w:rsid w:val="00D763AB"/>
    <w:rsid w:val="00D81499"/>
    <w:rsid w:val="00D8397C"/>
    <w:rsid w:val="00D84642"/>
    <w:rsid w:val="00D901C1"/>
    <w:rsid w:val="00D94EED"/>
    <w:rsid w:val="00D96026"/>
    <w:rsid w:val="00D97805"/>
    <w:rsid w:val="00DA1A33"/>
    <w:rsid w:val="00DA1ADF"/>
    <w:rsid w:val="00DA2277"/>
    <w:rsid w:val="00DA44D1"/>
    <w:rsid w:val="00DA7178"/>
    <w:rsid w:val="00DA7C1C"/>
    <w:rsid w:val="00DB01CF"/>
    <w:rsid w:val="00DB147A"/>
    <w:rsid w:val="00DB1B7A"/>
    <w:rsid w:val="00DB1D8F"/>
    <w:rsid w:val="00DB3316"/>
    <w:rsid w:val="00DB37FB"/>
    <w:rsid w:val="00DB4202"/>
    <w:rsid w:val="00DB78BB"/>
    <w:rsid w:val="00DC1AC0"/>
    <w:rsid w:val="00DC2C5D"/>
    <w:rsid w:val="00DC2F55"/>
    <w:rsid w:val="00DC6708"/>
    <w:rsid w:val="00DD75CE"/>
    <w:rsid w:val="00DD7B3E"/>
    <w:rsid w:val="00DE392E"/>
    <w:rsid w:val="00DE6AAB"/>
    <w:rsid w:val="00DF20E4"/>
    <w:rsid w:val="00DF2ED5"/>
    <w:rsid w:val="00DF50E2"/>
    <w:rsid w:val="00DF68D3"/>
    <w:rsid w:val="00E0029A"/>
    <w:rsid w:val="00E01436"/>
    <w:rsid w:val="00E044A1"/>
    <w:rsid w:val="00E045BD"/>
    <w:rsid w:val="00E04C9B"/>
    <w:rsid w:val="00E0657E"/>
    <w:rsid w:val="00E108A8"/>
    <w:rsid w:val="00E13E32"/>
    <w:rsid w:val="00E17B77"/>
    <w:rsid w:val="00E20190"/>
    <w:rsid w:val="00E23337"/>
    <w:rsid w:val="00E240FE"/>
    <w:rsid w:val="00E259EA"/>
    <w:rsid w:val="00E32061"/>
    <w:rsid w:val="00E33F53"/>
    <w:rsid w:val="00E36370"/>
    <w:rsid w:val="00E36A24"/>
    <w:rsid w:val="00E41430"/>
    <w:rsid w:val="00E42FF9"/>
    <w:rsid w:val="00E46AA5"/>
    <w:rsid w:val="00E4714C"/>
    <w:rsid w:val="00E51AEB"/>
    <w:rsid w:val="00E522A7"/>
    <w:rsid w:val="00E52E6F"/>
    <w:rsid w:val="00E53FB8"/>
    <w:rsid w:val="00E54452"/>
    <w:rsid w:val="00E55AFD"/>
    <w:rsid w:val="00E5650A"/>
    <w:rsid w:val="00E62D8A"/>
    <w:rsid w:val="00E664C5"/>
    <w:rsid w:val="00E671A2"/>
    <w:rsid w:val="00E71E3B"/>
    <w:rsid w:val="00E7297F"/>
    <w:rsid w:val="00E76D26"/>
    <w:rsid w:val="00E81BB3"/>
    <w:rsid w:val="00E8363B"/>
    <w:rsid w:val="00E84EE4"/>
    <w:rsid w:val="00E85DBC"/>
    <w:rsid w:val="00E8667C"/>
    <w:rsid w:val="00E86B59"/>
    <w:rsid w:val="00E8747B"/>
    <w:rsid w:val="00E93D2F"/>
    <w:rsid w:val="00E95607"/>
    <w:rsid w:val="00EA2819"/>
    <w:rsid w:val="00EB11CD"/>
    <w:rsid w:val="00EB1390"/>
    <w:rsid w:val="00EB2A4D"/>
    <w:rsid w:val="00EB2C71"/>
    <w:rsid w:val="00EB4340"/>
    <w:rsid w:val="00EB556D"/>
    <w:rsid w:val="00EB5A7D"/>
    <w:rsid w:val="00EB6B30"/>
    <w:rsid w:val="00EC001A"/>
    <w:rsid w:val="00EC0F11"/>
    <w:rsid w:val="00EC2033"/>
    <w:rsid w:val="00EC32BB"/>
    <w:rsid w:val="00ED0AB4"/>
    <w:rsid w:val="00ED48F8"/>
    <w:rsid w:val="00ED55C0"/>
    <w:rsid w:val="00ED682B"/>
    <w:rsid w:val="00EE3087"/>
    <w:rsid w:val="00EE347A"/>
    <w:rsid w:val="00EE41D5"/>
    <w:rsid w:val="00EE5AAC"/>
    <w:rsid w:val="00EE63BD"/>
    <w:rsid w:val="00EE70D6"/>
    <w:rsid w:val="00EE739F"/>
    <w:rsid w:val="00EF28CA"/>
    <w:rsid w:val="00EF3714"/>
    <w:rsid w:val="00EF3840"/>
    <w:rsid w:val="00EF4008"/>
    <w:rsid w:val="00EF42ED"/>
    <w:rsid w:val="00EF46A1"/>
    <w:rsid w:val="00EF496C"/>
    <w:rsid w:val="00EF5E11"/>
    <w:rsid w:val="00EF72B5"/>
    <w:rsid w:val="00F0064F"/>
    <w:rsid w:val="00F01CED"/>
    <w:rsid w:val="00F037A4"/>
    <w:rsid w:val="00F11D84"/>
    <w:rsid w:val="00F120A6"/>
    <w:rsid w:val="00F13611"/>
    <w:rsid w:val="00F13855"/>
    <w:rsid w:val="00F14E66"/>
    <w:rsid w:val="00F22792"/>
    <w:rsid w:val="00F23108"/>
    <w:rsid w:val="00F236CD"/>
    <w:rsid w:val="00F274AF"/>
    <w:rsid w:val="00F27C8F"/>
    <w:rsid w:val="00F30925"/>
    <w:rsid w:val="00F31B7A"/>
    <w:rsid w:val="00F3249F"/>
    <w:rsid w:val="00F32749"/>
    <w:rsid w:val="00F354AD"/>
    <w:rsid w:val="00F363EC"/>
    <w:rsid w:val="00F367EB"/>
    <w:rsid w:val="00F37172"/>
    <w:rsid w:val="00F413A0"/>
    <w:rsid w:val="00F42313"/>
    <w:rsid w:val="00F4477E"/>
    <w:rsid w:val="00F44903"/>
    <w:rsid w:val="00F461C5"/>
    <w:rsid w:val="00F46F5C"/>
    <w:rsid w:val="00F479CD"/>
    <w:rsid w:val="00F55B3A"/>
    <w:rsid w:val="00F6162B"/>
    <w:rsid w:val="00F6328B"/>
    <w:rsid w:val="00F65E7B"/>
    <w:rsid w:val="00F67D8F"/>
    <w:rsid w:val="00F70787"/>
    <w:rsid w:val="00F70C29"/>
    <w:rsid w:val="00F7354E"/>
    <w:rsid w:val="00F74BCF"/>
    <w:rsid w:val="00F75D7E"/>
    <w:rsid w:val="00F8009F"/>
    <w:rsid w:val="00F802BE"/>
    <w:rsid w:val="00F80E93"/>
    <w:rsid w:val="00F86024"/>
    <w:rsid w:val="00F8611A"/>
    <w:rsid w:val="00F87B2C"/>
    <w:rsid w:val="00F91151"/>
    <w:rsid w:val="00F9411A"/>
    <w:rsid w:val="00F961BB"/>
    <w:rsid w:val="00FA1CA9"/>
    <w:rsid w:val="00FA31C7"/>
    <w:rsid w:val="00FA5128"/>
    <w:rsid w:val="00FA7215"/>
    <w:rsid w:val="00FB0943"/>
    <w:rsid w:val="00FB42D4"/>
    <w:rsid w:val="00FB526D"/>
    <w:rsid w:val="00FB5906"/>
    <w:rsid w:val="00FB59DE"/>
    <w:rsid w:val="00FB5B02"/>
    <w:rsid w:val="00FB762F"/>
    <w:rsid w:val="00FC1CC0"/>
    <w:rsid w:val="00FC2330"/>
    <w:rsid w:val="00FC2AED"/>
    <w:rsid w:val="00FC69C3"/>
    <w:rsid w:val="00FC6D97"/>
    <w:rsid w:val="00FC6E7E"/>
    <w:rsid w:val="00FD33FC"/>
    <w:rsid w:val="00FD376B"/>
    <w:rsid w:val="00FD3856"/>
    <w:rsid w:val="00FD4CA6"/>
    <w:rsid w:val="00FD5EA7"/>
    <w:rsid w:val="00FE0E1C"/>
    <w:rsid w:val="00FE4F24"/>
    <w:rsid w:val="00FF0615"/>
    <w:rsid w:val="00FF08C3"/>
    <w:rsid w:val="00FF11A5"/>
    <w:rsid w:val="00FF4F84"/>
    <w:rsid w:val="00FF5840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C75BB-7667-4FB0-BC63-7FF676B9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559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E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55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559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001559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000E3B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0015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001559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6288FF" w:themeColor="accent1" w:themeTint="66"/>
        <w:left w:val="single" w:sz="4" w:space="0" w:color="6288FF" w:themeColor="accent1" w:themeTint="66"/>
        <w:bottom w:val="single" w:sz="4" w:space="0" w:color="6288FF" w:themeColor="accent1" w:themeTint="66"/>
        <w:right w:val="single" w:sz="4" w:space="0" w:color="6288FF" w:themeColor="accent1" w:themeTint="66"/>
        <w:insideH w:val="single" w:sz="4" w:space="0" w:color="6288FF" w:themeColor="accent1" w:themeTint="66"/>
        <w:insideV w:val="single" w:sz="4" w:space="0" w:color="628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44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44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A4C31"/>
    <w:rPr>
      <w:color w:val="605D5C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04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E8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3.xml"/><Relationship Id="rId21" Type="http://schemas.openxmlformats.org/officeDocument/2006/relationships/image" Target="media/image4.jpeg"/><Relationship Id="rId42" Type="http://schemas.openxmlformats.org/officeDocument/2006/relationships/hyperlink" Target="https://stat.gov.pl/obszary-tematyczne/warunki-zycia/dochody-wydatki-i-warunki-zycia-ludnosci/budzety-gospodarstw-domowych-w-2017-r-,9,12.html" TargetMode="External"/><Relationship Id="rId47" Type="http://schemas.openxmlformats.org/officeDocument/2006/relationships/hyperlink" Target="http://swaid.stat.gov.pl/WarunkiZyciaLudnosci_dashboards/Raporty_predefiniowane/RAP_DBD_WZL_2.aspx" TargetMode="External"/><Relationship Id="rId63" Type="http://schemas.openxmlformats.org/officeDocument/2006/relationships/hyperlink" Target="http://stat.gov.pl/obszary-tematyczne/warunki-zycia/dochody-wydatki-i-warunki-zycia-ludnosci/sytuacja-spoleczno-ekonomiczna-gospodarstw-domowych-w-latach-2000-2015-zroznicowanie-miasto-wies,5,2.html" TargetMode="External"/><Relationship Id="rId68" Type="http://schemas.openxmlformats.org/officeDocument/2006/relationships/hyperlink" Target="https://stat.gov.pl/metainformacje/slownik-pojec/pojecia-stosowane-w-statystyce-publicznej/28,pojecie.html" TargetMode="External"/><Relationship Id="rId84" Type="http://schemas.openxmlformats.org/officeDocument/2006/relationships/header" Target="header3.xml"/><Relationship Id="rId16" Type="http://schemas.openxmlformats.org/officeDocument/2006/relationships/chart" Target="charts/chart5.xml"/><Relationship Id="rId11" Type="http://schemas.openxmlformats.org/officeDocument/2006/relationships/image" Target="media/image3.emf"/><Relationship Id="rId32" Type="http://schemas.openxmlformats.org/officeDocument/2006/relationships/chart" Target="charts/chart18.xml"/><Relationship Id="rId37" Type="http://schemas.openxmlformats.org/officeDocument/2006/relationships/header" Target="header2.xml"/><Relationship Id="rId53" Type="http://schemas.openxmlformats.org/officeDocument/2006/relationships/hyperlink" Target="https://stat.gov.pl/metainformacje/slownik-pojec/pojecia-stosowane-w-statystyce-publicznej/2585,pojecie.html" TargetMode="External"/><Relationship Id="rId58" Type="http://schemas.openxmlformats.org/officeDocument/2006/relationships/hyperlink" Target="https://stat.gov.pl/metainformacje/slownik-pojec/pojecia-stosowane-w-statystyce-publicznej/601,pojecie.html" TargetMode="External"/><Relationship Id="rId74" Type="http://schemas.openxmlformats.org/officeDocument/2006/relationships/hyperlink" Target="https://stat.gov.pl/metainformacje/slownik-pojec/pojecia-stosowane-w-statystyce-publicznej/468,pojecie.html" TargetMode="External"/><Relationship Id="rId79" Type="http://schemas.openxmlformats.org/officeDocument/2006/relationships/hyperlink" Target="https://stat.gov.pl/metainformacje/slownik-pojec/pojecia-stosowane-w-statystyce-publicznej/3583,pojecie.html" TargetMode="External"/><Relationship Id="rId5" Type="http://schemas.openxmlformats.org/officeDocument/2006/relationships/numbering" Target="numbering.xml"/><Relationship Id="rId19" Type="http://schemas.openxmlformats.org/officeDocument/2006/relationships/chart" Target="charts/chart8.xml"/><Relationship Id="rId14" Type="http://schemas.openxmlformats.org/officeDocument/2006/relationships/chart" Target="charts/chart3.xml"/><Relationship Id="rId22" Type="http://schemas.openxmlformats.org/officeDocument/2006/relationships/image" Target="media/image5.jpeg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header" Target="header1.xml"/><Relationship Id="rId43" Type="http://schemas.openxmlformats.org/officeDocument/2006/relationships/hyperlink" Target="https://stat.gov.pl/obszary-tematyczne/warunki-zycia/dochody-wydatki-i-warunki-zycia-ludnosci/sytuacja-gospodarstw-domowych-w-2017-r-w-swietle-wynikow-badania-budzetow-gospodarstw-domowych,3,17.html" TargetMode="External"/><Relationship Id="rId48" Type="http://schemas.openxmlformats.org/officeDocument/2006/relationships/hyperlink" Target="http://swaid.stat.gov.pl/WarunkiZyciaLudnosci_dashboards/Raporty_predefiniowane/RAP_DBD_WZL_3.aspx" TargetMode="External"/><Relationship Id="rId56" Type="http://schemas.openxmlformats.org/officeDocument/2006/relationships/hyperlink" Target="https://stat.gov.pl/metainformacje/slownik-pojec/pojecia-stosowane-w-statystyce-publicznej/3590,pojecie.html" TargetMode="External"/><Relationship Id="rId64" Type="http://schemas.openxmlformats.org/officeDocument/2006/relationships/hyperlink" Target="https://bdl.stat.gov.pl/BDL/metadane/podgrupy/10?back=True" TargetMode="External"/><Relationship Id="rId69" Type="http://schemas.openxmlformats.org/officeDocument/2006/relationships/hyperlink" Target="https://stat.gov.pl/metainformacje/slownik-pojec/pojecia-stosowane-w-statystyce-publicznej/62,pojecie.html" TargetMode="External"/><Relationship Id="rId77" Type="http://schemas.openxmlformats.org/officeDocument/2006/relationships/hyperlink" Target="https://stat.gov.pl/metainformacje/slownik-pojec/pojecia-stosowane-w-statystyce-publicznej/601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stat.gov.pl/metainformacje/slownik-pojec/pojecia-stosowane-w-statystyce-publicznej/63,pojecie.html" TargetMode="External"/><Relationship Id="rId72" Type="http://schemas.openxmlformats.org/officeDocument/2006/relationships/hyperlink" Target="https://stat.gov.pl/metainformacje/slownik-pojec/pojecia-stosowane-w-statystyce-publicznej/2585,pojecie.html" TargetMode="External"/><Relationship Id="rId80" Type="http://schemas.openxmlformats.org/officeDocument/2006/relationships/hyperlink" Target="mailto:obslugaprasowa@stat.gov.pl" TargetMode="External"/><Relationship Id="rId85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2.xml"/><Relationship Id="rId33" Type="http://schemas.openxmlformats.org/officeDocument/2006/relationships/chart" Target="charts/chart19.xml"/><Relationship Id="rId38" Type="http://schemas.openxmlformats.org/officeDocument/2006/relationships/footer" Target="footer2.xml"/><Relationship Id="rId46" Type="http://schemas.openxmlformats.org/officeDocument/2006/relationships/hyperlink" Target="http://swaid.stat.gov.pl/WarunkiZyciaLudnosci_dashboards/Raporty_predefiniowane/RAP_DBD_WZL_1.aspx" TargetMode="External"/><Relationship Id="rId59" Type="http://schemas.openxmlformats.org/officeDocument/2006/relationships/hyperlink" Target="https://stat.gov.pl/metainformacje/slownik-pojec/pojecia-stosowane-w-statystyce-publicznej/873,pojecie.html" TargetMode="External"/><Relationship Id="rId67" Type="http://schemas.openxmlformats.org/officeDocument/2006/relationships/hyperlink" Target="http://swaid.stat.gov.pl/WarunkiZyciaLudnosci_dashboards/Raporty_predefiniowane/RAP_DBD_WZL_3.aspx" TargetMode="External"/><Relationship Id="rId20" Type="http://schemas.openxmlformats.org/officeDocument/2006/relationships/chart" Target="charts/chart9.xml"/><Relationship Id="rId41" Type="http://schemas.openxmlformats.org/officeDocument/2006/relationships/hyperlink" Target="mailto:rzecznik@stat.gov.pl" TargetMode="External"/><Relationship Id="rId54" Type="http://schemas.openxmlformats.org/officeDocument/2006/relationships/hyperlink" Target="https://stat.gov.pl/metainformacje/slownik-pojec/pojecia-stosowane-w-statystyce-publicznej/2858,pojecie.html" TargetMode="External"/><Relationship Id="rId62" Type="http://schemas.openxmlformats.org/officeDocument/2006/relationships/hyperlink" Target="https://stat.gov.pl/obszary-tematyczne/warunki-zycia/dochody-wydatki-i-warunki-zycia-ludnosci/sytuacja-gospodarstw-domowych-w-2017-r-w-swietle-wynikow-badania-budzetow-gospodarstw-domowych,3,17.html" TargetMode="External"/><Relationship Id="rId70" Type="http://schemas.openxmlformats.org/officeDocument/2006/relationships/hyperlink" Target="https://stat.gov.pl/metainformacje/slownik-pojec/pojecia-stosowane-w-statystyce-publicznej/63,pojecie.html" TargetMode="External"/><Relationship Id="rId75" Type="http://schemas.openxmlformats.org/officeDocument/2006/relationships/hyperlink" Target="https://stat.gov.pl/metainformacje/slownik-pojec/pojecia-stosowane-w-statystyce-publicznej/3590,pojecie.html" TargetMode="External"/><Relationship Id="rId83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footer" Target="footer1.xml"/><Relationship Id="rId49" Type="http://schemas.openxmlformats.org/officeDocument/2006/relationships/hyperlink" Target="https://stat.gov.pl/metainformacje/slownik-pojec/pojecia-stosowane-w-statystyce-publicznej/28,pojecie.html" TargetMode="External"/><Relationship Id="rId57" Type="http://schemas.openxmlformats.org/officeDocument/2006/relationships/hyperlink" Target="https://stat.gov.pl/metainformacje/slownik-pojec/pojecia-stosowane-w-statystyce-publicznej/3580,pojecie.html" TargetMode="External"/><Relationship Id="rId10" Type="http://schemas.openxmlformats.org/officeDocument/2006/relationships/endnotes" Target="endnotes.xml"/><Relationship Id="rId31" Type="http://schemas.openxmlformats.org/officeDocument/2006/relationships/image" Target="media/image6.jpeg"/><Relationship Id="rId44" Type="http://schemas.openxmlformats.org/officeDocument/2006/relationships/hyperlink" Target="http://stat.gov.pl/obszary-tematyczne/warunki-zycia/dochody-wydatki-i-warunki-zycia-ludnosci/sytuacja-spoleczno-ekonomiczna-gospodarstw-domowych-w-latach-2000-2015-zroznicowanie-miasto-wies,5,2.html" TargetMode="External"/><Relationship Id="rId52" Type="http://schemas.openxmlformats.org/officeDocument/2006/relationships/hyperlink" Target="https://stat.gov.pl/metainformacje/slownik-pojec/pojecia-stosowane-w-statystyce-publicznej/103,pojecie.html" TargetMode="External"/><Relationship Id="rId60" Type="http://schemas.openxmlformats.org/officeDocument/2006/relationships/hyperlink" Target="https://stat.gov.pl/metainformacje/slownik-pojec/pojecia-stosowane-w-statystyce-publicznej/3583,pojecie.html" TargetMode="External"/><Relationship Id="rId65" Type="http://schemas.openxmlformats.org/officeDocument/2006/relationships/hyperlink" Target="http://swaid.stat.gov.pl/WarunkiZyciaLudnosci_dashboards/Raporty_predefiniowane/RAP_DBD_WZL_1.aspx" TargetMode="External"/><Relationship Id="rId73" Type="http://schemas.openxmlformats.org/officeDocument/2006/relationships/hyperlink" Target="https://stat.gov.pl/metainformacje/slownik-pojec/pojecia-stosowane-w-statystyce-publicznej/2858,pojecie.html" TargetMode="External"/><Relationship Id="rId78" Type="http://schemas.openxmlformats.org/officeDocument/2006/relationships/hyperlink" Target="https://stat.gov.pl/metainformacje/slownik-pojec/pojecia-stosowane-w-statystyce-publicznej/873,pojecie.html" TargetMode="External"/><Relationship Id="rId81" Type="http://schemas.openxmlformats.org/officeDocument/2006/relationships/image" Target="media/image8.png"/><Relationship Id="rId8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9" Type="http://schemas.openxmlformats.org/officeDocument/2006/relationships/chart" Target="charts/chart21.xml"/><Relationship Id="rId34" Type="http://schemas.openxmlformats.org/officeDocument/2006/relationships/chart" Target="charts/chart20.xml"/><Relationship Id="rId50" Type="http://schemas.openxmlformats.org/officeDocument/2006/relationships/hyperlink" Target="https://stat.gov.pl/metainformacje/slownik-pojec/pojecia-stosowane-w-statystyce-publicznej/62,pojecie.html" TargetMode="External"/><Relationship Id="rId55" Type="http://schemas.openxmlformats.org/officeDocument/2006/relationships/hyperlink" Target="https://stat.gov.pl/metainformacje/slownik-pojec/pojecia-stosowane-w-statystyce-publicznej/468,pojecie.html" TargetMode="External"/><Relationship Id="rId76" Type="http://schemas.openxmlformats.org/officeDocument/2006/relationships/hyperlink" Target="https://stat.gov.pl/metainformacje/slownik-pojec/pojecia-stosowane-w-statystyce-publicznej/3580,pojecie.htm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stat.gov.pl/metainformacje/slownik-pojec/pojecia-stosowane-w-statystyce-publicznej/103,pojecie.html" TargetMode="External"/><Relationship Id="rId2" Type="http://schemas.openxmlformats.org/officeDocument/2006/relationships/customXml" Target="../customXml/item2.xml"/><Relationship Id="rId29" Type="http://schemas.openxmlformats.org/officeDocument/2006/relationships/chart" Target="charts/chart16.xml"/><Relationship Id="rId24" Type="http://schemas.openxmlformats.org/officeDocument/2006/relationships/chart" Target="charts/chart11.xml"/><Relationship Id="rId40" Type="http://schemas.openxmlformats.org/officeDocument/2006/relationships/hyperlink" Target="mailto:K.Siwiak@stat.gov.pl" TargetMode="External"/><Relationship Id="rId45" Type="http://schemas.openxmlformats.org/officeDocument/2006/relationships/hyperlink" Target="https://bdl.stat.gov.pl/BDL/metadane/podgrupy/10?back=True" TargetMode="External"/><Relationship Id="rId66" Type="http://schemas.openxmlformats.org/officeDocument/2006/relationships/hyperlink" Target="http://swaid.stat.gov.pl/WarunkiZyciaLudnosci_dashboards/Raporty_predefiniowane/RAP_DBD_WZL_2.aspx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stat.gov.pl/obszary-tematyczne/warunki-zycia/dochody-wydatki-i-warunki-zycia-ludnosci/budzety-gospodarstw-domowych-w-2017-r-,9,12.html" TargetMode="External"/><Relationship Id="rId8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0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1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PUBLIKACJE,%20NOTATKI\NOTATKA%20maj%202019\BGD%20Notatka_Publikacja%20za%202018%20wykresy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8914745031871022E-2"/>
          <c:y val="0.28254584896130885"/>
          <c:w val="0.92008928571428572"/>
          <c:h val="0.62928994817417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 dochody,wydatki lata'!$C$4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 dochody,wydatki lata'!$B$6:$B$20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'1 dochody,wydatki lata'!$C$6:$C$20</c:f>
              <c:numCache>
                <c:formatCode>General</c:formatCode>
                <c:ptCount val="15"/>
                <c:pt idx="0" formatCode="0.00">
                  <c:v>735.4</c:v>
                </c:pt>
                <c:pt idx="1">
                  <c:v>761.46</c:v>
                </c:pt>
                <c:pt idx="2">
                  <c:v>834.68</c:v>
                </c:pt>
                <c:pt idx="3">
                  <c:v>928.87</c:v>
                </c:pt>
                <c:pt idx="4">
                  <c:v>1045.52</c:v>
                </c:pt>
                <c:pt idx="5">
                  <c:v>1114.49</c:v>
                </c:pt>
                <c:pt idx="6">
                  <c:v>1200.82</c:v>
                </c:pt>
                <c:pt idx="7">
                  <c:v>1234.6300000000001</c:v>
                </c:pt>
                <c:pt idx="8">
                  <c:v>1278.43</c:v>
                </c:pt>
                <c:pt idx="9" formatCode="0.00">
                  <c:v>1299.07</c:v>
                </c:pt>
                <c:pt idx="10" formatCode="0.00">
                  <c:v>1340.44</c:v>
                </c:pt>
                <c:pt idx="11" formatCode="0.00">
                  <c:v>1386.16</c:v>
                </c:pt>
                <c:pt idx="12" formatCode="0.00">
                  <c:v>1474.56</c:v>
                </c:pt>
                <c:pt idx="13" formatCode="0.00">
                  <c:v>1598.13</c:v>
                </c:pt>
                <c:pt idx="14">
                  <c:v>1693.46</c:v>
                </c:pt>
              </c:numCache>
            </c:numRef>
          </c:val>
        </c:ser>
        <c:ser>
          <c:idx val="1"/>
          <c:order val="1"/>
          <c:tx>
            <c:strRef>
              <c:f>'1 dochody,wydatki lata'!$D$4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 dochody,wydatki lata'!$B$6:$B$20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'1 dochody,wydatki lata'!$D$6:$D$20</c:f>
              <c:numCache>
                <c:formatCode>0.00</c:formatCode>
                <c:ptCount val="15"/>
                <c:pt idx="0">
                  <c:v>701.84</c:v>
                </c:pt>
                <c:pt idx="1">
                  <c:v>696.58999999999992</c:v>
                </c:pt>
                <c:pt idx="2">
                  <c:v>751.46999999999991</c:v>
                </c:pt>
                <c:pt idx="3">
                  <c:v>816.1400000000001</c:v>
                </c:pt>
                <c:pt idx="4">
                  <c:v>910.76</c:v>
                </c:pt>
                <c:pt idx="5">
                  <c:v>963.94999999999993</c:v>
                </c:pt>
                <c:pt idx="6">
                  <c:v>1005.0300000000001</c:v>
                </c:pt>
                <c:pt idx="7">
                  <c:v>1027.69</c:v>
                </c:pt>
                <c:pt idx="8">
                  <c:v>1058.9100000000001</c:v>
                </c:pt>
                <c:pt idx="9">
                  <c:v>1061.7</c:v>
                </c:pt>
                <c:pt idx="10">
                  <c:v>1078.74</c:v>
                </c:pt>
                <c:pt idx="11">
                  <c:v>1091.19</c:v>
                </c:pt>
                <c:pt idx="12">
                  <c:v>1131.6400000000001</c:v>
                </c:pt>
                <c:pt idx="13">
                  <c:v>1176.44</c:v>
                </c:pt>
                <c:pt idx="14" formatCode="General">
                  <c:v>1186.8599999999999</c:v>
                </c:pt>
              </c:numCache>
            </c:numRef>
          </c:val>
        </c:ser>
        <c:ser>
          <c:idx val="2"/>
          <c:order val="2"/>
          <c:tx>
            <c:strRef>
              <c:f>'1 dochody,wydatki lata'!$E$4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ysClr val="window" lastClr="FFFFFF">
                  <a:lumMod val="75000"/>
                </a:sysClr>
              </a:solidFill>
            </a:ln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6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7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8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9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10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11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12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13"/>
            <c:invertIfNegative val="0"/>
            <c:bubble3D val="0"/>
            <c:spPr>
              <a:noFill/>
              <a:ln w="3175">
                <a:noFill/>
              </a:ln>
            </c:spPr>
          </c:dPt>
          <c:dPt>
            <c:idx val="14"/>
            <c:invertIfNegative val="0"/>
            <c:bubble3D val="0"/>
            <c:spPr>
              <a:noFill/>
              <a:ln w="3175">
                <a:noFill/>
              </a:ln>
            </c:spPr>
          </c:dPt>
          <c:dLbls>
            <c:spPr>
              <a:solidFill>
                <a:sysClr val="window" lastClr="FFFFFF">
                  <a:lumMod val="85000"/>
                </a:sysClr>
              </a:solidFill>
            </c:spPr>
            <c:txPr>
              <a:bodyPr/>
              <a:lstStyle/>
              <a:p>
                <a:pPr>
                  <a:defRPr sz="800" spc="-30" baseline="0">
                    <a:latin typeface="Fira Sans Extra Condensed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 dochody,wydatki lata'!$B$6:$B$20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'1 dochody,wydatki lata'!$E$6:$E$20</c:f>
              <c:numCache>
                <c:formatCode>0.0%</c:formatCode>
                <c:ptCount val="15"/>
                <c:pt idx="0">
                  <c:v>0.95436497144411214</c:v>
                </c:pt>
                <c:pt idx="1">
                  <c:v>0.91480839440023098</c:v>
                </c:pt>
                <c:pt idx="2">
                  <c:v>0.90030910049360224</c:v>
                </c:pt>
                <c:pt idx="3">
                  <c:v>0.87863748425506272</c:v>
                </c:pt>
                <c:pt idx="4">
                  <c:v>0.87110720024485422</c:v>
                </c:pt>
                <c:pt idx="5">
                  <c:v>0.86492476379330452</c:v>
                </c:pt>
                <c:pt idx="6">
                  <c:v>0.83695308206059205</c:v>
                </c:pt>
                <c:pt idx="7">
                  <c:v>0.83238703093234412</c:v>
                </c:pt>
                <c:pt idx="8">
                  <c:v>0.82828938620026127</c:v>
                </c:pt>
                <c:pt idx="9">
                  <c:v>0.81727697506677865</c:v>
                </c:pt>
                <c:pt idx="10">
                  <c:v>0.80476559935543546</c:v>
                </c:pt>
                <c:pt idx="11">
                  <c:v>0.78720349743175388</c:v>
                </c:pt>
                <c:pt idx="12">
                  <c:v>0.76744249131944453</c:v>
                </c:pt>
                <c:pt idx="13">
                  <c:v>0.73613535819989606</c:v>
                </c:pt>
                <c:pt idx="14">
                  <c:v>0.70084914907939955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-1411270960"/>
        <c:axId val="-1411272592"/>
      </c:barChart>
      <c:catAx>
        <c:axId val="-141127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11272592"/>
        <c:crosses val="autoZero"/>
        <c:auto val="1"/>
        <c:lblAlgn val="ctr"/>
        <c:lblOffset val="100"/>
        <c:noMultiLvlLbl val="0"/>
      </c:catAx>
      <c:valAx>
        <c:axId val="-1411272592"/>
        <c:scaling>
          <c:orientation val="minMax"/>
          <c:max val="2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1270960"/>
        <c:crosses val="autoZero"/>
        <c:crossBetween val="between"/>
        <c:majorUnit val="200"/>
      </c:valAx>
    </c:plotArea>
    <c:legend>
      <c:legendPos val="r"/>
      <c:layout>
        <c:manualLayout>
          <c:xMode val="edge"/>
          <c:yMode val="edge"/>
          <c:x val="6.6475550727226426E-2"/>
          <c:y val="0.17526460972450073"/>
          <c:w val="0.92112358212568168"/>
          <c:h val="9.7542915625119228E-2"/>
        </c:manualLayout>
      </c:layout>
      <c:overlay val="0"/>
      <c:spPr>
        <a:solidFill>
          <a:sysClr val="window" lastClr="FFFFFF"/>
        </a:solidFill>
        <a:ln w="6350">
          <a:noFill/>
        </a:ln>
      </c:spPr>
      <c:txPr>
        <a:bodyPr/>
        <a:lstStyle/>
        <a:p>
          <a:pPr rtl="0">
            <a:defRPr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2470238095238101E-2"/>
          <c:y val="0.29407587283770226"/>
          <c:w val="0.917609126984127"/>
          <c:h val="0.517079234996397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'24 doch. wyd. typ biol.'!$B$4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1"/>
              <c:layout>
                <c:manualLayout>
                  <c:x val="0"/>
                  <c:y val="9.28362573099414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'24 doch. wyd. typ biol.'!$C$3:$G$3</c:f>
              <c:strCache>
                <c:ptCount val="5"/>
                <c:pt idx="0">
                  <c:v>Ogółem</c:v>
                </c:pt>
                <c:pt idx="1">
                  <c:v>małżeństwa
bez dzieci</c:v>
                </c:pt>
                <c:pt idx="2">
                  <c:v>małżeństwa
z dziećmi
na utrzymaniu</c:v>
                </c:pt>
                <c:pt idx="3">
                  <c:v>małżeństwa
z 3 i więcej dzieci </c:v>
                </c:pt>
                <c:pt idx="4">
                  <c:v>matka lub ojciec
z dziećmi</c:v>
                </c:pt>
              </c:strCache>
            </c:strRef>
          </c:cat>
          <c:val>
            <c:numRef>
              <c:f>'24 doch. wyd. typ biol.'!$C$4:$G$4</c:f>
              <c:numCache>
                <c:formatCode>0</c:formatCode>
                <c:ptCount val="5"/>
                <c:pt idx="0">
                  <c:v>1693.46</c:v>
                </c:pt>
                <c:pt idx="1">
                  <c:v>2195.0700000000002</c:v>
                </c:pt>
                <c:pt idx="2">
                  <c:v>1637.35</c:v>
                </c:pt>
                <c:pt idx="3">
                  <c:v>1259.83</c:v>
                </c:pt>
                <c:pt idx="4">
                  <c:v>1385.8</c:v>
                </c:pt>
              </c:numCache>
            </c:numRef>
          </c:val>
        </c:ser>
        <c:ser>
          <c:idx val="1"/>
          <c:order val="1"/>
          <c:tx>
            <c:strRef>
              <c:f>'24 doch. wyd. typ biol.'!$B$5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'24 doch. wyd. typ biol.'!$C$3:$G$3</c:f>
              <c:strCache>
                <c:ptCount val="5"/>
                <c:pt idx="0">
                  <c:v>Ogółem</c:v>
                </c:pt>
                <c:pt idx="1">
                  <c:v>małżeństwa
bez dzieci</c:v>
                </c:pt>
                <c:pt idx="2">
                  <c:v>małżeństwa
z dziećmi
na utrzymaniu</c:v>
                </c:pt>
                <c:pt idx="3">
                  <c:v>małżeństwa
z 3 i więcej dzieci </c:v>
                </c:pt>
                <c:pt idx="4">
                  <c:v>matka lub ojciec
z dziećmi</c:v>
                </c:pt>
              </c:strCache>
            </c:strRef>
          </c:cat>
          <c:val>
            <c:numRef>
              <c:f>'24 doch. wyd. typ biol.'!$C$5:$G$5</c:f>
              <c:numCache>
                <c:formatCode>0</c:formatCode>
                <c:ptCount val="5"/>
                <c:pt idx="0">
                  <c:v>1186.8599999999999</c:v>
                </c:pt>
                <c:pt idx="1">
                  <c:v>1592.6599999999999</c:v>
                </c:pt>
                <c:pt idx="2">
                  <c:v>1161.1399999999999</c:v>
                </c:pt>
                <c:pt idx="3">
                  <c:v>917.17000000000041</c:v>
                </c:pt>
                <c:pt idx="4">
                  <c:v>1144.04</c:v>
                </c:pt>
              </c:numCache>
            </c:numRef>
          </c:val>
        </c:ser>
        <c:ser>
          <c:idx val="2"/>
          <c:order val="2"/>
          <c:tx>
            <c:strRef>
              <c:f>'24 doch. wyd. typ biol.'!$B$6</c:f>
              <c:strCache>
                <c:ptCount val="1"/>
                <c:pt idx="0">
                  <c:v>Udział wydatków w dochodzie rozporządzanym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'24 doch. wyd. typ biol.'!$C$3:$G$3</c:f>
              <c:strCache>
                <c:ptCount val="5"/>
                <c:pt idx="0">
                  <c:v>Ogółem</c:v>
                </c:pt>
                <c:pt idx="1">
                  <c:v>małżeństwa
bez dzieci</c:v>
                </c:pt>
                <c:pt idx="2">
                  <c:v>małżeństwa
z dziećmi
na utrzymaniu</c:v>
                </c:pt>
                <c:pt idx="3">
                  <c:v>małżeństwa
z 3 i więcej dzieci </c:v>
                </c:pt>
                <c:pt idx="4">
                  <c:v>matka lub ojciec
z dziećmi</c:v>
                </c:pt>
              </c:strCache>
            </c:strRef>
          </c:cat>
          <c:val>
            <c:numRef>
              <c:f>'24 doch. wyd. typ biol.'!$C$6:$G$6</c:f>
              <c:numCache>
                <c:formatCode>0.0%</c:formatCode>
                <c:ptCount val="5"/>
                <c:pt idx="0">
                  <c:v>0.70084914907939999</c:v>
                </c:pt>
                <c:pt idx="1">
                  <c:v>0.72556228275180257</c:v>
                </c:pt>
                <c:pt idx="2">
                  <c:v>0.7091580908174796</c:v>
                </c:pt>
                <c:pt idx="3">
                  <c:v>0.72801092210853902</c:v>
                </c:pt>
                <c:pt idx="4">
                  <c:v>0.82554481166113503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-1362534160"/>
        <c:axId val="-1362529808"/>
      </c:barChart>
      <c:catAx>
        <c:axId val="-1362534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2529808"/>
        <c:crosses val="autoZero"/>
        <c:auto val="1"/>
        <c:lblAlgn val="ctr"/>
        <c:lblOffset val="100"/>
        <c:noMultiLvlLbl val="0"/>
      </c:catAx>
      <c:valAx>
        <c:axId val="-1362529808"/>
        <c:scaling>
          <c:orientation val="minMax"/>
          <c:max val="2500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2534160"/>
        <c:crosses val="autoZero"/>
        <c:crossBetween val="between"/>
        <c:majorUnit val="500"/>
        <c:minorUnit val="40"/>
      </c:valAx>
    </c:plotArea>
    <c:legend>
      <c:legendPos val="r"/>
      <c:layout>
        <c:manualLayout>
          <c:xMode val="edge"/>
          <c:yMode val="edge"/>
          <c:x val="6.9832475849406994E-2"/>
          <c:y val="0.20078119126765442"/>
          <c:w val="0.92723999648742794"/>
          <c:h val="7.9331117234256052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2582954406762157E-2"/>
          <c:y val="0.34119688961669326"/>
          <c:w val="0.91746768040607996"/>
          <c:h val="0.529370324036598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'26 dochód 500+_typ.biol.'!$B$4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ln w="38100"/>
            <a:scene3d>
              <a:camera prst="orthographicFront"/>
              <a:lightRig rig="threePt" dir="t"/>
            </a:scene3d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'26 dochód 500+_typ.biol.'!$C$3:$E$3</c:f>
              <c:strCache>
                <c:ptCount val="3"/>
                <c:pt idx="0">
                  <c:v>Ogółem z dziećmi na utrzymaniu</c:v>
                </c:pt>
                <c:pt idx="1">
                  <c:v>Małżeństwo z dziećmi
na utrzymaniu</c:v>
                </c:pt>
                <c:pt idx="2">
                  <c:v>Małżeństwo z 3 lub
większą liczbą dzieci</c:v>
                </c:pt>
              </c:strCache>
            </c:strRef>
          </c:cat>
          <c:val>
            <c:numRef>
              <c:f>'26 dochód 500+_typ.biol.'!$C$4:$E$4</c:f>
              <c:numCache>
                <c:formatCode>0.00</c:formatCode>
                <c:ptCount val="3"/>
                <c:pt idx="0">
                  <c:v>1335.71</c:v>
                </c:pt>
                <c:pt idx="1">
                  <c:v>1431.92</c:v>
                </c:pt>
                <c:pt idx="2">
                  <c:v>1225.69</c:v>
                </c:pt>
              </c:numCache>
            </c:numRef>
          </c:val>
        </c:ser>
        <c:ser>
          <c:idx val="1"/>
          <c:order val="1"/>
          <c:tx>
            <c:strRef>
              <c:f>'26 dochód 500+_typ.biol.'!$B$5</c:f>
              <c:strCache>
                <c:ptCount val="1"/>
                <c:pt idx="0">
                  <c:v>Udział świadczenia wychowawczego w dochodzie rozporządzalnym</c:v>
                </c:pt>
              </c:strCache>
            </c:strRef>
          </c:tx>
          <c:spPr>
            <a:solidFill>
              <a:srgbClr val="99A5C9"/>
            </a:solidFill>
            <a:ln w="38100"/>
            <a:effectLst/>
            <a:scene3d>
              <a:camera prst="orthographicFront"/>
              <a:lightRig rig="threePt" dir="t"/>
            </a:scene3d>
          </c:spPr>
          <c:invertIfNegative val="0"/>
          <c:cat>
            <c:strRef>
              <c:f>'26 dochód 500+_typ.biol.'!$C$3:$E$3</c:f>
              <c:strCache>
                <c:ptCount val="3"/>
                <c:pt idx="0">
                  <c:v>Ogółem z dziećmi na utrzymaniu</c:v>
                </c:pt>
                <c:pt idx="1">
                  <c:v>Małżeństwo z dziećmi
na utrzymaniu</c:v>
                </c:pt>
                <c:pt idx="2">
                  <c:v>Małżeństwo z 3 lub
większą liczbą dzieci</c:v>
                </c:pt>
              </c:strCache>
            </c:strRef>
          </c:cat>
          <c:val>
            <c:numRef>
              <c:f>'26 dochód 500+_typ.biol.'!$C$5:$E$5</c:f>
              <c:numCache>
                <c:formatCode>0.00</c:formatCode>
                <c:ptCount val="3"/>
                <c:pt idx="0">
                  <c:v>180.77</c:v>
                </c:pt>
                <c:pt idx="1">
                  <c:v>189.68</c:v>
                </c:pt>
                <c:pt idx="2">
                  <c:v>245.4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overlap val="100"/>
        <c:axId val="-1362527088"/>
        <c:axId val="-1362529264"/>
      </c:barChart>
      <c:barChart>
        <c:barDir val="col"/>
        <c:grouping val="clustered"/>
        <c:varyColors val="0"/>
        <c:ser>
          <c:idx val="2"/>
          <c:order val="2"/>
          <c:tx>
            <c:strRef>
              <c:f>'26 dochód 500+_typ.biol.'!$B$6</c:f>
              <c:strCache>
                <c:ptCount val="1"/>
                <c:pt idx="0">
                  <c:v>Udział 500+ w dochodzie rozporządzalnym</c:v>
                </c:pt>
              </c:strCache>
            </c:strRef>
          </c:tx>
          <c:spPr>
            <a:noFill/>
            <a:ln w="38100">
              <a:noFill/>
            </a:ln>
            <a:scene3d>
              <a:camera prst="orthographicFront"/>
              <a:lightRig rig="threePt" dir="t"/>
            </a:scene3d>
            <a:sp3d prstMaterial="metal"/>
          </c:spPr>
          <c:invertIfNegative val="0"/>
          <c:dLbls>
            <c:dLbl>
              <c:idx val="0"/>
              <c:layout>
                <c:manualLayout>
                  <c:x val="0"/>
                  <c:y val="1.79256974321508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9528808898887692E-7"/>
                  <c:y val="1.7915643395237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79120397981265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8.783558917880369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6350">
                <a:noFill/>
              </a:ln>
              <a:effectLst/>
              <a:scene3d>
                <a:camera prst="orthographicFront"/>
                <a:lightRig rig="threePt" dir="t"/>
              </a:scene3d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'26 dochód 500+_typ.biol.'!$C$3:$E$3</c:f>
              <c:strCache>
                <c:ptCount val="3"/>
                <c:pt idx="0">
                  <c:v>Ogółem z dziećmi na utrzymaniu</c:v>
                </c:pt>
                <c:pt idx="1">
                  <c:v>Małżeństwo z dziećmi
na utrzymaniu</c:v>
                </c:pt>
                <c:pt idx="2">
                  <c:v>Małżeństwo z 3 lub
większą liczbą dzieci</c:v>
                </c:pt>
              </c:strCache>
            </c:strRef>
          </c:cat>
          <c:val>
            <c:numRef>
              <c:f>'26 dochód 500+_typ.biol.'!$C$6:$E$6</c:f>
              <c:numCache>
                <c:formatCode>0.0%</c:formatCode>
                <c:ptCount val="3"/>
                <c:pt idx="0">
                  <c:v>0.13533626311100463</c:v>
                </c:pt>
                <c:pt idx="1">
                  <c:v>0.13246550086597017</c:v>
                </c:pt>
                <c:pt idx="2">
                  <c:v>0.20021375714903442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-1362528720"/>
        <c:axId val="-1362530896"/>
      </c:barChart>
      <c:catAx>
        <c:axId val="-136252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pc="-10" baseline="0"/>
            </a:pPr>
            <a:endParaRPr lang="pl-PL"/>
          </a:p>
        </c:txPr>
        <c:crossAx val="-1362529264"/>
        <c:crosses val="autoZero"/>
        <c:auto val="1"/>
        <c:lblAlgn val="ctr"/>
        <c:lblOffset val="100"/>
        <c:noMultiLvlLbl val="0"/>
      </c:catAx>
      <c:valAx>
        <c:axId val="-1362529264"/>
        <c:scaling>
          <c:orientation val="minMax"/>
          <c:max val="2000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6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2527088"/>
        <c:crosses val="autoZero"/>
        <c:crossBetween val="between"/>
        <c:majorUnit val="500"/>
      </c:valAx>
      <c:valAx>
        <c:axId val="-1362530896"/>
        <c:scaling>
          <c:orientation val="minMax"/>
          <c:max val="1.4"/>
          <c:min val="0"/>
        </c:scaling>
        <c:delete val="1"/>
        <c:axPos val="r"/>
        <c:numFmt formatCode="0%" sourceLinked="0"/>
        <c:majorTickMark val="out"/>
        <c:minorTickMark val="none"/>
        <c:tickLblPos val="none"/>
        <c:crossAx val="-1362528720"/>
        <c:crosses val="max"/>
        <c:crossBetween val="between"/>
        <c:majorUnit val="0.2"/>
      </c:valAx>
      <c:catAx>
        <c:axId val="-13625287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362530896"/>
        <c:crosses val="autoZero"/>
        <c:auto val="1"/>
        <c:lblAlgn val="ctr"/>
        <c:lblOffset val="100"/>
        <c:noMultiLvlLbl val="0"/>
      </c:cat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5.4554311145889371E-2"/>
          <c:y val="0.24745066891545156"/>
          <c:w val="0.94544567202435559"/>
          <c:h val="7.8546003667349804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pc="-20" baseline="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8994110111236105E-2"/>
          <c:y val="0.29736764212884609"/>
          <c:w val="0.9151920693928125"/>
          <c:h val="0.56569360959394399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'28 doch. wyd. niepełnospr.'!$B$4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'28 doch. wyd. niepełnospr.'!$C$3:$E$3</c:f>
              <c:strCache>
                <c:ptCount val="3"/>
                <c:pt idx="0">
                  <c:v>Ogółem</c:v>
                </c:pt>
                <c:pt idx="1">
                  <c:v>gosp. dom. z osobami niepełnosprawnymi</c:v>
                </c:pt>
                <c:pt idx="2">
                  <c:v>gosp. dom. bez osób niepełnosprawnych</c:v>
                </c:pt>
              </c:strCache>
            </c:strRef>
          </c:cat>
          <c:val>
            <c:numRef>
              <c:f>'28 doch. wyd. niepełnospr.'!$C$4:$E$4</c:f>
              <c:numCache>
                <c:formatCode>0</c:formatCode>
                <c:ptCount val="3"/>
                <c:pt idx="0">
                  <c:v>1693.46</c:v>
                </c:pt>
                <c:pt idx="1">
                  <c:v>1431.29</c:v>
                </c:pt>
                <c:pt idx="2">
                  <c:v>1751.06</c:v>
                </c:pt>
              </c:numCache>
            </c:numRef>
          </c:val>
        </c:ser>
        <c:ser>
          <c:idx val="3"/>
          <c:order val="1"/>
          <c:tx>
            <c:strRef>
              <c:f>'28 doch. wyd. niepełnospr.'!$B$5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'28 doch. wyd. niepełnospr.'!$C$3:$E$3</c:f>
              <c:strCache>
                <c:ptCount val="3"/>
                <c:pt idx="0">
                  <c:v>Ogółem</c:v>
                </c:pt>
                <c:pt idx="1">
                  <c:v>gosp. dom. z osobami niepełnosprawnymi</c:v>
                </c:pt>
                <c:pt idx="2">
                  <c:v>gosp. dom. bez osób niepełnosprawnych</c:v>
                </c:pt>
              </c:strCache>
            </c:strRef>
          </c:cat>
          <c:val>
            <c:numRef>
              <c:f>'28 doch. wyd. niepełnospr.'!$C$5:$E$5</c:f>
              <c:numCache>
                <c:formatCode>0</c:formatCode>
                <c:ptCount val="3"/>
                <c:pt idx="0">
                  <c:v>1186.8599999999999</c:v>
                </c:pt>
                <c:pt idx="1">
                  <c:v>1020.81</c:v>
                </c:pt>
                <c:pt idx="2">
                  <c:v>1223.3399999999999</c:v>
                </c:pt>
              </c:numCache>
            </c:numRef>
          </c:val>
        </c:ser>
        <c:ser>
          <c:idx val="0"/>
          <c:order val="2"/>
          <c:tx>
            <c:strRef>
              <c:f>'28 doch. wyd. niepełnospr.'!$B$6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'28 doch. wyd. niepełnospr.'!$C$3:$E$3</c:f>
              <c:strCache>
                <c:ptCount val="3"/>
                <c:pt idx="0">
                  <c:v>Ogółem</c:v>
                </c:pt>
                <c:pt idx="1">
                  <c:v>gosp. dom. z osobami niepełnosprawnymi</c:v>
                </c:pt>
                <c:pt idx="2">
                  <c:v>gosp. dom. bez osób niepełnosprawnych</c:v>
                </c:pt>
              </c:strCache>
            </c:strRef>
          </c:cat>
          <c:val>
            <c:numRef>
              <c:f>'28 doch. wyd. niepełnospr.'!$C$6:$E$6</c:f>
              <c:numCache>
                <c:formatCode>0.0%</c:formatCode>
                <c:ptCount val="3"/>
                <c:pt idx="0">
                  <c:v>0.70084914907939999</c:v>
                </c:pt>
                <c:pt idx="1">
                  <c:v>0.71320976182324991</c:v>
                </c:pt>
                <c:pt idx="2">
                  <c:v>0.6986282594542742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overlap val="100"/>
        <c:axId val="-1362528176"/>
        <c:axId val="-1498769168"/>
      </c:barChart>
      <c:catAx>
        <c:axId val="-136252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98769168"/>
        <c:crosses val="autoZero"/>
        <c:auto val="1"/>
        <c:lblAlgn val="ctr"/>
        <c:lblOffset val="100"/>
        <c:noMultiLvlLbl val="0"/>
      </c:catAx>
      <c:valAx>
        <c:axId val="-1498769168"/>
        <c:scaling>
          <c:orientation val="minMax"/>
          <c:max val="20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2528176"/>
        <c:crosses val="autoZero"/>
        <c:crossBetween val="between"/>
        <c:majorUnit val="400"/>
      </c:valAx>
    </c:plotArea>
    <c:legend>
      <c:legendPos val="r"/>
      <c:layout>
        <c:manualLayout>
          <c:xMode val="edge"/>
          <c:yMode val="edge"/>
          <c:x val="6.9462347329306035E-2"/>
          <c:y val="0.20340292145922606"/>
          <c:w val="0.93053771624271853"/>
          <c:h val="7.9080628940074074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8994110111236105E-2"/>
          <c:y val="0.24087850720787563"/>
          <c:w val="0.9151920693928125"/>
          <c:h val="0.542145781047442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'31 doch. wyd. osoby starsze 60+'!$B$3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doch. wyd. osoby starsze 60+'!$C$2:$H$2</c:f>
              <c:strCache>
                <c:ptCount val="6"/>
                <c:pt idx="0">
                  <c:v>Ogółem</c:v>
                </c:pt>
                <c:pt idx="1">
                  <c:v>bez osób
w wieku 60+</c:v>
                </c:pt>
                <c:pt idx="2">
                  <c:v>z przynajmniej
1 osobą
w wieku 60+</c:v>
                </c:pt>
                <c:pt idx="3">
                  <c:v>wyłącznie
z osobami
w wieku 60+</c:v>
                </c:pt>
                <c:pt idx="4">
                  <c:v>wyłącznie
z osobami
w wieku 60+
1-osobowe</c:v>
                </c:pt>
                <c:pt idx="5">
                  <c:v>wyłącznie
z osobami
w wieku 60+
2-osobowe</c:v>
                </c:pt>
              </c:strCache>
            </c:strRef>
          </c:cat>
          <c:val>
            <c:numRef>
              <c:f>'31 doch. wyd. osoby starsze 60+'!$C$3:$H$3</c:f>
              <c:numCache>
                <c:formatCode>0</c:formatCode>
                <c:ptCount val="6"/>
                <c:pt idx="0">
                  <c:v>1693.46</c:v>
                </c:pt>
                <c:pt idx="1">
                  <c:v>1704.95</c:v>
                </c:pt>
                <c:pt idx="2">
                  <c:v>1676.37</c:v>
                </c:pt>
                <c:pt idx="3">
                  <c:v>1970.24</c:v>
                </c:pt>
                <c:pt idx="4">
                  <c:v>1962.82</c:v>
                </c:pt>
                <c:pt idx="5">
                  <c:v>1977.61</c:v>
                </c:pt>
              </c:numCache>
            </c:numRef>
          </c:val>
        </c:ser>
        <c:ser>
          <c:idx val="2"/>
          <c:order val="2"/>
          <c:tx>
            <c:strRef>
              <c:f>'31 doch. wyd. osoby starsze 60+'!$B$5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10"/>
              <c:layout>
                <c:manualLayout>
                  <c:x val="0"/>
                  <c:y val="6.15235865133544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6.15235865133544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doch. wyd. osoby starsze 60+'!$C$2:$H$2</c:f>
              <c:strCache>
                <c:ptCount val="6"/>
                <c:pt idx="0">
                  <c:v>Ogółem</c:v>
                </c:pt>
                <c:pt idx="1">
                  <c:v>bez osób
w wieku 60+</c:v>
                </c:pt>
                <c:pt idx="2">
                  <c:v>z przynajmniej
1 osobą
w wieku 60+</c:v>
                </c:pt>
                <c:pt idx="3">
                  <c:v>wyłącznie
z osobami
w wieku 60+</c:v>
                </c:pt>
                <c:pt idx="4">
                  <c:v>wyłącznie
z osobami
w wieku 60+
1-osobowe</c:v>
                </c:pt>
                <c:pt idx="5">
                  <c:v>wyłącznie
z osobami
w wieku 60+
2-osobowe</c:v>
                </c:pt>
              </c:strCache>
            </c:strRef>
          </c:cat>
          <c:val>
            <c:numRef>
              <c:f>'31 doch. wyd. osoby starsze 60+'!$C$5:$H$5</c:f>
              <c:numCache>
                <c:formatCode>0</c:formatCode>
                <c:ptCount val="6"/>
                <c:pt idx="0">
                  <c:v>1186.8599999999999</c:v>
                </c:pt>
                <c:pt idx="1">
                  <c:v>1202.54</c:v>
                </c:pt>
                <c:pt idx="2">
                  <c:v>1163.52</c:v>
                </c:pt>
                <c:pt idx="3">
                  <c:v>1501.1599999999999</c:v>
                </c:pt>
                <c:pt idx="4">
                  <c:v>1639.6299999999999</c:v>
                </c:pt>
                <c:pt idx="5">
                  <c:v>1435.32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-1498766992"/>
        <c:axId val="-1498764816"/>
      </c:barChart>
      <c:barChart>
        <c:barDir val="col"/>
        <c:grouping val="clustered"/>
        <c:varyColors val="0"/>
        <c:ser>
          <c:idx val="1"/>
          <c:order val="1"/>
          <c:tx>
            <c:strRef>
              <c:f>'31 doch. wyd. osoby starsze 60+'!$B$4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'31 doch. wyd. osoby starsze 60+'!$C$2:$H$2</c:f>
              <c:strCache>
                <c:ptCount val="6"/>
                <c:pt idx="0">
                  <c:v>Ogółem</c:v>
                </c:pt>
                <c:pt idx="1">
                  <c:v>bez osób
w wieku 60+</c:v>
                </c:pt>
                <c:pt idx="2">
                  <c:v>z przynajmniej
1 osobą
w wieku 60+</c:v>
                </c:pt>
                <c:pt idx="3">
                  <c:v>wyłącznie
z osobami
w wieku 60+</c:v>
                </c:pt>
                <c:pt idx="4">
                  <c:v>wyłącznie
z osobami
w wieku 60+
1-osobowe</c:v>
                </c:pt>
                <c:pt idx="5">
                  <c:v>wyłącznie
z osobami
w wieku 60+
2-osobowe</c:v>
                </c:pt>
              </c:strCache>
            </c:strRef>
          </c:cat>
          <c:val>
            <c:numRef>
              <c:f>'31 doch. wyd. osoby starsze 60+'!$C$4:$H$4</c:f>
              <c:numCache>
                <c:formatCode>0.0%</c:formatCode>
                <c:ptCount val="6"/>
                <c:pt idx="0">
                  <c:v>0.70084914907939999</c:v>
                </c:pt>
                <c:pt idx="1">
                  <c:v>0.70532273673714752</c:v>
                </c:pt>
                <c:pt idx="2">
                  <c:v>0.69407111795128762</c:v>
                </c:pt>
                <c:pt idx="3">
                  <c:v>0.76191732986844252</c:v>
                </c:pt>
                <c:pt idx="4">
                  <c:v>0.83534404581163846</c:v>
                </c:pt>
                <c:pt idx="5">
                  <c:v>0.72578516492129386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-1498767536"/>
        <c:axId val="-1498764272"/>
      </c:barChart>
      <c:catAx>
        <c:axId val="-1498766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98764816"/>
        <c:crosses val="autoZero"/>
        <c:auto val="1"/>
        <c:lblAlgn val="ctr"/>
        <c:lblOffset val="100"/>
        <c:noMultiLvlLbl val="0"/>
      </c:catAx>
      <c:valAx>
        <c:axId val="-1498764816"/>
        <c:scaling>
          <c:orientation val="minMax"/>
          <c:max val="2400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98766992"/>
        <c:crosses val="autoZero"/>
        <c:crossBetween val="between"/>
        <c:majorUnit val="400"/>
      </c:valAx>
      <c:valAx>
        <c:axId val="-1498764272"/>
        <c:scaling>
          <c:orientation val="minMax"/>
        </c:scaling>
        <c:delete val="1"/>
        <c:axPos val="r"/>
        <c:numFmt formatCode="0.0%" sourceLinked="1"/>
        <c:majorTickMark val="out"/>
        <c:minorTickMark val="none"/>
        <c:tickLblPos val="none"/>
        <c:crossAx val="-1498767536"/>
        <c:crosses val="max"/>
        <c:crossBetween val="between"/>
      </c:valAx>
      <c:catAx>
        <c:axId val="-1498767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98764272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5.9884686225304025E-2"/>
          <c:y val="0.15240499134688457"/>
          <c:w val="0.94011532944998977"/>
          <c:h val="7.0535433070866141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122668517309266E-2"/>
          <c:y val="0.27403557087738273"/>
          <c:w val="0.95977812253022277"/>
          <c:h val="0.55267658046922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'32 spożycie kwintyle'!$B$4</c:f>
              <c:strCache>
                <c:ptCount val="1"/>
                <c:pt idx="0">
                  <c:v>I grupa kwintylowa</c:v>
                </c:pt>
              </c:strCache>
            </c:strRef>
          </c:tx>
          <c:spPr>
            <a:solidFill>
              <a:srgbClr val="99CEB3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'32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'32 spożycie kwintyle'!$C$4:$I$4</c:f>
              <c:numCache>
                <c:formatCode>0.0</c:formatCode>
                <c:ptCount val="7"/>
                <c:pt idx="0">
                  <c:v>5.0999999999999996</c:v>
                </c:pt>
                <c:pt idx="1">
                  <c:v>4.63</c:v>
                </c:pt>
                <c:pt idx="2">
                  <c:v>6.94</c:v>
                </c:pt>
                <c:pt idx="3">
                  <c:v>2.5499999999999998</c:v>
                </c:pt>
                <c:pt idx="4">
                  <c:v>0.64</c:v>
                </c:pt>
                <c:pt idx="5">
                  <c:v>0.92</c:v>
                </c:pt>
                <c:pt idx="6">
                  <c:v>4.1500000000000004</c:v>
                </c:pt>
              </c:numCache>
            </c:numRef>
          </c:val>
        </c:ser>
        <c:ser>
          <c:idx val="2"/>
          <c:order val="2"/>
          <c:tx>
            <c:strRef>
              <c:f>'32 spożycie kwintyle'!$B$6</c:f>
              <c:strCache>
                <c:ptCount val="1"/>
                <c:pt idx="0">
                  <c:v>V grupa kwintylowa</c:v>
                </c:pt>
              </c:strCache>
            </c:strRef>
          </c:tx>
          <c:spPr>
            <a:solidFill>
              <a:srgbClr val="339D68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2"/>
              <c:layout>
                <c:manualLayout>
                  <c:x val="0"/>
                  <c:y val="8.93255917820455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'32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'32 spożycie kwintyle'!$C$6:$I$6</c:f>
              <c:numCache>
                <c:formatCode>0.0</c:formatCode>
                <c:ptCount val="7"/>
                <c:pt idx="0">
                  <c:v>5.72</c:v>
                </c:pt>
                <c:pt idx="1">
                  <c:v>5.43</c:v>
                </c:pt>
                <c:pt idx="2">
                  <c:v>8.83</c:v>
                </c:pt>
                <c:pt idx="3">
                  <c:v>5.22</c:v>
                </c:pt>
                <c:pt idx="4">
                  <c:v>1.1399999999999999</c:v>
                </c:pt>
                <c:pt idx="5">
                  <c:v>0.84</c:v>
                </c:pt>
                <c:pt idx="6">
                  <c:v>7.59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98771344"/>
        <c:axId val="-1498766448"/>
      </c:barChart>
      <c:barChart>
        <c:barDir val="col"/>
        <c:grouping val="clustered"/>
        <c:varyColors val="0"/>
        <c:ser>
          <c:idx val="1"/>
          <c:order val="1"/>
          <c:tx>
            <c:strRef>
              <c:f>'32 spożycie kwintyle'!$B$5</c:f>
              <c:strCache>
                <c:ptCount val="1"/>
                <c:pt idx="0">
                  <c:v>w tym pieczywo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solidFill>
                <a:srgbClr val="969696"/>
              </a:solidFill>
              <a:scene3d>
                <a:camera prst="orthographicFront"/>
                <a:lightRig rig="threePt" dir="t"/>
              </a:scene3d>
            </c:spPr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'32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'32 spożycie kwintyle'!$C$5:$I$5</c:f>
              <c:numCache>
                <c:formatCode>General</c:formatCode>
                <c:ptCount val="7"/>
                <c:pt idx="0" formatCode="0.0">
                  <c:v>3.09</c:v>
                </c:pt>
                <c:pt idx="2" formatCode="0.0">
                  <c:v>3.04</c:v>
                </c:pt>
              </c:numCache>
            </c:numRef>
          </c:val>
        </c:ser>
        <c:ser>
          <c:idx val="3"/>
          <c:order val="3"/>
          <c:tx>
            <c:strRef>
              <c:f>'32 spożycie kwintyle'!$B$7</c:f>
              <c:strCache>
                <c:ptCount val="1"/>
                <c:pt idx="0">
                  <c:v>w tym ziemniaki</c:v>
                </c:pt>
              </c:strCache>
            </c:strRef>
          </c:tx>
          <c:spPr>
            <a:solidFill>
              <a:srgbClr val="5F5F5F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'32 spożycie kwintyle'!$C$3:$I$3</c:f>
              <c:strCache>
                <c:ptCount val="7"/>
                <c:pt idx="0">
                  <c:v>pieczywo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'32 spożycie kwintyle'!$C$7:$I$7</c:f>
              <c:numCache>
                <c:formatCode>General</c:formatCode>
                <c:ptCount val="7"/>
                <c:pt idx="0" formatCode="0.0">
                  <c:v>3.14</c:v>
                </c:pt>
                <c:pt idx="2" formatCode="0.0">
                  <c:v>2.71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98768624"/>
        <c:axId val="-1498765360"/>
      </c:barChart>
      <c:catAx>
        <c:axId val="-149877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 spc="-20" baseline="0"/>
            </a:pPr>
            <a:endParaRPr lang="pl-PL"/>
          </a:p>
        </c:txPr>
        <c:crossAx val="-1498766448"/>
        <c:crosses val="autoZero"/>
        <c:auto val="1"/>
        <c:lblAlgn val="ctr"/>
        <c:lblOffset val="100"/>
        <c:noMultiLvlLbl val="0"/>
      </c:catAx>
      <c:valAx>
        <c:axId val="-149876644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98771344"/>
        <c:crosses val="autoZero"/>
        <c:crossBetween val="between"/>
        <c:majorUnit val="2"/>
      </c:valAx>
      <c:valAx>
        <c:axId val="-1498765360"/>
        <c:scaling>
          <c:orientation val="minMax"/>
          <c:max val="12"/>
        </c:scaling>
        <c:delete val="1"/>
        <c:axPos val="r"/>
        <c:numFmt formatCode="0.0" sourceLinked="1"/>
        <c:majorTickMark val="out"/>
        <c:minorTickMark val="none"/>
        <c:tickLblPos val="none"/>
        <c:crossAx val="-1498768624"/>
        <c:crosses val="max"/>
        <c:crossBetween val="between"/>
      </c:valAx>
      <c:catAx>
        <c:axId val="-1498768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9876536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4.3389565147792741E-2"/>
          <c:y val="0.17501362629072564"/>
          <c:w val="0.94252310130999339"/>
          <c:h val="6.8567413688673529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815330075187238E-2"/>
          <c:y val="0.26467946761901534"/>
          <c:w val="0.94354954422069504"/>
          <c:h val="0.558391908328532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'33 spożycie miasto wieś'!$C$3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rgbClr val="99CEB3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'33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'33 spożycie miasto wieś'!$C$4:$C$10</c:f>
              <c:numCache>
                <c:formatCode>0.0</c:formatCode>
                <c:ptCount val="7"/>
                <c:pt idx="0">
                  <c:v>5.17</c:v>
                </c:pt>
                <c:pt idx="1">
                  <c:v>4.93</c:v>
                </c:pt>
                <c:pt idx="2">
                  <c:v>7.69</c:v>
                </c:pt>
                <c:pt idx="3">
                  <c:v>4.03</c:v>
                </c:pt>
                <c:pt idx="4">
                  <c:v>0.94</c:v>
                </c:pt>
                <c:pt idx="5">
                  <c:v>0.76</c:v>
                </c:pt>
                <c:pt idx="6">
                  <c:v>6.12</c:v>
                </c:pt>
              </c:numCache>
            </c:numRef>
          </c:val>
        </c:ser>
        <c:ser>
          <c:idx val="2"/>
          <c:order val="2"/>
          <c:tx>
            <c:strRef>
              <c:f>'33 spożycie miasto wieś'!$E$3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339D68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'33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'33 spożycie miasto wieś'!$E$4:$E$10</c:f>
              <c:numCache>
                <c:formatCode>0.0</c:formatCode>
                <c:ptCount val="7"/>
                <c:pt idx="0">
                  <c:v>5.96</c:v>
                </c:pt>
                <c:pt idx="1">
                  <c:v>5.63</c:v>
                </c:pt>
                <c:pt idx="2">
                  <c:v>8.2799999999999994</c:v>
                </c:pt>
                <c:pt idx="3">
                  <c:v>3.32</c:v>
                </c:pt>
                <c:pt idx="4">
                  <c:v>0.76</c:v>
                </c:pt>
                <c:pt idx="5">
                  <c:v>1.21</c:v>
                </c:pt>
                <c:pt idx="6">
                  <c:v>5.05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98765904"/>
        <c:axId val="-1498770800"/>
      </c:barChart>
      <c:barChart>
        <c:barDir val="col"/>
        <c:grouping val="clustered"/>
        <c:varyColors val="0"/>
        <c:ser>
          <c:idx val="1"/>
          <c:order val="1"/>
          <c:tx>
            <c:strRef>
              <c:f>'33 spożycie miasto wieś'!$D$3</c:f>
              <c:strCache>
                <c:ptCount val="1"/>
                <c:pt idx="0">
                  <c:v>w tym pieczywo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solidFill>
                <a:srgbClr val="969696"/>
              </a:solidFill>
              <a:scene3d>
                <a:camera prst="orthographicFront"/>
                <a:lightRig rig="threePt" dir="t"/>
              </a:scene3d>
            </c:spPr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'33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'33 spożycie miasto wieś'!$D$4:$D$10</c:f>
              <c:numCache>
                <c:formatCode>General</c:formatCode>
                <c:ptCount val="7"/>
                <c:pt idx="0" formatCode="0.0">
                  <c:v>2.89</c:v>
                </c:pt>
                <c:pt idx="2" formatCode="0.0">
                  <c:v>2.63</c:v>
                </c:pt>
              </c:numCache>
            </c:numRef>
          </c:val>
        </c:ser>
        <c:ser>
          <c:idx val="3"/>
          <c:order val="3"/>
          <c:tx>
            <c:strRef>
              <c:f>'33 spożycie miasto wieś'!$F$3</c:f>
              <c:strCache>
                <c:ptCount val="1"/>
                <c:pt idx="0">
                  <c:v>w tym ziemniaki</c:v>
                </c:pt>
              </c:strCache>
            </c:strRef>
          </c:tx>
          <c:spPr>
            <a:solidFill>
              <a:srgbClr val="5F5F5F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</c:dPt>
          <c:dLbls>
            <c:dLbl>
              <c:idx val="0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'33 spożycie miasto wieś'!$B$4:$B$10</c:f>
              <c:strCache>
                <c:ptCount val="7"/>
                <c:pt idx="0">
                  <c:v>pieczywo 
i prod. zbożowe</c:v>
                </c:pt>
                <c:pt idx="1">
                  <c:v>mięso</c:v>
                </c:pt>
                <c:pt idx="2">
                  <c:v>warzywa</c:v>
                </c:pt>
                <c:pt idx="3">
                  <c:v>owoce</c:v>
                </c:pt>
                <c:pt idx="4">
                  <c:v>sery i twarogi</c:v>
                </c:pt>
                <c:pt idx="5">
                  <c:v>cukier</c:v>
                </c:pt>
                <c:pt idx="6">
                  <c:v>wody minaralne
i źródlane (w l.)</c:v>
                </c:pt>
              </c:strCache>
            </c:strRef>
          </c:cat>
          <c:val>
            <c:numRef>
              <c:f>'33 spożycie miasto wieś'!$F$4:$F$10</c:f>
              <c:numCache>
                <c:formatCode>General</c:formatCode>
                <c:ptCount val="7"/>
                <c:pt idx="0" formatCode="0.0">
                  <c:v>3.55</c:v>
                </c:pt>
                <c:pt idx="2" formatCode="0.0">
                  <c:v>3.52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98770256"/>
        <c:axId val="-1498768080"/>
      </c:barChart>
      <c:catAx>
        <c:axId val="-149876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 spc="-10" baseline="0"/>
            </a:pPr>
            <a:endParaRPr lang="pl-PL"/>
          </a:p>
        </c:txPr>
        <c:crossAx val="-1498770800"/>
        <c:crosses val="autoZero"/>
        <c:auto val="1"/>
        <c:lblAlgn val="ctr"/>
        <c:lblOffset val="100"/>
        <c:noMultiLvlLbl val="0"/>
      </c:catAx>
      <c:valAx>
        <c:axId val="-1498770800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98765904"/>
        <c:crosses val="autoZero"/>
        <c:crossBetween val="between"/>
        <c:majorUnit val="2"/>
      </c:valAx>
      <c:valAx>
        <c:axId val="-1498768080"/>
        <c:scaling>
          <c:orientation val="minMax"/>
          <c:max val="12"/>
        </c:scaling>
        <c:delete val="1"/>
        <c:axPos val="r"/>
        <c:numFmt formatCode="0.0" sourceLinked="1"/>
        <c:majorTickMark val="out"/>
        <c:minorTickMark val="none"/>
        <c:tickLblPos val="none"/>
        <c:crossAx val="-1498770256"/>
        <c:crosses val="max"/>
        <c:crossBetween val="between"/>
      </c:valAx>
      <c:catAx>
        <c:axId val="-14987702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9876808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4.1308568299546419E-2"/>
          <c:y val="0.17001122165118582"/>
          <c:w val="0.93624341025798696"/>
          <c:h val="6.6437303555990063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013728302549544E-2"/>
          <c:y val="0.25161559152931973"/>
          <c:w val="0.91555132745953227"/>
          <c:h val="0.547060759196145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'35 wyposażenie kwintyl I i V'!$C$3</c:f>
              <c:strCache>
                <c:ptCount val="1"/>
                <c:pt idx="0">
                  <c:v>V grupa kwintylowa 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4"/>
            <c:invertIfNegative val="0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'35 wyposażenie kwintyl I i V'!$B$4:$B$8</c:f>
              <c:strCache>
                <c:ptCount val="5"/>
                <c:pt idx="0">
                  <c:v>urządzenie
z dostępem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'35 wyposażenie kwintyl I i V'!$C$4:$C$8</c:f>
              <c:numCache>
                <c:formatCode>0.0%</c:formatCode>
                <c:ptCount val="5"/>
                <c:pt idx="0">
                  <c:v>0.85699999999999998</c:v>
                </c:pt>
                <c:pt idx="1">
                  <c:v>0.77</c:v>
                </c:pt>
                <c:pt idx="2">
                  <c:v>0.90200000000000002</c:v>
                </c:pt>
                <c:pt idx="3">
                  <c:v>0.49099999999999999</c:v>
                </c:pt>
                <c:pt idx="4">
                  <c:v>0.73599999999999999</c:v>
                </c:pt>
              </c:numCache>
            </c:numRef>
          </c:val>
        </c:ser>
        <c:ser>
          <c:idx val="1"/>
          <c:order val="1"/>
          <c:tx>
            <c:strRef>
              <c:f>'35 wyposażenie kwintyl I i V'!$D$3</c:f>
              <c:strCache>
                <c:ptCount val="1"/>
                <c:pt idx="0">
                  <c:v>I grupa kwintylowa  </c:v>
                </c:pt>
              </c:strCache>
            </c:strRef>
          </c:tx>
          <c:spPr>
            <a:solidFill>
              <a:srgbClr val="99A5C9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'35 wyposażenie kwintyl I i V'!$B$4:$B$8</c:f>
              <c:strCache>
                <c:ptCount val="5"/>
                <c:pt idx="0">
                  <c:v>urządzenie
z dostępem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'35 wyposażenie kwintyl I i V'!$D$4:$D$8</c:f>
              <c:numCache>
                <c:formatCode>0.0%</c:formatCode>
                <c:ptCount val="5"/>
                <c:pt idx="0">
                  <c:v>0.78299999999999992</c:v>
                </c:pt>
                <c:pt idx="1">
                  <c:v>0.70799999999999996</c:v>
                </c:pt>
                <c:pt idx="2">
                  <c:v>0.88900000000000001</c:v>
                </c:pt>
                <c:pt idx="3">
                  <c:v>0.28000000000000003</c:v>
                </c:pt>
                <c:pt idx="4">
                  <c:v>0.63600000000000001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498769712"/>
        <c:axId val="-1360777376"/>
      </c:barChart>
      <c:catAx>
        <c:axId val="-149876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 spc="0" baseline="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360777376"/>
        <c:crosses val="autoZero"/>
        <c:auto val="1"/>
        <c:lblAlgn val="ctr"/>
        <c:lblOffset val="100"/>
        <c:noMultiLvlLbl val="0"/>
      </c:catAx>
      <c:valAx>
        <c:axId val="-1360777376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1498769712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52198635951175243"/>
          <c:y val="0.12981235554510909"/>
          <c:w val="0.46426231107728633"/>
          <c:h val="7.4279620227326065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013728302549544E-2"/>
          <c:y val="0.23289258653989006"/>
          <c:w val="0.91304068583096876"/>
          <c:h val="0.56352407064039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'36 wyposażenie miasto wieś'!$C$3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rgbClr val="6677AD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4"/>
            <c:invertIfNegative val="0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'36 wyposażenie miasto wieś'!$B$4:$B$8</c:f>
              <c:strCache>
                <c:ptCount val="5"/>
                <c:pt idx="0">
                  <c:v>urządzenie
z dostępem 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'36 wyposażenie miasto wieś'!$C$4:$C$8</c:f>
              <c:numCache>
                <c:formatCode>0.0%</c:formatCode>
                <c:ptCount val="5"/>
                <c:pt idx="0">
                  <c:v>0.77099999999999991</c:v>
                </c:pt>
                <c:pt idx="1">
                  <c:v>0.69499999999999995</c:v>
                </c:pt>
                <c:pt idx="2">
                  <c:v>0.90500000000000003</c:v>
                </c:pt>
                <c:pt idx="3">
                  <c:v>0.36299999999999999</c:v>
                </c:pt>
                <c:pt idx="4">
                  <c:v>0.61299999999999999</c:v>
                </c:pt>
              </c:numCache>
            </c:numRef>
          </c:val>
        </c:ser>
        <c:ser>
          <c:idx val="1"/>
          <c:order val="1"/>
          <c:tx>
            <c:strRef>
              <c:f>'36 wyposażenie miasto wieś'!$D$3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99A5C9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'36 wyposażenie miasto wieś'!$B$4:$B$8</c:f>
              <c:strCache>
                <c:ptCount val="5"/>
                <c:pt idx="0">
                  <c:v>urządzenie
z dostępem 
do Internetu</c:v>
                </c:pt>
                <c:pt idx="1">
                  <c:v>smartfon</c:v>
                </c:pt>
                <c:pt idx="2">
                  <c:v>telewizor plazmowy
lub LCD</c:v>
                </c:pt>
                <c:pt idx="3">
                  <c:v>zmywarka 
do naczyń</c:v>
                </c:pt>
                <c:pt idx="4">
                  <c:v>samochód 
osobowy</c:v>
                </c:pt>
              </c:strCache>
            </c:strRef>
          </c:cat>
          <c:val>
            <c:numRef>
              <c:f>'36 wyposażenie miasto wieś'!$D$4:$D$8</c:f>
              <c:numCache>
                <c:formatCode>0.0%</c:formatCode>
                <c:ptCount val="5"/>
                <c:pt idx="0">
                  <c:v>0.72499999999999998</c:v>
                </c:pt>
                <c:pt idx="1">
                  <c:v>0.63400000000000001</c:v>
                </c:pt>
                <c:pt idx="2">
                  <c:v>0.91599999999999993</c:v>
                </c:pt>
                <c:pt idx="3">
                  <c:v>0.36700000000000005</c:v>
                </c:pt>
                <c:pt idx="4">
                  <c:v>0.76400000000000001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360776832"/>
        <c:axId val="-1360776288"/>
      </c:barChart>
      <c:catAx>
        <c:axId val="-136077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 spc="-10" baseline="0"/>
            </a:pPr>
            <a:endParaRPr lang="pl-PL"/>
          </a:p>
        </c:txPr>
        <c:crossAx val="-1360776288"/>
        <c:crosses val="autoZero"/>
        <c:auto val="1"/>
        <c:lblAlgn val="ctr"/>
        <c:lblOffset val="100"/>
        <c:noMultiLvlLbl val="0"/>
      </c:catAx>
      <c:valAx>
        <c:axId val="-1360776288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0776832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66293787625989142"/>
          <c:y val="0.13173414192791122"/>
          <c:w val="0.32277295758260788"/>
          <c:h val="7.5330826184040425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0010975190601174E-2"/>
          <c:y val="0.30539819963262888"/>
          <c:w val="0.91059469796758674"/>
          <c:h val="0.540307698691813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'41 w. sanit-tech. miasto wieś'!$C$3</c:f>
              <c:strCache>
                <c:ptCount val="1"/>
                <c:pt idx="0">
                  <c:v>Miasto</c:v>
                </c:pt>
              </c:strCache>
            </c:strRef>
          </c:tx>
          <c:spPr>
            <a:solidFill>
              <a:srgbClr val="339D68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'41 w. sanit-tech. miasto wieś'!$B$4:$B$9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'41 w. sanit-tech. miasto wieś'!$C$4:$C$9</c:f>
              <c:numCache>
                <c:formatCode>0.0%</c:formatCode>
                <c:ptCount val="6"/>
                <c:pt idx="0">
                  <c:v>0.99879999999999991</c:v>
                </c:pt>
                <c:pt idx="1">
                  <c:v>0.98980000000000001</c:v>
                </c:pt>
                <c:pt idx="2">
                  <c:v>0.98609999999999998</c:v>
                </c:pt>
                <c:pt idx="3">
                  <c:v>0.99129999999999996</c:v>
                </c:pt>
                <c:pt idx="4">
                  <c:v>0.88730000000000009</c:v>
                </c:pt>
                <c:pt idx="5">
                  <c:v>0.87519999999999998</c:v>
                </c:pt>
              </c:numCache>
            </c:numRef>
          </c:val>
        </c:ser>
        <c:ser>
          <c:idx val="1"/>
          <c:order val="1"/>
          <c:tx>
            <c:strRef>
              <c:f>'41 w. sanit-tech. miasto wieś'!$D$3</c:f>
              <c:strCache>
                <c:ptCount val="1"/>
                <c:pt idx="0">
                  <c:v>Wieś</c:v>
                </c:pt>
              </c:strCache>
            </c:strRef>
          </c:tx>
          <c:spPr>
            <a:solidFill>
              <a:srgbClr val="99CEB3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'41 w. sanit-tech. miasto wieś'!$B$4:$B$9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'41 w. sanit-tech. miasto wieś'!$D$4:$D$9</c:f>
              <c:numCache>
                <c:formatCode>0.0%</c:formatCode>
                <c:ptCount val="6"/>
                <c:pt idx="0">
                  <c:v>0.99260000000000004</c:v>
                </c:pt>
                <c:pt idx="1">
                  <c:v>0.96499999999999997</c:v>
                </c:pt>
                <c:pt idx="2">
                  <c:v>0.96329999999999993</c:v>
                </c:pt>
                <c:pt idx="3">
                  <c:v>0.96970000000000001</c:v>
                </c:pt>
                <c:pt idx="4">
                  <c:v>0.93090000000000006</c:v>
                </c:pt>
                <c:pt idx="5">
                  <c:v>0.85180000000000011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-1360778464"/>
        <c:axId val="-1360775744"/>
      </c:barChart>
      <c:catAx>
        <c:axId val="-136077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0775744"/>
        <c:crosses val="autoZero"/>
        <c:auto val="1"/>
        <c:lblAlgn val="ctr"/>
        <c:lblOffset val="100"/>
        <c:noMultiLvlLbl val="0"/>
      </c:catAx>
      <c:valAx>
        <c:axId val="-1360775744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0778464"/>
        <c:crosses val="autoZero"/>
        <c:crossBetween val="between"/>
        <c:majorUnit val="0.2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586472694630652"/>
          <c:y val="0.14226841313082311"/>
          <c:w val="0.28772121886251206"/>
          <c:h val="7.0315775142928541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0010975190601174E-2"/>
          <c:y val="0.3196116480700576"/>
          <c:w val="0.91307301271355945"/>
          <c:h val="0.529083647152801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'42 w.sanit-tech kwintyle'!$C$3</c:f>
              <c:strCache>
                <c:ptCount val="1"/>
                <c:pt idx="0">
                  <c:v>pierwsza grupa kwintylowa</c:v>
                </c:pt>
              </c:strCache>
            </c:strRef>
          </c:tx>
          <c:spPr>
            <a:solidFill>
              <a:srgbClr val="339D68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'42 w.sanit-tech kwintyle'!$B$4:$B$9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
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'42 w.sanit-tech kwintyle'!$C$4:$C$9</c:f>
              <c:numCache>
                <c:formatCode>0.0%</c:formatCode>
                <c:ptCount val="6"/>
                <c:pt idx="0">
                  <c:v>0.9890000000000001</c:v>
                </c:pt>
                <c:pt idx="1">
                  <c:v>0.94669999999999999</c:v>
                </c:pt>
                <c:pt idx="2">
                  <c:v>0.94110000000000005</c:v>
                </c:pt>
                <c:pt idx="3">
                  <c:v>0.95230000000000004</c:v>
                </c:pt>
                <c:pt idx="4">
                  <c:v>0.91520000000000001</c:v>
                </c:pt>
                <c:pt idx="5">
                  <c:v>0.78569999999999995</c:v>
                </c:pt>
              </c:numCache>
            </c:numRef>
          </c:val>
        </c:ser>
        <c:ser>
          <c:idx val="1"/>
          <c:order val="1"/>
          <c:tx>
            <c:strRef>
              <c:f>'42 w.sanit-tech kwintyle'!$D$3</c:f>
              <c:strCache>
                <c:ptCount val="1"/>
                <c:pt idx="0">
                  <c:v>piąta grupa kwintylowa</c:v>
                </c:pt>
              </c:strCache>
            </c:strRef>
          </c:tx>
          <c:spPr>
            <a:solidFill>
              <a:srgbClr val="99CEB3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layout>
                <c:manualLayout>
                  <c:x val="7.434944237918215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'42 w.sanit-tech kwintyle'!$B$4:$B$9</c:f>
              <c:strCache>
                <c:ptCount val="6"/>
                <c:pt idx="0">
                  <c:v>wodociąg</c:v>
                </c:pt>
                <c:pt idx="1">
                  <c:v>ustęp spłukiwany</c:v>
                </c:pt>
                <c:pt idx="2">
                  <c:v>łazienka</c:v>
                </c:pt>
                <c:pt idx="3">
                  <c:v>ciepła woda 
bieżąca</c:v>
                </c:pt>
                <c:pt idx="4">
                  <c:v>gaz</c:v>
                </c:pt>
                <c:pt idx="5">
                  <c:v>centralne ogrzewanie</c:v>
                </c:pt>
              </c:strCache>
            </c:strRef>
          </c:cat>
          <c:val>
            <c:numRef>
              <c:f>'42 w.sanit-tech kwintyle'!$D$4:$D$9</c:f>
              <c:numCache>
                <c:formatCode>0.0%</c:formatCode>
                <c:ptCount val="6"/>
                <c:pt idx="0">
                  <c:v>0.99970000000000003</c:v>
                </c:pt>
                <c:pt idx="1">
                  <c:v>0.99659999999999993</c:v>
                </c:pt>
                <c:pt idx="2">
                  <c:v>0.99650000000000005</c:v>
                </c:pt>
                <c:pt idx="3">
                  <c:v>0.99809999999999999</c:v>
                </c:pt>
                <c:pt idx="4">
                  <c:v>0.85360000000000003</c:v>
                </c:pt>
                <c:pt idx="5">
                  <c:v>0.90639999999999998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-1360775200"/>
        <c:axId val="-1360774656"/>
      </c:barChart>
      <c:catAx>
        <c:axId val="-136077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0774656"/>
        <c:crosses val="autoZero"/>
        <c:auto val="1"/>
        <c:lblAlgn val="ctr"/>
        <c:lblOffset val="100"/>
        <c:noMultiLvlLbl val="0"/>
      </c:catAx>
      <c:valAx>
        <c:axId val="-1360774656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0775200"/>
        <c:crosses val="autoZero"/>
        <c:crossBetween val="between"/>
        <c:majorUnit val="0.2"/>
        <c:min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1181707305174214"/>
          <c:y val="0.12822856834147875"/>
          <c:w val="0.57093170974446039"/>
          <c:h val="8.5017760430032022E-2"/>
        </c:manualLayout>
      </c:layout>
      <c:overlay val="0"/>
      <c:spPr>
        <a:solidFill>
          <a:schemeClr val="bg1"/>
        </a:solidFill>
        <a:ln w="6350">
          <a:noFill/>
        </a:ln>
      </c:spPr>
      <c:txPr>
        <a:bodyPr/>
        <a:lstStyle/>
        <a:p>
          <a:pPr>
            <a:defRPr sz="900" spc="-10" baseline="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8914745031871022E-2"/>
          <c:y val="0.29938460880992368"/>
          <c:w val="0.92008928571428572"/>
          <c:h val="0.53266570159070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'4 dochody,wydatki gr. społ-ek.'!$B$4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 dochody,wydatki gr. społ-ek.'!$C$3:$H$3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'4 dochody,wydatki gr. społ-ek.'!$C$4:$H$4</c:f>
              <c:numCache>
                <c:formatCode>0.00</c:formatCode>
                <c:ptCount val="6"/>
                <c:pt idx="0">
                  <c:v>1693.46</c:v>
                </c:pt>
                <c:pt idx="1">
                  <c:v>1702.6399999999999</c:v>
                </c:pt>
                <c:pt idx="2">
                  <c:v>1579</c:v>
                </c:pt>
                <c:pt idx="3">
                  <c:v>2011.71</c:v>
                </c:pt>
                <c:pt idx="4">
                  <c:v>1732.95</c:v>
                </c:pt>
                <c:pt idx="5">
                  <c:v>1354.6</c:v>
                </c:pt>
              </c:numCache>
            </c:numRef>
          </c:val>
        </c:ser>
        <c:ser>
          <c:idx val="1"/>
          <c:order val="1"/>
          <c:tx>
            <c:strRef>
              <c:f>'4 dochody,wydatki gr. społ-ek.'!$B$5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numFmt formatCode="0" sourceLinked="0"/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 dochody,wydatki gr. społ-ek.'!$C$3:$H$3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'4 dochody,wydatki gr. społ-ek.'!$C$5:$H$5</c:f>
              <c:numCache>
                <c:formatCode>0.00</c:formatCode>
                <c:ptCount val="6"/>
                <c:pt idx="0">
                  <c:v>1186.8599999999999</c:v>
                </c:pt>
                <c:pt idx="1">
                  <c:v>1170.01</c:v>
                </c:pt>
                <c:pt idx="2">
                  <c:v>872.23</c:v>
                </c:pt>
                <c:pt idx="3">
                  <c:v>1399.56</c:v>
                </c:pt>
                <c:pt idx="4">
                  <c:v>1296.8599999999999</c:v>
                </c:pt>
                <c:pt idx="5">
                  <c:v>1141.21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-1411270416"/>
        <c:axId val="-1497955920"/>
      </c:barChart>
      <c:barChart>
        <c:barDir val="col"/>
        <c:grouping val="clustered"/>
        <c:varyColors val="0"/>
        <c:ser>
          <c:idx val="2"/>
          <c:order val="2"/>
          <c:tx>
            <c:strRef>
              <c:f>'4 dochody,wydatki gr. społ-ek.'!$B$6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 dochody,wydatki gr. społ-ek.'!$C$3:$H$3</c:f>
              <c:strCache>
                <c:ptCount val="6"/>
                <c:pt idx="0">
                  <c:v>Ogółem</c:v>
                </c:pt>
                <c:pt idx="1">
                  <c:v>pracownicy</c:v>
                </c:pt>
                <c:pt idx="2">
                  <c:v>rolnicy</c:v>
                </c:pt>
                <c:pt idx="3">
                  <c:v>pracujący na własny rachunek</c:v>
                </c:pt>
                <c:pt idx="4">
                  <c:v>emeryci</c:v>
                </c:pt>
                <c:pt idx="5">
                  <c:v>renciści</c:v>
                </c:pt>
              </c:strCache>
            </c:strRef>
          </c:cat>
          <c:val>
            <c:numRef>
              <c:f>'4 dochody,wydatki gr. społ-ek.'!$C$6:$H$6</c:f>
              <c:numCache>
                <c:formatCode>0.0%</c:formatCode>
                <c:ptCount val="6"/>
                <c:pt idx="0">
                  <c:v>0.70084914907939999</c:v>
                </c:pt>
                <c:pt idx="1">
                  <c:v>0.68717403561528023</c:v>
                </c:pt>
                <c:pt idx="2">
                  <c:v>0.55239392020265932</c:v>
                </c:pt>
                <c:pt idx="3">
                  <c:v>0.69570663763663765</c:v>
                </c:pt>
                <c:pt idx="4">
                  <c:v>0.74835396289564027</c:v>
                </c:pt>
                <c:pt idx="5">
                  <c:v>0.84247010187509241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overlap val="-100"/>
        <c:axId val="-1484077248"/>
        <c:axId val="-1411361136"/>
      </c:barChart>
      <c:catAx>
        <c:axId val="-1411270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97955920"/>
        <c:crosses val="autoZero"/>
        <c:auto val="1"/>
        <c:lblAlgn val="ctr"/>
        <c:lblOffset val="100"/>
        <c:noMultiLvlLbl val="0"/>
      </c:catAx>
      <c:valAx>
        <c:axId val="-1497955920"/>
        <c:scaling>
          <c:orientation val="minMax"/>
          <c:max val="24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11270416"/>
        <c:crosses val="autoZero"/>
        <c:crossBetween val="between"/>
        <c:majorUnit val="400"/>
      </c:valAx>
      <c:valAx>
        <c:axId val="-1411361136"/>
        <c:scaling>
          <c:orientation val="minMax"/>
          <c:max val="1"/>
          <c:min val="0.60000000000000064"/>
        </c:scaling>
        <c:delete val="1"/>
        <c:axPos val="r"/>
        <c:numFmt formatCode="0.0%" sourceLinked="1"/>
        <c:majorTickMark val="none"/>
        <c:minorTickMark val="none"/>
        <c:tickLblPos val="none"/>
        <c:crossAx val="-1484077248"/>
        <c:crosses val="max"/>
        <c:crossBetween val="between"/>
      </c:valAx>
      <c:catAx>
        <c:axId val="-14840772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1136113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6.7069741282339709E-2"/>
          <c:y val="0.19701905256861571"/>
          <c:w val="0.92993765184556387"/>
          <c:h val="5.9281957750299902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 algn="ctr"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36655022064228"/>
          <c:y val="0.1839983105560081"/>
          <c:w val="0.81498385192557254"/>
          <c:h val="0.75221116228395979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'44 ocena syt. mat. g. społ-ek.'!$B$12</c:f>
              <c:strCache>
                <c:ptCount val="1"/>
                <c:pt idx="0">
                  <c:v>raczej zła + zła</c:v>
                </c:pt>
              </c:strCache>
            </c:strRef>
          </c:tx>
          <c:spPr>
            <a:solidFill>
              <a:srgbClr val="334A92"/>
            </a:solidFill>
            <a:ln w="3175"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'44 ocena syt. mat. g. społ-ek.'!$C$11:$H$11</c:f>
              <c:strCache>
                <c:ptCount val="6"/>
                <c:pt idx="0">
                  <c:v>renciści</c:v>
                </c:pt>
                <c:pt idx="1">
                  <c:v>emeryci</c:v>
                </c:pt>
                <c:pt idx="2">
                  <c:v>pracujący
na własny
rachunek</c:v>
                </c:pt>
                <c:pt idx="3">
                  <c:v>rolnicy</c:v>
                </c:pt>
                <c:pt idx="4">
                  <c:v>pracownicy</c:v>
                </c:pt>
                <c:pt idx="5">
                  <c:v>Ogółem</c:v>
                </c:pt>
              </c:strCache>
            </c:strRef>
          </c:cat>
          <c:val>
            <c:numRef>
              <c:f>'44 ocena syt. mat. g. społ-ek.'!$C$12:$H$12</c:f>
              <c:numCache>
                <c:formatCode>0.0%</c:formatCode>
                <c:ptCount val="6"/>
                <c:pt idx="0">
                  <c:v>0.23868860948873608</c:v>
                </c:pt>
                <c:pt idx="1">
                  <c:v>0.10627992087042532</c:v>
                </c:pt>
                <c:pt idx="2">
                  <c:v>1.7692647798710177E-2</c:v>
                </c:pt>
                <c:pt idx="3">
                  <c:v>4.6420955598722911E-2</c:v>
                </c:pt>
                <c:pt idx="4">
                  <c:v>4.2769319250468264E-2</c:v>
                </c:pt>
                <c:pt idx="5">
                  <c:v>8.0538358218314024E-2</c:v>
                </c:pt>
              </c:numCache>
            </c:numRef>
          </c:val>
        </c:ser>
        <c:ser>
          <c:idx val="0"/>
          <c:order val="1"/>
          <c:tx>
            <c:strRef>
              <c:f>'44 ocena syt. mat. g. społ-ek.'!$B$13</c:f>
              <c:strCache>
                <c:ptCount val="1"/>
                <c:pt idx="0">
                  <c:v>przeciętna</c:v>
                </c:pt>
              </c:strCache>
            </c:strRef>
          </c:tx>
          <c:spPr>
            <a:solidFill>
              <a:srgbClr val="6677AD"/>
            </a:solidFill>
            <a:ln w="3175"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'44 ocena syt. mat. g. społ-ek.'!$C$11:$H$11</c:f>
              <c:strCache>
                <c:ptCount val="6"/>
                <c:pt idx="0">
                  <c:v>renciści</c:v>
                </c:pt>
                <c:pt idx="1">
                  <c:v>emeryci</c:v>
                </c:pt>
                <c:pt idx="2">
                  <c:v>pracujący
na własny
rachunek</c:v>
                </c:pt>
                <c:pt idx="3">
                  <c:v>rolnicy</c:v>
                </c:pt>
                <c:pt idx="4">
                  <c:v>pracownicy</c:v>
                </c:pt>
                <c:pt idx="5">
                  <c:v>Ogółem</c:v>
                </c:pt>
              </c:strCache>
            </c:strRef>
          </c:cat>
          <c:val>
            <c:numRef>
              <c:f>'44 ocena syt. mat. g. społ-ek.'!$C$13:$H$13</c:f>
              <c:numCache>
                <c:formatCode>0.0%</c:formatCode>
                <c:ptCount val="6"/>
                <c:pt idx="0">
                  <c:v>0.58003136058923377</c:v>
                </c:pt>
                <c:pt idx="1">
                  <c:v>0.55264317507418392</c:v>
                </c:pt>
                <c:pt idx="2">
                  <c:v>0.28075580243023618</c:v>
                </c:pt>
                <c:pt idx="3">
                  <c:v>0.52182786365092992</c:v>
                </c:pt>
                <c:pt idx="4">
                  <c:v>0.45036105778981023</c:v>
                </c:pt>
                <c:pt idx="5">
                  <c:v>0.47939039650649695</c:v>
                </c:pt>
              </c:numCache>
            </c:numRef>
          </c:val>
        </c:ser>
        <c:ser>
          <c:idx val="3"/>
          <c:order val="2"/>
          <c:tx>
            <c:strRef>
              <c:f>'44 ocena syt. mat. g. społ-ek.'!$B$14</c:f>
              <c:strCache>
                <c:ptCount val="1"/>
                <c:pt idx="0">
                  <c:v>bardzo dobra + raczej dobra</c:v>
                </c:pt>
              </c:strCache>
            </c:strRef>
          </c:tx>
          <c:spPr>
            <a:solidFill>
              <a:srgbClr val="99A5C9"/>
            </a:solidFill>
            <a:ln w="3175">
              <a:noFill/>
            </a:ln>
            <a:effectLst/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'44 ocena syt. mat. g. społ-ek.'!$C$11:$H$11</c:f>
              <c:strCache>
                <c:ptCount val="6"/>
                <c:pt idx="0">
                  <c:v>renciści</c:v>
                </c:pt>
                <c:pt idx="1">
                  <c:v>emeryci</c:v>
                </c:pt>
                <c:pt idx="2">
                  <c:v>pracujący
na własny
rachunek</c:v>
                </c:pt>
                <c:pt idx="3">
                  <c:v>rolnicy</c:v>
                </c:pt>
                <c:pt idx="4">
                  <c:v>pracownicy</c:v>
                </c:pt>
                <c:pt idx="5">
                  <c:v>Ogółem</c:v>
                </c:pt>
              </c:strCache>
            </c:strRef>
          </c:cat>
          <c:val>
            <c:numRef>
              <c:f>'44 ocena syt. mat. g. społ-ek.'!$C$14:$H$14</c:f>
              <c:numCache>
                <c:formatCode>0.0%</c:formatCode>
                <c:ptCount val="6"/>
                <c:pt idx="0">
                  <c:v>0.18128146848116927</c:v>
                </c:pt>
                <c:pt idx="1">
                  <c:v>0.34097665677546984</c:v>
                </c:pt>
                <c:pt idx="2">
                  <c:v>0.70135256618099218</c:v>
                </c:pt>
                <c:pt idx="3">
                  <c:v>0.43184920261272419</c:v>
                </c:pt>
                <c:pt idx="4">
                  <c:v>0.5066697696012421</c:v>
                </c:pt>
                <c:pt idx="5">
                  <c:v>0.44007139264058676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7"/>
        <c:axId val="-1360774112"/>
        <c:axId val="-1360772480"/>
      </c:barChart>
      <c:catAx>
        <c:axId val="-1360774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0772480"/>
        <c:crosses val="autoZero"/>
        <c:auto val="1"/>
        <c:lblAlgn val="ctr"/>
        <c:lblOffset val="100"/>
        <c:noMultiLvlLbl val="0"/>
      </c:catAx>
      <c:valAx>
        <c:axId val="-1360772480"/>
        <c:scaling>
          <c:orientation val="minMax"/>
          <c:max val="1"/>
          <c:min val="0"/>
        </c:scaling>
        <c:delete val="0"/>
        <c:axPos val="b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0774112"/>
        <c:crosses val="autoZero"/>
        <c:crossBetween val="between"/>
        <c:majorUnit val="0.2"/>
        <c:minorUnit val="0.1"/>
      </c:valAx>
    </c:plotArea>
    <c:legend>
      <c:legendPos val="r"/>
      <c:layout>
        <c:manualLayout>
          <c:xMode val="edge"/>
          <c:yMode val="edge"/>
          <c:x val="0.13877764907593268"/>
          <c:y val="0.11964928682119981"/>
          <c:w val="0.83673818385197207"/>
          <c:h val="5.0186557562657601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8238961297558148"/>
          <c:y val="0.23171275102240127"/>
          <c:w val="0.77624447501683103"/>
          <c:h val="0.687416379601125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'45 ocena syt. mat. miasto wieś'!$B$12</c:f>
              <c:strCache>
                <c:ptCount val="1"/>
                <c:pt idx="0">
                  <c:v>raczej zła + zła</c:v>
                </c:pt>
              </c:strCache>
            </c:strRef>
          </c:tx>
          <c:spPr>
            <a:solidFill>
              <a:srgbClr val="334A92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'45 ocena syt. mat. miasto wieś'!$C$11:$F$11</c:f>
              <c:strCache>
                <c:ptCount val="4"/>
                <c:pt idx="0">
                  <c:v>Wieś</c:v>
                </c:pt>
                <c:pt idx="1">
                  <c:v>Miasta 500 tys. lub większe</c:v>
                </c:pt>
                <c:pt idx="2">
                  <c:v>Miasta razem</c:v>
                </c:pt>
                <c:pt idx="3">
                  <c:v>Ogółem</c:v>
                </c:pt>
              </c:strCache>
            </c:strRef>
          </c:cat>
          <c:val>
            <c:numRef>
              <c:f>'45 ocena syt. mat. miasto wieś'!$C$12:$F$12</c:f>
              <c:numCache>
                <c:formatCode>0.0%</c:formatCode>
                <c:ptCount val="4"/>
                <c:pt idx="0">
                  <c:v>8.6327968600612537E-2</c:v>
                </c:pt>
                <c:pt idx="1">
                  <c:v>6.7652869901816501E-2</c:v>
                </c:pt>
                <c:pt idx="2">
                  <c:v>7.7739080209994357E-2</c:v>
                </c:pt>
                <c:pt idx="3">
                  <c:v>8.0538352284030862E-2</c:v>
                </c:pt>
              </c:numCache>
            </c:numRef>
          </c:val>
        </c:ser>
        <c:ser>
          <c:idx val="1"/>
          <c:order val="1"/>
          <c:tx>
            <c:strRef>
              <c:f>'45 ocena syt. mat. miasto wieś'!$B$13</c:f>
              <c:strCache>
                <c:ptCount val="1"/>
                <c:pt idx="0">
                  <c:v>przeciętna</c:v>
                </c:pt>
              </c:strCache>
            </c:strRef>
          </c:tx>
          <c:spPr>
            <a:solidFill>
              <a:srgbClr val="6677AD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'45 ocena syt. mat. miasto wieś'!$C$11:$F$11</c:f>
              <c:strCache>
                <c:ptCount val="4"/>
                <c:pt idx="0">
                  <c:v>Wieś</c:v>
                </c:pt>
                <c:pt idx="1">
                  <c:v>Miasta 500 tys. lub większe</c:v>
                </c:pt>
                <c:pt idx="2">
                  <c:v>Miasta razem</c:v>
                </c:pt>
                <c:pt idx="3">
                  <c:v>Ogółem</c:v>
                </c:pt>
              </c:strCache>
            </c:strRef>
          </c:cat>
          <c:val>
            <c:numRef>
              <c:f>'45 ocena syt. mat. miasto wieś'!$C$13:$F$13</c:f>
              <c:numCache>
                <c:formatCode>0.0%</c:formatCode>
                <c:ptCount val="4"/>
                <c:pt idx="0">
                  <c:v>0.52083981609989527</c:v>
                </c:pt>
                <c:pt idx="1">
                  <c:v>0.40185127315981534</c:v>
                </c:pt>
                <c:pt idx="2">
                  <c:v>0.45944629224055344</c:v>
                </c:pt>
                <c:pt idx="3">
                  <c:v>0.4793903611837213</c:v>
                </c:pt>
              </c:numCache>
            </c:numRef>
          </c:val>
        </c:ser>
        <c:ser>
          <c:idx val="2"/>
          <c:order val="2"/>
          <c:tx>
            <c:strRef>
              <c:f>'45 ocena syt. mat. miasto wieś'!$B$14</c:f>
              <c:strCache>
                <c:ptCount val="1"/>
                <c:pt idx="0">
                  <c:v>bardzo dobra + raczej dobra</c:v>
                </c:pt>
              </c:strCache>
            </c:strRef>
          </c:tx>
          <c:spPr>
            <a:solidFill>
              <a:srgbClr val="99A5C9"/>
            </a:solidFill>
            <a:ln w="3175"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'45 ocena syt. mat. miasto wieś'!$C$11:$F$11</c:f>
              <c:strCache>
                <c:ptCount val="4"/>
                <c:pt idx="0">
                  <c:v>Wieś</c:v>
                </c:pt>
                <c:pt idx="1">
                  <c:v>Miasta 500 tys. lub większe</c:v>
                </c:pt>
                <c:pt idx="2">
                  <c:v>Miasta razem</c:v>
                </c:pt>
                <c:pt idx="3">
                  <c:v>Ogółem</c:v>
                </c:pt>
              </c:strCache>
            </c:strRef>
          </c:cat>
          <c:val>
            <c:numRef>
              <c:f>'45 ocena syt. mat. miasto wieś'!$C$14:$F$14</c:f>
              <c:numCache>
                <c:formatCode>0.0%</c:formatCode>
                <c:ptCount val="4"/>
                <c:pt idx="0">
                  <c:v>0.39303221529949217</c:v>
                </c:pt>
                <c:pt idx="1">
                  <c:v>0.53049636096046449</c:v>
                </c:pt>
                <c:pt idx="2">
                  <c:v>0.46281462754945218</c:v>
                </c:pt>
                <c:pt idx="3">
                  <c:v>0.44007128653224781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-1360773568"/>
        <c:axId val="-1360773024"/>
      </c:barChart>
      <c:catAx>
        <c:axId val="-13607735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0773024"/>
        <c:crosses val="autoZero"/>
        <c:auto val="1"/>
        <c:lblAlgn val="ctr"/>
        <c:lblOffset val="100"/>
        <c:noMultiLvlLbl val="0"/>
      </c:catAx>
      <c:valAx>
        <c:axId val="-1360773024"/>
        <c:scaling>
          <c:orientation val="minMax"/>
          <c:max val="1"/>
          <c:min val="0"/>
        </c:scaling>
        <c:delete val="0"/>
        <c:axPos val="b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0773568"/>
        <c:crosses val="autoZero"/>
        <c:crossBetween val="between"/>
        <c:majorUnit val="0.2"/>
        <c:minorUnit val="5.0000000000000024E-2"/>
      </c:valAx>
    </c:plotArea>
    <c:legend>
      <c:legendPos val="r"/>
      <c:layout>
        <c:manualLayout>
          <c:xMode val="edge"/>
          <c:yMode val="edge"/>
          <c:x val="0.17821824893680779"/>
          <c:y val="0.14881111367184935"/>
          <c:w val="0.79952346105435712"/>
          <c:h val="5.8132070352974248E-2"/>
        </c:manualLayout>
      </c:layout>
      <c:overlay val="0"/>
      <c:spPr>
        <a:solidFill>
          <a:schemeClr val="bg1"/>
        </a:solidFill>
        <a:ln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9725659292588453E-2"/>
          <c:y val="0.25636479200783691"/>
          <c:w val="0.91432281902262214"/>
          <c:h val="0.6224143596238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 wskaź. doch,wyd gosp. ogółem'!$B$5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 wskaź. doch,wyd gosp. ogółem'!$C$4:$G$4</c:f>
              <c:strCache>
                <c:ptCount val="5"/>
                <c:pt idx="0">
                  <c:v>pracownicy</c:v>
                </c:pt>
                <c:pt idx="1">
                  <c:v>rolnicy</c:v>
                </c:pt>
                <c:pt idx="2">
                  <c:v>pracujący na własny rachunek</c:v>
                </c:pt>
                <c:pt idx="3">
                  <c:v>emeryci</c:v>
                </c:pt>
                <c:pt idx="4">
                  <c:v>renciści</c:v>
                </c:pt>
              </c:strCache>
            </c:strRef>
          </c:cat>
          <c:val>
            <c:numRef>
              <c:f>'3 wskaź. doch,wyd gosp. ogółem'!$C$5:$G$5</c:f>
              <c:numCache>
                <c:formatCode>0.0%</c:formatCode>
                <c:ptCount val="5"/>
                <c:pt idx="0">
                  <c:v>1.0054208543455412</c:v>
                </c:pt>
                <c:pt idx="1">
                  <c:v>0.93241056771343833</c:v>
                </c:pt>
                <c:pt idx="2">
                  <c:v>1.1879288557155174</c:v>
                </c:pt>
                <c:pt idx="3">
                  <c:v>1.023319121797976</c:v>
                </c:pt>
                <c:pt idx="4">
                  <c:v>0.79990079482243448</c:v>
                </c:pt>
              </c:numCache>
            </c:numRef>
          </c:val>
        </c:ser>
        <c:ser>
          <c:idx val="1"/>
          <c:order val="1"/>
          <c:tx>
            <c:strRef>
              <c:f>'3 wskaź. doch,wyd gosp. ogółem'!$B$6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1"/>
              <c:layout>
                <c:manualLayout>
                  <c:x val="2.4792363951902808E-3"/>
                  <c:y val="1.41794016241893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 wskaź. doch,wyd gosp. ogółem'!$C$4:$G$4</c:f>
              <c:strCache>
                <c:ptCount val="5"/>
                <c:pt idx="0">
                  <c:v>pracownicy</c:v>
                </c:pt>
                <c:pt idx="1">
                  <c:v>rolnicy</c:v>
                </c:pt>
                <c:pt idx="2">
                  <c:v>pracujący na własny rachunek</c:v>
                </c:pt>
                <c:pt idx="3">
                  <c:v>emeryci</c:v>
                </c:pt>
                <c:pt idx="4">
                  <c:v>renciści</c:v>
                </c:pt>
              </c:strCache>
            </c:strRef>
          </c:cat>
          <c:val>
            <c:numRef>
              <c:f>'3 wskaź. doch,wyd gosp. ogółem'!$C$6:$G$6</c:f>
              <c:numCache>
                <c:formatCode>0.0%</c:formatCode>
                <c:ptCount val="5"/>
                <c:pt idx="0">
                  <c:v>0.98580287481253059</c:v>
                </c:pt>
                <c:pt idx="1">
                  <c:v>0.73490554909593386</c:v>
                </c:pt>
                <c:pt idx="2">
                  <c:v>1.1792123755118558</c:v>
                </c:pt>
                <c:pt idx="3">
                  <c:v>1.0926815294137491</c:v>
                </c:pt>
                <c:pt idx="4">
                  <c:v>0.96153716529329458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484075072"/>
        <c:axId val="-1484081056"/>
      </c:barChart>
      <c:catAx>
        <c:axId val="-148407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5875">
            <a:solidFill>
              <a:sysClr val="windowText" lastClr="000000"/>
            </a:solidFill>
          </a:ln>
        </c:spPr>
        <c:crossAx val="-1484081056"/>
        <c:crossesAt val="1"/>
        <c:auto val="1"/>
        <c:lblAlgn val="ctr"/>
        <c:lblOffset val="100"/>
        <c:noMultiLvlLbl val="0"/>
      </c:catAx>
      <c:valAx>
        <c:axId val="-1484081056"/>
        <c:scaling>
          <c:orientation val="minMax"/>
          <c:max val="1.3"/>
          <c:min val="0.70000000000000351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84075072"/>
        <c:crossesAt val="1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pl-PL"/>
          </a:p>
        </c:txPr>
      </c:legendEntry>
      <c:layout>
        <c:manualLayout>
          <c:xMode val="edge"/>
          <c:yMode val="edge"/>
          <c:x val="7.2428650879606649E-2"/>
          <c:y val="0.18014379936195379"/>
          <c:w val="0.89983826398791966"/>
          <c:h val="5.7801361647554672E-2"/>
        </c:manualLayout>
      </c:layout>
      <c:overlay val="0"/>
      <c:spPr>
        <a:solidFill>
          <a:sysClr val="window" lastClr="FFFFFF"/>
        </a:solidFill>
        <a:ln w="6350">
          <a:noFill/>
        </a:ln>
      </c:spPr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9898020559930006"/>
          <c:y val="0.1424965752620862"/>
          <c:w val="0.464747570616173"/>
          <c:h val="0.684309039026797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4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5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7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'6 struktura dochodu'!$B$4:$B$12</c:f>
              <c:strCache>
                <c:ptCount val="9"/>
                <c:pt idx="0">
                  <c:v>Dochody z pracy najemnej</c:v>
                </c:pt>
                <c:pt idx="1">
                  <c:v>Dochody z pracy na własny rachunek</c:v>
                </c:pt>
                <c:pt idx="2">
                  <c:v>Dochody z gospodarstwa rolnego</c:v>
                </c:pt>
                <c:pt idx="3">
                  <c:v>Dochody ze świadczeń z ubezpieczeń społecznych</c:v>
                </c:pt>
                <c:pt idx="4">
                  <c:v>   w tym: z emerytur</c:v>
                </c:pt>
                <c:pt idx="5">
                  <c:v>   z rent</c:v>
                </c:pt>
                <c:pt idx="6">
                  <c:v>Dochody z pozostałych świadczeń społecznych</c:v>
                </c:pt>
                <c:pt idx="7">
                  <c:v>   w tym ze świadczenia wychowawczego</c:v>
                </c:pt>
                <c:pt idx="8">
                  <c:v>Inne dochody*</c:v>
                </c:pt>
              </c:strCache>
            </c:strRef>
          </c:cat>
          <c:val>
            <c:numRef>
              <c:f>'6 struktura dochodu'!$C$4:$C$12</c:f>
              <c:numCache>
                <c:formatCode>0.0%</c:formatCode>
                <c:ptCount val="9"/>
                <c:pt idx="0">
                  <c:v>0.52554533322310604</c:v>
                </c:pt>
                <c:pt idx="1">
                  <c:v>8.6975777402477694E-2</c:v>
                </c:pt>
                <c:pt idx="2">
                  <c:v>3.757986607301033E-2</c:v>
                </c:pt>
                <c:pt idx="3">
                  <c:v>0.2445643829792262</c:v>
                </c:pt>
                <c:pt idx="4">
                  <c:v>0.20501812856518617</c:v>
                </c:pt>
                <c:pt idx="5">
                  <c:v>3.3717950232069249E-2</c:v>
                </c:pt>
                <c:pt idx="6">
                  <c:v>6.7447710604324876E-2</c:v>
                </c:pt>
                <c:pt idx="7">
                  <c:v>3.9770647077580816E-2</c:v>
                </c:pt>
                <c:pt idx="8">
                  <c:v>3.7886929717855782E-2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484074528"/>
        <c:axId val="-1484075616"/>
      </c:barChart>
      <c:catAx>
        <c:axId val="-148407452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850"/>
            </a:pPr>
            <a:endParaRPr lang="pl-PL"/>
          </a:p>
        </c:txPr>
        <c:crossAx val="-1484075616"/>
        <c:crossesAt val="0"/>
        <c:auto val="1"/>
        <c:lblAlgn val="ctr"/>
        <c:lblOffset val="100"/>
        <c:noMultiLvlLbl val="0"/>
      </c:catAx>
      <c:valAx>
        <c:axId val="-1484075616"/>
        <c:scaling>
          <c:orientation val="minMax"/>
        </c:scaling>
        <c:delete val="0"/>
        <c:axPos val="b"/>
        <c:majorGridlines>
          <c:spPr>
            <a:ln w="6350"/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84074528"/>
        <c:crosses val="max"/>
        <c:crossBetween val="between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spcBef>
          <a:spcPts val="1200"/>
        </a:spcBef>
        <a:spcAft>
          <a:spcPts val="1200"/>
        </a:spcAft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0209387889013906E-2"/>
          <c:y val="0.15788040181108759"/>
          <c:w val="0.91036706349206353"/>
          <c:h val="0.76045861280276073"/>
        </c:manualLayout>
      </c:layout>
      <c:lineChart>
        <c:grouping val="standard"/>
        <c:varyColors val="0"/>
        <c:ser>
          <c:idx val="0"/>
          <c:order val="0"/>
          <c:tx>
            <c:strRef>
              <c:f>'7 Gini_miasto wieś'!$C$3</c:f>
              <c:strCache>
                <c:ptCount val="1"/>
                <c:pt idx="0">
                  <c:v>Polska</c:v>
                </c:pt>
              </c:strCache>
            </c:strRef>
          </c:tx>
          <c:spPr>
            <a:ln w="3175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solidFill>
                <a:sysClr val="windowText" lastClr="000000"/>
              </a:solidFill>
              <a:ln w="6350">
                <a:noFill/>
              </a:ln>
              <a:scene3d>
                <a:camera prst="orthographicFront"/>
                <a:lightRig rig="threePt" dir="t"/>
              </a:scene3d>
            </c:spPr>
          </c:marker>
          <c:dLbls>
            <c:dLbl>
              <c:idx val="0"/>
              <c:layout>
                <c:manualLayout>
                  <c:x val="-4.4520946062777095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216936794011327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18962089692531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21103244947264E-2"/>
                  <c:y val="4.1009965813307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378475909316927E-2"/>
                  <c:y val="4.1009965813307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739766328789641E-2"/>
                  <c:y val="4.100994800508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155001743754967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4384571724988879E-2"/>
                  <c:y val="-5.0769237602697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504561465132854E-2"/>
                  <c:y val="4.5063303257305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966220765155313E-2"/>
                  <c:y val="4.2305562868471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901788985134612E-2"/>
                  <c:y val="2.3844070777854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2939169816334304E-2"/>
                  <c:y val="3.1950640278705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232674040744992E-2"/>
                  <c:y val="4.1747451332891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416345781247408E-2"/>
                  <c:y val="4.3015243532514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9.8798546425653781E-3"/>
                  <c:y val="3.73073803730738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chemeClr val="tx1"/>
                    </a:solidFill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'7 Gini_miasto wieś'!$B$5:$B$19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'7 Gini_miasto wieś'!$C$5:$C$19</c:f>
              <c:numCache>
                <c:formatCode>0.000</c:formatCode>
                <c:ptCount val="15"/>
                <c:pt idx="0">
                  <c:v>0.34446000000000027</c:v>
                </c:pt>
                <c:pt idx="1">
                  <c:v>0.34507000000000027</c:v>
                </c:pt>
                <c:pt idx="2">
                  <c:v>0.34035000000000026</c:v>
                </c:pt>
                <c:pt idx="3">
                  <c:v>0.33966000000000035</c:v>
                </c:pt>
                <c:pt idx="4">
                  <c:v>0.33850000000000036</c:v>
                </c:pt>
                <c:pt idx="5">
                  <c:v>0.3355049207358124</c:v>
                </c:pt>
                <c:pt idx="6">
                  <c:v>0.34236787688916037</c:v>
                </c:pt>
                <c:pt idx="7">
                  <c:v>0.33760000000000023</c:v>
                </c:pt>
                <c:pt idx="8">
                  <c:v>0.33800000000000036</c:v>
                </c:pt>
                <c:pt idx="9">
                  <c:v>0.33760000000000023</c:v>
                </c:pt>
                <c:pt idx="10">
                  <c:v>0.32600000000000023</c:v>
                </c:pt>
                <c:pt idx="11">
                  <c:v>0.32210000000000022</c:v>
                </c:pt>
                <c:pt idx="12">
                  <c:v>0.30442534851211001</c:v>
                </c:pt>
                <c:pt idx="13">
                  <c:v>0.29780000000000023</c:v>
                </c:pt>
                <c:pt idx="14">
                  <c:v>0.29900000000000027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'7 Gini_miasto wieś'!$D$3</c:f>
              <c:strCache>
                <c:ptCount val="1"/>
                <c:pt idx="0">
                  <c:v>Miasto</c:v>
                </c:pt>
              </c:strCache>
            </c:strRef>
          </c:tx>
          <c:spPr>
            <a:ln w="31750">
              <a:solidFill>
                <a:srgbClr val="334A92"/>
              </a:solidFill>
            </a:ln>
          </c:spPr>
          <c:marker>
            <c:symbol val="circle"/>
            <c:size val="5"/>
            <c:spPr>
              <a:solidFill>
                <a:srgbClr val="334A92"/>
              </a:solidFill>
              <a:ln w="6350">
                <a:noFill/>
              </a:ln>
            </c:spPr>
          </c:marker>
          <c:dLbls>
            <c:dLbl>
              <c:idx val="0"/>
              <c:layout>
                <c:manualLayout>
                  <c:x val="-5.0687009947143209E-2"/>
                  <c:y val="-3.7282178933399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821432348732823E-2"/>
                  <c:y val="4.3766036139207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8979260966030816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618727905039494E-2"/>
                  <c:y val="3.3911019908823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3090392300343093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8070194405350238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863560210344719E-2"/>
                  <c:y val="5.5470092936280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754528177837661E-2"/>
                  <c:y val="4.26588026498298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0026998298697273E-2"/>
                  <c:y val="3.8603751173439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5459048310925E-2"/>
                  <c:y val="3.5690889765812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7130166797096519E-2"/>
                  <c:y val="3.45597247168657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1750179907204836E-2"/>
                  <c:y val="3.796343066245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8.2087973170595893E-2"/>
                  <c:y val="1.78632502676156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477926499425582E-2"/>
                  <c:y val="-4.389620093108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9213818521848061E-3"/>
                  <c:y val="-4.1362530413625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rgbClr val="334A92"/>
                    </a:solidFill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'7 Gini_miasto wieś'!$B$5:$B$19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'7 Gini_miasto wieś'!$D$5:$D$19</c:f>
              <c:numCache>
                <c:formatCode>0.000</c:formatCode>
                <c:ptCount val="15"/>
                <c:pt idx="0">
                  <c:v>0.33101000000000042</c:v>
                </c:pt>
                <c:pt idx="1">
                  <c:v>0.33253000000000033</c:v>
                </c:pt>
                <c:pt idx="2">
                  <c:v>0.3287400000000002</c:v>
                </c:pt>
                <c:pt idx="3">
                  <c:v>0.32499000000000022</c:v>
                </c:pt>
                <c:pt idx="4">
                  <c:v>0.31543000000000032</c:v>
                </c:pt>
                <c:pt idx="5">
                  <c:v>0.31200000000000022</c:v>
                </c:pt>
                <c:pt idx="6">
                  <c:v>0.32297183540666036</c:v>
                </c:pt>
                <c:pt idx="7">
                  <c:v>0.31740000000000035</c:v>
                </c:pt>
                <c:pt idx="8">
                  <c:v>0.31700000000000023</c:v>
                </c:pt>
                <c:pt idx="9">
                  <c:v>0.31240000000000023</c:v>
                </c:pt>
                <c:pt idx="10">
                  <c:v>0.30640000000000023</c:v>
                </c:pt>
                <c:pt idx="11">
                  <c:v>0.3031000000000002</c:v>
                </c:pt>
                <c:pt idx="12">
                  <c:v>0.28795411590439035</c:v>
                </c:pt>
                <c:pt idx="13">
                  <c:v>0.28090000000000021</c:v>
                </c:pt>
                <c:pt idx="14">
                  <c:v>0.28300000000000008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'7 Gini_miasto wieś'!$E$3</c:f>
              <c:strCache>
                <c:ptCount val="1"/>
                <c:pt idx="0">
                  <c:v>Wieś</c:v>
                </c:pt>
              </c:strCache>
            </c:strRef>
          </c:tx>
          <c:spPr>
            <a:ln w="31750">
              <a:solidFill>
                <a:srgbClr val="66B68E"/>
              </a:solidFill>
            </a:ln>
          </c:spPr>
          <c:marker>
            <c:symbol val="circle"/>
            <c:size val="5"/>
            <c:spPr>
              <a:solidFill>
                <a:srgbClr val="66B68E"/>
              </a:solidFill>
              <a:ln w="6350">
                <a:noFill/>
              </a:ln>
            </c:spPr>
          </c:marker>
          <c:dLbls>
            <c:dLbl>
              <c:idx val="0"/>
              <c:layout>
                <c:manualLayout>
                  <c:x val="-4.6962769521129162E-2"/>
                  <c:y val="3.7282178933399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204627935443053E-2"/>
                  <c:y val="-4.1367526935530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656032854883501E-2"/>
                  <c:y val="-5.0769237602697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540926466292776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192169241996905E-2"/>
                  <c:y val="-4.2015841416084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903262140588683E-2"/>
                  <c:y val="-4.6068382269113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123936529273114E-2"/>
                  <c:y val="4.32478690689640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3317608603696801E-2"/>
                  <c:y val="4.32478690689640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6601612038934671E-2"/>
                  <c:y val="-4.6068252169714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851220407195364E-2"/>
                  <c:y val="-4.2015841416084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9.3438357565007648E-3"/>
                  <c:y val="-3.1965862747081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1569154781942721E-2"/>
                  <c:y val="-2.7264960934781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145838909104511E-2"/>
                  <c:y val="-4.2664546224126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9842392794987651E-2"/>
                  <c:y val="-4.20161439674054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7479592663412443E-3"/>
                  <c:y val="-3.9740789700557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rgbClr val="339D68"/>
                    </a:solidFill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'7 Gini_miasto wieś'!$B$5:$B$19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'7 Gini_miasto wieś'!$E$5:$E$19</c:f>
              <c:numCache>
                <c:formatCode>0.000</c:formatCode>
                <c:ptCount val="15"/>
                <c:pt idx="0">
                  <c:v>0.32976000000000022</c:v>
                </c:pt>
                <c:pt idx="1">
                  <c:v>0.33587000000000045</c:v>
                </c:pt>
                <c:pt idx="2">
                  <c:v>0.33060000000000023</c:v>
                </c:pt>
                <c:pt idx="3">
                  <c:v>0.34109</c:v>
                </c:pt>
                <c:pt idx="4">
                  <c:v>0.34266000000000002</c:v>
                </c:pt>
                <c:pt idx="5">
                  <c:v>0.33800000000000036</c:v>
                </c:pt>
                <c:pt idx="6">
                  <c:v>0.33903730599697035</c:v>
                </c:pt>
                <c:pt idx="7">
                  <c:v>0.33680000000000038</c:v>
                </c:pt>
                <c:pt idx="8">
                  <c:v>0.34300000000000008</c:v>
                </c:pt>
                <c:pt idx="9">
                  <c:v>0.35240000000000027</c:v>
                </c:pt>
                <c:pt idx="10">
                  <c:v>0.32850000000000035</c:v>
                </c:pt>
                <c:pt idx="11">
                  <c:v>0.32260000000000022</c:v>
                </c:pt>
                <c:pt idx="12">
                  <c:v>0.30451602001432021</c:v>
                </c:pt>
                <c:pt idx="13">
                  <c:v>0.3016000000000002</c:v>
                </c:pt>
                <c:pt idx="14">
                  <c:v>0.30000000000000021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078336"/>
        <c:axId val="-1484076160"/>
      </c:lineChart>
      <c:catAx>
        <c:axId val="-1484078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84076160"/>
        <c:crosses val="autoZero"/>
        <c:auto val="1"/>
        <c:lblAlgn val="ctr"/>
        <c:lblOffset val="100"/>
        <c:noMultiLvlLbl val="0"/>
      </c:catAx>
      <c:valAx>
        <c:axId val="-1484076160"/>
        <c:scaling>
          <c:orientation val="minMax"/>
          <c:max val="0.36000000000000032"/>
          <c:min val="0.28000000000000008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.000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84078336"/>
        <c:crosses val="autoZero"/>
        <c:crossBetween val="between"/>
        <c:majorUnit val="2.0000000000000011E-2"/>
        <c:minorUnit val="2.0000000000000011E-2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5627628330845326E-2"/>
          <c:y val="0.73835118237957575"/>
          <c:w val="0.25434418353955784"/>
          <c:h val="0.14980908537819373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7580224346956646E-2"/>
          <c:y val="0.29597625598005112"/>
          <c:w val="0.92218492219722537"/>
          <c:h val="0.61101400912698389"/>
        </c:manualLayout>
      </c:layout>
      <c:lineChart>
        <c:grouping val="standard"/>
        <c:varyColors val="0"/>
        <c:ser>
          <c:idx val="1"/>
          <c:order val="1"/>
          <c:tx>
            <c:strRef>
              <c:f>'9 wyd. mieszkanie żywność'!$D$4</c:f>
              <c:strCache>
                <c:ptCount val="1"/>
                <c:pt idx="0">
                  <c:v> Żywność i napoje bezalkoholowe</c:v>
                </c:pt>
              </c:strCache>
            </c:strRef>
          </c:tx>
          <c:spPr>
            <a:ln w="31750">
              <a:solidFill>
                <a:srgbClr val="66B68E"/>
              </a:solidFill>
            </a:ln>
          </c:spPr>
          <c:marker>
            <c:symbol val="circle"/>
            <c:size val="5"/>
            <c:spPr>
              <a:solidFill>
                <a:srgbClr val="66B68E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'9 wyd. mieszkanie żywność'!$B$6:$B$20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'9 wyd. mieszkanie żywność'!$D$6:$D$20</c:f>
              <c:numCache>
                <c:formatCode>0.0%</c:formatCode>
                <c:ptCount val="15"/>
                <c:pt idx="0">
                  <c:v>0.27795508947908376</c:v>
                </c:pt>
                <c:pt idx="1">
                  <c:v>0.27864310426506267</c:v>
                </c:pt>
                <c:pt idx="2">
                  <c:v>0.26895285240927785</c:v>
                </c:pt>
                <c:pt idx="3">
                  <c:v>0.26437866052392994</c:v>
                </c:pt>
                <c:pt idx="4">
                  <c:v>0.2537880451491063</c:v>
                </c:pt>
                <c:pt idx="5">
                  <c:v>0.24905856112868927</c:v>
                </c:pt>
                <c:pt idx="6">
                  <c:v>0.24643045481229445</c:v>
                </c:pt>
                <c:pt idx="7">
                  <c:v>0.24880070838482421</c:v>
                </c:pt>
                <c:pt idx="8">
                  <c:v>0.2491713176757232</c:v>
                </c:pt>
                <c:pt idx="9">
                  <c:v>0.24899689177733855</c:v>
                </c:pt>
                <c:pt idx="10">
                  <c:v>0.24411813782746566</c:v>
                </c:pt>
                <c:pt idx="11">
                  <c:v>0.24039809748989649</c:v>
                </c:pt>
                <c:pt idx="12">
                  <c:v>0.24167579795694738</c:v>
                </c:pt>
                <c:pt idx="13">
                  <c:v>0.24348033048859288</c:v>
                </c:pt>
                <c:pt idx="14">
                  <c:v>0.24815900780209979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073984"/>
        <c:axId val="-1484080512"/>
      </c:lineChart>
      <c:lineChart>
        <c:grouping val="standard"/>
        <c:varyColors val="0"/>
        <c:ser>
          <c:idx val="0"/>
          <c:order val="0"/>
          <c:tx>
            <c:strRef>
              <c:f>'9 wyd. mieszkanie żywność'!$C$4</c:f>
              <c:strCache>
                <c:ptCount val="1"/>
                <c:pt idx="0">
                  <c:v> Mieszkanie lub dom i nośniki energii </c:v>
                </c:pt>
              </c:strCache>
            </c:strRef>
          </c:tx>
          <c:spPr>
            <a:ln w="31750">
              <a:solidFill>
                <a:srgbClr val="334A92"/>
              </a:solidFill>
            </a:ln>
          </c:spPr>
          <c:marker>
            <c:symbol val="circle"/>
            <c:size val="5"/>
            <c:spPr>
              <a:solidFill>
                <a:srgbClr val="334A9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'9 wyd. mieszkanie żywność'!$B$6:$B$20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'9 wyd. mieszkanie żywność'!$C$6:$C$20</c:f>
              <c:numCache>
                <c:formatCode>0.0%</c:formatCode>
                <c:ptCount val="15"/>
                <c:pt idx="0">
                  <c:v>0.20058702838253734</c:v>
                </c:pt>
                <c:pt idx="1">
                  <c:v>0.19471999310928964</c:v>
                </c:pt>
                <c:pt idx="2">
                  <c:v>0.19553674797397103</c:v>
                </c:pt>
                <c:pt idx="3">
                  <c:v>0.18273825569142577</c:v>
                </c:pt>
                <c:pt idx="4">
                  <c:v>0.18753568448328881</c:v>
                </c:pt>
                <c:pt idx="5">
                  <c:v>0.19506198454276696</c:v>
                </c:pt>
                <c:pt idx="6">
                  <c:v>0.20052137747131923</c:v>
                </c:pt>
                <c:pt idx="7">
                  <c:v>0.20621977444560141</c:v>
                </c:pt>
                <c:pt idx="8">
                  <c:v>0.20187740223437309</c:v>
                </c:pt>
                <c:pt idx="9">
                  <c:v>0.20774230008476988</c:v>
                </c:pt>
                <c:pt idx="10">
                  <c:v>0.20091032130077691</c:v>
                </c:pt>
                <c:pt idx="11">
                  <c:v>0.20113820691172021</c:v>
                </c:pt>
                <c:pt idx="12">
                  <c:v>0.19560107454667561</c:v>
                </c:pt>
                <c:pt idx="13">
                  <c:v>0.19543708136411544</c:v>
                </c:pt>
                <c:pt idx="14">
                  <c:v>0.18320610687022926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84079424"/>
        <c:axId val="-1484079968"/>
      </c:lineChart>
      <c:catAx>
        <c:axId val="-1484073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484080512"/>
        <c:crosses val="autoZero"/>
        <c:auto val="1"/>
        <c:lblAlgn val="ctr"/>
        <c:lblOffset val="100"/>
        <c:noMultiLvlLbl val="0"/>
      </c:catAx>
      <c:valAx>
        <c:axId val="-1484080512"/>
        <c:scaling>
          <c:orientation val="minMax"/>
          <c:max val="0.35000000000000031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84073984"/>
        <c:crosses val="autoZero"/>
        <c:crossBetween val="between"/>
        <c:majorUnit val="5.0000000000000024E-2"/>
        <c:minorUnit val="1.0000000000000005E-2"/>
      </c:valAx>
      <c:valAx>
        <c:axId val="-1484079968"/>
        <c:scaling>
          <c:orientation val="minMax"/>
          <c:max val="0.4"/>
          <c:min val="0"/>
        </c:scaling>
        <c:delete val="1"/>
        <c:axPos val="r"/>
        <c:numFmt formatCode="0%" sourceLinked="0"/>
        <c:majorTickMark val="out"/>
        <c:minorTickMark val="none"/>
        <c:tickLblPos val="none"/>
        <c:crossAx val="-1484079424"/>
        <c:crosses val="max"/>
        <c:crossBetween val="between"/>
      </c:valAx>
      <c:catAx>
        <c:axId val="-14840794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484079968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6225510873640797E-2"/>
          <c:y val="0.21061162535405967"/>
          <c:w val="0.9700205659491522"/>
          <c:h val="6.1741419915611342E-2"/>
        </c:manualLayout>
      </c:layout>
      <c:overlay val="0"/>
      <c:spPr>
        <a:solidFill>
          <a:schemeClr val="bg1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7775063273340834"/>
          <c:y val="0.12629346320205143"/>
          <c:w val="0.4863552212223472"/>
          <c:h val="0.8064540597864751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66B68E"/>
            </a:solidFill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'10 struktura wyd.'!$B$4:$B$17</c:f>
              <c:strCache>
                <c:ptCount val="14"/>
                <c:pt idx="0">
                  <c:v>żywność i napoje bezalkoholowe</c:v>
                </c:pt>
                <c:pt idx="1">
                  <c:v>napoje alkoholowe, wyroby tytoniowe</c:v>
                </c:pt>
                <c:pt idx="2">
                  <c:v>odzież i obuwie</c:v>
                </c:pt>
                <c:pt idx="3">
                  <c:v>użytkowanie mieszkania i nośniki energii</c:v>
                </c:pt>
                <c:pt idx="4">
                  <c:v>wyposażenie mieszkania i prowadzenie gosp. dom.</c:v>
                </c:pt>
                <c:pt idx="5">
                  <c:v>zdrowie</c:v>
                </c:pt>
                <c:pt idx="6">
                  <c:v>transport</c:v>
                </c:pt>
                <c:pt idx="7">
                  <c:v>łączność</c:v>
                </c:pt>
                <c:pt idx="8">
                  <c:v>rekreacja i kultura</c:v>
                </c:pt>
                <c:pt idx="9">
                  <c:v>edukacja</c:v>
                </c:pt>
                <c:pt idx="10">
                  <c:v>restauracje i hotele</c:v>
                </c:pt>
                <c:pt idx="11">
                  <c:v>pozostałe towary i usługi</c:v>
                </c:pt>
                <c:pt idx="12">
                  <c:v>wydatki pozostałe</c:v>
                </c:pt>
                <c:pt idx="13">
                  <c:v>kieszonkowe</c:v>
                </c:pt>
              </c:strCache>
            </c:strRef>
          </c:cat>
          <c:val>
            <c:numRef>
              <c:f>'10 struktura wyd.'!$C$4:$C$17</c:f>
              <c:numCache>
                <c:formatCode>0.0%</c:formatCode>
                <c:ptCount val="14"/>
                <c:pt idx="0">
                  <c:v>0.24815900780209979</c:v>
                </c:pt>
                <c:pt idx="1">
                  <c:v>2.4897629037965732E-2</c:v>
                </c:pt>
                <c:pt idx="2">
                  <c:v>4.9272871273781271E-2</c:v>
                </c:pt>
                <c:pt idx="3">
                  <c:v>0.18320610687022926</c:v>
                </c:pt>
                <c:pt idx="4">
                  <c:v>5.6527307348802729E-2</c:v>
                </c:pt>
                <c:pt idx="5">
                  <c:v>5.0064877070589632E-2</c:v>
                </c:pt>
                <c:pt idx="6">
                  <c:v>0.1045026372107915</c:v>
                </c:pt>
                <c:pt idx="7">
                  <c:v>4.0080548674654042E-2</c:v>
                </c:pt>
                <c:pt idx="8">
                  <c:v>6.4818091434541716E-2</c:v>
                </c:pt>
                <c:pt idx="9">
                  <c:v>1.037190570075662E-2</c:v>
                </c:pt>
                <c:pt idx="10">
                  <c:v>4.9626746204270086E-2</c:v>
                </c:pt>
                <c:pt idx="11">
                  <c:v>6.0622145830173751E-2</c:v>
                </c:pt>
                <c:pt idx="12">
                  <c:v>4.239758690999787E-2</c:v>
                </c:pt>
                <c:pt idx="13">
                  <c:v>1.5444113037763522E-2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484078880"/>
        <c:axId val="-1484076704"/>
      </c:barChart>
      <c:catAx>
        <c:axId val="-14840788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aseline="0"/>
            </a:pPr>
            <a:endParaRPr lang="pl-PL"/>
          </a:p>
        </c:txPr>
        <c:crossAx val="-1484076704"/>
        <c:crossesAt val="0"/>
        <c:auto val="1"/>
        <c:lblAlgn val="ctr"/>
        <c:lblOffset val="100"/>
        <c:noMultiLvlLbl val="0"/>
      </c:catAx>
      <c:valAx>
        <c:axId val="-1484076704"/>
        <c:scaling>
          <c:orientation val="minMax"/>
        </c:scaling>
        <c:delete val="0"/>
        <c:axPos val="b"/>
        <c:majorGridlines>
          <c:spPr>
            <a:ln w="6350"/>
          </c:spPr>
        </c:majorGridlines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484078880"/>
        <c:crosses val="max"/>
        <c:crossBetween val="between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9018911698537696E-2"/>
          <c:y val="0.3012864041253841"/>
          <c:w val="0.92000257780277461"/>
          <c:h val="0.610959903829946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 dochody wydatki kwintyle'!$B$3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ln w="38100"/>
            <a:scene3d>
              <a:camera prst="orthographicFront"/>
              <a:lightRig rig="threePt" dir="t"/>
            </a:scene3d>
          </c:spPr>
          <c:invertIfNegative val="0"/>
          <c:dLbls>
            <c:dLbl>
              <c:idx val="5"/>
              <c:layout>
                <c:manualLayout>
                  <c:x val="0"/>
                  <c:y val="1.08748831094908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'13 dochody wydatki kwintyle'!$C$2:$H$2</c:f>
              <c:strCache>
                <c:ptCount val="6"/>
                <c:pt idx="0">
                  <c:v>Ogółem</c:v>
                </c:pt>
                <c:pt idx="1">
                  <c:v>pierwsza</c:v>
                </c:pt>
                <c:pt idx="2">
                  <c:v>druga</c:v>
                </c:pt>
                <c:pt idx="3">
                  <c:v>trzecia</c:v>
                </c:pt>
                <c:pt idx="4">
                  <c:v>czwarta</c:v>
                </c:pt>
                <c:pt idx="5">
                  <c:v>piąta</c:v>
                </c:pt>
              </c:strCache>
            </c:strRef>
          </c:cat>
          <c:val>
            <c:numRef>
              <c:f>'13 dochody wydatki kwintyle'!$C$3:$H$3</c:f>
              <c:numCache>
                <c:formatCode>0.00</c:formatCode>
                <c:ptCount val="6"/>
                <c:pt idx="0">
                  <c:v>1693.46</c:v>
                </c:pt>
                <c:pt idx="1">
                  <c:v>673.01</c:v>
                </c:pt>
                <c:pt idx="2">
                  <c:v>1141.43</c:v>
                </c:pt>
                <c:pt idx="3">
                  <c:v>1478.95</c:v>
                </c:pt>
                <c:pt idx="4">
                  <c:v>1903.45</c:v>
                </c:pt>
                <c:pt idx="5">
                  <c:v>3277.02</c:v>
                </c:pt>
              </c:numCache>
            </c:numRef>
          </c:val>
        </c:ser>
        <c:ser>
          <c:idx val="1"/>
          <c:order val="1"/>
          <c:tx>
            <c:strRef>
              <c:f>'13 dochody wydatki kwintyle'!$B$4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ln w="38100"/>
            <a:effectLst/>
            <a:scene3d>
              <a:camera prst="orthographicFront"/>
              <a:lightRig rig="threePt" dir="t"/>
            </a:scene3d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'13 dochody wydatki kwintyle'!$C$2:$H$2</c:f>
              <c:strCache>
                <c:ptCount val="6"/>
                <c:pt idx="0">
                  <c:v>Ogółem</c:v>
                </c:pt>
                <c:pt idx="1">
                  <c:v>pierwsza</c:v>
                </c:pt>
                <c:pt idx="2">
                  <c:v>druga</c:v>
                </c:pt>
                <c:pt idx="3">
                  <c:v>trzecia</c:v>
                </c:pt>
                <c:pt idx="4">
                  <c:v>czwarta</c:v>
                </c:pt>
                <c:pt idx="5">
                  <c:v>piąta</c:v>
                </c:pt>
              </c:strCache>
            </c:strRef>
          </c:cat>
          <c:val>
            <c:numRef>
              <c:f>'13 dochody wydatki kwintyle'!$C$4:$H$4</c:f>
              <c:numCache>
                <c:formatCode>0.00</c:formatCode>
                <c:ptCount val="6"/>
                <c:pt idx="0">
                  <c:v>1186.8599999999999</c:v>
                </c:pt>
                <c:pt idx="1">
                  <c:v>723.9399999999996</c:v>
                </c:pt>
                <c:pt idx="2">
                  <c:v>849.62</c:v>
                </c:pt>
                <c:pt idx="3">
                  <c:v>1046.52</c:v>
                </c:pt>
                <c:pt idx="4">
                  <c:v>1309.49</c:v>
                </c:pt>
                <c:pt idx="5">
                  <c:v>2008.1499999999999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"/>
        <c:axId val="-1362530352"/>
        <c:axId val="-1362532528"/>
      </c:barChart>
      <c:barChart>
        <c:barDir val="col"/>
        <c:grouping val="clustered"/>
        <c:varyColors val="0"/>
        <c:ser>
          <c:idx val="2"/>
          <c:order val="2"/>
          <c:tx>
            <c:strRef>
              <c:f>'13 dochody wydatki kwintyle'!$B$5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5F5F5F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4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5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  <a:scene3d>
                <a:camera prst="orthographicFront"/>
                <a:lightRig rig="threePt" dir="t"/>
              </a:scene3d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'13 dochody wydatki kwintyle'!$C$2:$H$2</c:f>
              <c:strCache>
                <c:ptCount val="6"/>
                <c:pt idx="0">
                  <c:v>Ogółem</c:v>
                </c:pt>
                <c:pt idx="1">
                  <c:v>pierwsza</c:v>
                </c:pt>
                <c:pt idx="2">
                  <c:v>druga</c:v>
                </c:pt>
                <c:pt idx="3">
                  <c:v>trzecia</c:v>
                </c:pt>
                <c:pt idx="4">
                  <c:v>czwarta</c:v>
                </c:pt>
                <c:pt idx="5">
                  <c:v>piąta</c:v>
                </c:pt>
              </c:strCache>
            </c:strRef>
          </c:cat>
          <c:val>
            <c:numRef>
              <c:f>'13 dochody wydatki kwintyle'!$C$5:$H$5</c:f>
              <c:numCache>
                <c:formatCode>0.0%</c:formatCode>
                <c:ptCount val="6"/>
                <c:pt idx="0">
                  <c:v>0.70084914907939999</c:v>
                </c:pt>
                <c:pt idx="1">
                  <c:v>1.07567495282388</c:v>
                </c:pt>
                <c:pt idx="2">
                  <c:v>0.74434700332039694</c:v>
                </c:pt>
                <c:pt idx="3">
                  <c:v>0.70761012880759999</c:v>
                </c:pt>
                <c:pt idx="4">
                  <c:v>0.68795607974992756</c:v>
                </c:pt>
                <c:pt idx="5">
                  <c:v>0.61279760270001471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62527632"/>
        <c:axId val="-1362533616"/>
      </c:barChart>
      <c:catAx>
        <c:axId val="-136253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2532528"/>
        <c:crosses val="autoZero"/>
        <c:auto val="1"/>
        <c:lblAlgn val="ctr"/>
        <c:lblOffset val="100"/>
        <c:noMultiLvlLbl val="0"/>
      </c:catAx>
      <c:valAx>
        <c:axId val="-1362532528"/>
        <c:scaling>
          <c:orientation val="minMax"/>
          <c:max val="3500"/>
          <c:min val="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6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2530352"/>
        <c:crosses val="autoZero"/>
        <c:crossBetween val="between"/>
      </c:valAx>
      <c:valAx>
        <c:axId val="-1362533616"/>
        <c:scaling>
          <c:orientation val="minMax"/>
          <c:max val="1.4"/>
          <c:min val="0"/>
        </c:scaling>
        <c:delete val="1"/>
        <c:axPos val="r"/>
        <c:numFmt formatCode="0%" sourceLinked="0"/>
        <c:majorTickMark val="out"/>
        <c:minorTickMark val="none"/>
        <c:tickLblPos val="none"/>
        <c:crossAx val="-1362527632"/>
        <c:crosses val="max"/>
        <c:crossBetween val="between"/>
        <c:majorUnit val="0.2"/>
      </c:valAx>
      <c:catAx>
        <c:axId val="-1362527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36253361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6.7434163666344679E-2"/>
          <c:y val="0.187455982905983"/>
          <c:w val="0.93256583633365564"/>
          <c:h val="9.7741025641025644E-2"/>
        </c:manualLayout>
      </c:layout>
      <c:overlay val="0"/>
      <c:spPr>
        <a:noFill/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8994110111236105E-2"/>
          <c:y val="0.27508891175837064"/>
          <c:w val="0.92008928571428572"/>
          <c:h val="0.54674069996569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'19 dochody wydatki klm'!$B$4</c:f>
              <c:strCache>
                <c:ptCount val="1"/>
                <c:pt idx="0">
                  <c:v>Dochód rozporządzalny</c:v>
                </c:pt>
              </c:strCache>
            </c:strRef>
          </c:tx>
          <c:spPr>
            <a:solidFill>
              <a:srgbClr val="334A92"/>
            </a:solidFill>
            <a:scene3d>
              <a:camera prst="orthographicFront"/>
              <a:lightRig rig="threePt" dir="t"/>
            </a:scene3d>
          </c:spPr>
          <c:invertIfNegative val="0"/>
          <c:dLbls>
            <c:dLbl>
              <c:idx val="2"/>
              <c:layout>
                <c:manualLayout>
                  <c:x val="0"/>
                  <c:y val="8.51034744331069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0904284356260622E-17"/>
                  <c:y val="8.71056241426612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'19 dochody wydatki klm'!$C$3:$J$3</c:f>
              <c:strCache>
                <c:ptCount val="8"/>
                <c:pt idx="0">
                  <c:v>Ogółem</c:v>
                </c:pt>
                <c:pt idx="1">
                  <c:v>Miasta ogółem</c:v>
                </c:pt>
                <c:pt idx="2">
                  <c:v>Miasta poniżej
20 tys.</c:v>
                </c:pt>
                <c:pt idx="3">
                  <c:v>Miasta
20–99
tys. </c:v>
                </c:pt>
                <c:pt idx="4">
                  <c:v>Miasta
100–199
tys.</c:v>
                </c:pt>
                <c:pt idx="5">
                  <c:v>Miasta
200–499
tys.</c:v>
                </c:pt>
                <c:pt idx="6">
                  <c:v>Miasta 500 tys.
i większe</c:v>
                </c:pt>
                <c:pt idx="7">
                  <c:v>Wieś</c:v>
                </c:pt>
              </c:strCache>
            </c:strRef>
          </c:cat>
          <c:val>
            <c:numRef>
              <c:f>'19 dochody wydatki klm'!$C$4:$J$4</c:f>
              <c:numCache>
                <c:formatCode>0</c:formatCode>
                <c:ptCount val="8"/>
                <c:pt idx="0">
                  <c:v>1693.46</c:v>
                </c:pt>
                <c:pt idx="1">
                  <c:v>1860.36</c:v>
                </c:pt>
                <c:pt idx="2">
                  <c:v>1601.62</c:v>
                </c:pt>
                <c:pt idx="3">
                  <c:v>1707.8899999999999</c:v>
                </c:pt>
                <c:pt idx="4">
                  <c:v>1779.82</c:v>
                </c:pt>
                <c:pt idx="5">
                  <c:v>1978.53</c:v>
                </c:pt>
                <c:pt idx="6">
                  <c:v>2339.61</c:v>
                </c:pt>
                <c:pt idx="7">
                  <c:v>1432.72</c:v>
                </c:pt>
              </c:numCache>
            </c:numRef>
          </c:val>
        </c:ser>
        <c:ser>
          <c:idx val="1"/>
          <c:order val="1"/>
          <c:tx>
            <c:strRef>
              <c:f>'19 dochody wydatki klm'!$B$5</c:f>
              <c:strCache>
                <c:ptCount val="1"/>
                <c:pt idx="0">
                  <c:v>Wydatki</c:v>
                </c:pt>
              </c:strCache>
            </c:strRef>
          </c:tx>
          <c:spPr>
            <a:solidFill>
              <a:srgbClr val="66B68E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'19 dochody wydatki klm'!$C$3:$J$3</c:f>
              <c:strCache>
                <c:ptCount val="8"/>
                <c:pt idx="0">
                  <c:v>Ogółem</c:v>
                </c:pt>
                <c:pt idx="1">
                  <c:v>Miasta ogółem</c:v>
                </c:pt>
                <c:pt idx="2">
                  <c:v>Miasta poniżej
20 tys.</c:v>
                </c:pt>
                <c:pt idx="3">
                  <c:v>Miasta
20–99
tys. </c:v>
                </c:pt>
                <c:pt idx="4">
                  <c:v>Miasta
100–199
tys.</c:v>
                </c:pt>
                <c:pt idx="5">
                  <c:v>Miasta
200–499
tys.</c:v>
                </c:pt>
                <c:pt idx="6">
                  <c:v>Miasta 500 tys.
i większe</c:v>
                </c:pt>
                <c:pt idx="7">
                  <c:v>Wieś</c:v>
                </c:pt>
              </c:strCache>
            </c:strRef>
          </c:cat>
          <c:val>
            <c:numRef>
              <c:f>'19 dochody wydatki klm'!$C$5:$J$5</c:f>
              <c:numCache>
                <c:formatCode>0</c:formatCode>
                <c:ptCount val="8"/>
                <c:pt idx="0">
                  <c:v>1186.8599999999999</c:v>
                </c:pt>
                <c:pt idx="1">
                  <c:v>1319.04</c:v>
                </c:pt>
                <c:pt idx="2">
                  <c:v>1106.8499999999999</c:v>
                </c:pt>
                <c:pt idx="3">
                  <c:v>1207.98</c:v>
                </c:pt>
                <c:pt idx="4">
                  <c:v>1272.04</c:v>
                </c:pt>
                <c:pt idx="5">
                  <c:v>1494.48</c:v>
                </c:pt>
                <c:pt idx="6">
                  <c:v>1622.35</c:v>
                </c:pt>
                <c:pt idx="7">
                  <c:v>980.37</c:v>
                </c:pt>
              </c:numCache>
            </c:numRef>
          </c:val>
        </c:ser>
        <c:ser>
          <c:idx val="2"/>
          <c:order val="2"/>
          <c:tx>
            <c:strRef>
              <c:f>'19 dochody wydatki klm'!$B$6</c:f>
              <c:strCache>
                <c:ptCount val="1"/>
                <c:pt idx="0">
                  <c:v>Udział wydatków w dochodzie rozporządzalnym</c:v>
                </c:pt>
              </c:strCache>
            </c:strRef>
          </c:tx>
          <c:spPr>
            <a:solidFill>
              <a:srgbClr val="4D4D4D">
                <a:lumMod val="20000"/>
                <a:lumOff val="80000"/>
              </a:srgbClr>
            </a:solidFill>
            <a:ln w="3175">
              <a:solidFill>
                <a:srgbClr val="4D4D4D">
                  <a:lumMod val="40000"/>
                  <a:lumOff val="60000"/>
                </a:srgbClr>
              </a:solidFill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1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2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Pt>
            <c:idx val="3"/>
            <c:invertIfNegative val="0"/>
            <c:bubble3D val="0"/>
            <c:spPr>
              <a:noFill/>
              <a:ln w="3175">
                <a:noFill/>
              </a:ln>
              <a:scene3d>
                <a:camera prst="orthographicFront"/>
                <a:lightRig rig="threePt" dir="t"/>
              </a:scene3d>
            </c:spPr>
          </c:dPt>
          <c:dLbls>
            <c:spPr>
              <a:solidFill>
                <a:srgbClr val="4D4D4D">
                  <a:lumMod val="20000"/>
                  <a:lumOff val="80000"/>
                </a:srgbClr>
              </a:solidFill>
              <a:ln w="3175"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'19 dochody wydatki klm'!$C$3:$J$3</c:f>
              <c:strCache>
                <c:ptCount val="8"/>
                <c:pt idx="0">
                  <c:v>Ogółem</c:v>
                </c:pt>
                <c:pt idx="1">
                  <c:v>Miasta ogółem</c:v>
                </c:pt>
                <c:pt idx="2">
                  <c:v>Miasta poniżej
20 tys.</c:v>
                </c:pt>
                <c:pt idx="3">
                  <c:v>Miasta
20–99
tys. </c:v>
                </c:pt>
                <c:pt idx="4">
                  <c:v>Miasta
100–199
tys.</c:v>
                </c:pt>
                <c:pt idx="5">
                  <c:v>Miasta
200–499
tys.</c:v>
                </c:pt>
                <c:pt idx="6">
                  <c:v>Miasta 500 tys.
i większe</c:v>
                </c:pt>
                <c:pt idx="7">
                  <c:v>Wieś</c:v>
                </c:pt>
              </c:strCache>
            </c:strRef>
          </c:cat>
          <c:val>
            <c:numRef>
              <c:f>'19 dochody wydatki klm'!$C$6:$J$6</c:f>
              <c:numCache>
                <c:formatCode>0.0%</c:formatCode>
                <c:ptCount val="8"/>
                <c:pt idx="0">
                  <c:v>0.70084914907939999</c:v>
                </c:pt>
                <c:pt idx="1">
                  <c:v>0.70902405985938255</c:v>
                </c:pt>
                <c:pt idx="2">
                  <c:v>0.69108152995092409</c:v>
                </c:pt>
                <c:pt idx="3">
                  <c:v>0.70729379526784508</c:v>
                </c:pt>
                <c:pt idx="4">
                  <c:v>0.71470148666719202</c:v>
                </c:pt>
                <c:pt idx="5">
                  <c:v>0.75534866795044853</c:v>
                </c:pt>
                <c:pt idx="6">
                  <c:v>0.69342753706814375</c:v>
                </c:pt>
                <c:pt idx="7">
                  <c:v>0.68427187447652082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-1362531984"/>
        <c:axId val="-1362531440"/>
      </c:barChart>
      <c:catAx>
        <c:axId val="-136253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1362531440"/>
        <c:crosses val="autoZero"/>
        <c:auto val="1"/>
        <c:lblAlgn val="ctr"/>
        <c:lblOffset val="100"/>
        <c:noMultiLvlLbl val="0"/>
      </c:catAx>
      <c:valAx>
        <c:axId val="-1362531440"/>
        <c:scaling>
          <c:orientation val="minMax"/>
          <c:max val="250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pl-PL"/>
          </a:p>
        </c:txPr>
        <c:crossAx val="-1362531984"/>
        <c:crosses val="autoZero"/>
        <c:crossBetween val="between"/>
        <c:majorUnit val="500"/>
      </c:valAx>
    </c:plotArea>
    <c:legend>
      <c:legendPos val="r"/>
      <c:layout>
        <c:manualLayout>
          <c:xMode val="edge"/>
          <c:yMode val="edge"/>
          <c:x val="7.1842414268688704E-2"/>
          <c:y val="0.19040174722685213"/>
          <c:w val="0.92815758573131046"/>
          <c:h val="6.1779091483554566E-2"/>
        </c:manualLayout>
      </c:layout>
      <c:overlay val="0"/>
      <c:spPr>
        <a:solidFill>
          <a:sysClr val="window" lastClr="FFFFFF"/>
        </a:solidFill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6.24303E-7</cdr:y>
    </cdr:from>
    <cdr:to>
      <cdr:x>0.99927</cdr:x>
      <cdr:y>0.20323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2"/>
          <a:ext cx="5116902" cy="651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1. Poziom przeciętnych miesięcznych dochodów i wydatków</a:t>
          </a:r>
          <a:r>
            <a:rPr lang="pl-PL" sz="900" b="1" baseline="300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1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na 1 osobę</a:t>
          </a:r>
        </a:p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w gospodarstwach domowych oraz udział wydatków w dochodzie</a:t>
          </a:r>
        </a:p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rozporządzalnym w latach 2004–2018</a:t>
          </a:r>
        </a:p>
        <a:p xmlns:a="http://schemas.openxmlformats.org/drawingml/2006/main">
          <a:pPr algn="l"/>
          <a:endParaRPr lang="pl-PL" sz="900" b="1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endParaRPr lang="pl-PL" sz="900" b="1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0.19975</cdr:y>
    </cdr:from>
    <cdr:to>
      <cdr:x>0.05952</cdr:x>
      <cdr:y>0.25522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0" y="603394"/>
          <a:ext cx="304894" cy="167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0.99927</cdr:x>
      <cdr:y>0.24505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6115028" cy="776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10.</a:t>
          </a:r>
          <a:r>
            <a:rPr lang="pl-PL" sz="900" b="1" i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miesięczny dochód rozporządzalny i wydatki na 1 osobę w gospodarstwach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 domowych oraz udział wydatków w dochodzie rozporządzalnym według 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 typu biologicznego gospodarstwa domowego w 2018 r. </a:t>
          </a:r>
        </a:p>
      </cdr:txBody>
    </cdr:sp>
  </cdr:relSizeAnchor>
  <cdr:relSizeAnchor xmlns:cdr="http://schemas.openxmlformats.org/drawingml/2006/chartDrawing">
    <cdr:from>
      <cdr:x>1.95215E-7</cdr:x>
      <cdr:y>0.19578</cdr:y>
    </cdr:from>
    <cdr:to>
      <cdr:x>0.0595</cdr:x>
      <cdr:y>0.27199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" y="507351"/>
          <a:ext cx="304800" cy="197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0.45781</cdr:y>
    </cdr:from>
    <cdr:to>
      <cdr:x>0.0262</cdr:x>
      <cdr:y>0.52247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798031"/>
          <a:ext cx="150814" cy="2539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6000000"/>
          </a:camera>
          <a:lightRig rig="threePt" dir="t"/>
        </a:scene3d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900" b="0"/>
        </a:p>
      </cdr:txBody>
    </cdr:sp>
  </cdr:relSizeAnchor>
  <cdr:relSizeAnchor xmlns:cdr="http://schemas.openxmlformats.org/drawingml/2006/chartDrawing">
    <cdr:from>
      <cdr:x>0.17616</cdr:x>
      <cdr:y>0.01509</cdr:y>
    </cdr:from>
    <cdr:to>
      <cdr:x>0.85986</cdr:x>
      <cdr:y>0.10776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281114" y="66676"/>
          <a:ext cx="4972050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0.0871</cdr:x>
      <cdr:y>0.00647</cdr:y>
    </cdr:from>
    <cdr:to>
      <cdr:x>0.89915</cdr:x>
      <cdr:y>0.11853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633414" y="28576"/>
          <a:ext cx="5905500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0.09889</cdr:x>
      <cdr:y>0.01293</cdr:y>
    </cdr:from>
    <cdr:to>
      <cdr:x>0.87033</cdr:x>
      <cdr:y>0.13147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719139" y="57151"/>
          <a:ext cx="5610225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</cdr:x>
      <cdr:y>3.47255E-7</cdr:y>
    </cdr:from>
    <cdr:to>
      <cdr:x>0.99963</cdr:x>
      <cdr:y>0.26231</cdr:y>
    </cdr:to>
    <cdr:sp macro="" textlink="">
      <cdr:nvSpPr>
        <cdr:cNvPr id="11" name="pole tekstowe 10"/>
        <cdr:cNvSpPr txBox="1"/>
      </cdr:nvSpPr>
      <cdr:spPr>
        <a:xfrm xmlns:a="http://schemas.openxmlformats.org/drawingml/2006/main">
          <a:off x="0" y="1"/>
          <a:ext cx="5109859" cy="7553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endParaRPr lang="pl-PL" sz="100" b="1">
            <a:solidFill>
              <a:sysClr val="windowText" lastClr="000000"/>
            </a:solidFill>
            <a:effectLst/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11</a:t>
          </a:r>
          <a:r>
            <a:rPr lang="pl-PL" sz="900" b="1" i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.</a:t>
          </a:r>
          <a:r>
            <a:rPr lang="pl-PL" sz="900" b="1" i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Udział dochodu ze świadczenia wychowawczego Rodzina 500+ w przeciętnym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miesięcznym dochodzie rozporządzalnym na 1 osobę w gospodarstwach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domowych, które otrzymywały</a:t>
          </a:r>
          <a:r>
            <a:rPr lang="pl-PL" sz="900" b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to świadczenie w</a:t>
          </a:r>
          <a:r>
            <a:rPr lang="pl-PL" sz="900" b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2018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r. według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typu biologicznego</a:t>
          </a:r>
          <a:r>
            <a:rPr lang="pl-PL" sz="900" b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gospodarstwa domowego</a:t>
          </a:r>
        </a:p>
      </cdr:txBody>
    </cdr:sp>
  </cdr:relSizeAnchor>
  <cdr:relSizeAnchor xmlns:cdr="http://schemas.openxmlformats.org/drawingml/2006/chartDrawing">
    <cdr:from>
      <cdr:x>0.00992</cdr:x>
      <cdr:y>0.25482</cdr:y>
    </cdr:from>
    <cdr:to>
      <cdr:x>0.07314</cdr:x>
      <cdr:y>0.32419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50800" y="678805"/>
          <a:ext cx="323847" cy="184785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</cdr:x>
      <cdr:y>0.24265</cdr:y>
    </cdr:from>
    <cdr:to>
      <cdr:x>0.0595</cdr:x>
      <cdr:y>0.31202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0" y="742381"/>
          <a:ext cx="304149" cy="2122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0.99924</cdr:x>
      <cdr:y>0.21482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18652" cy="657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12.</a:t>
          </a:r>
          <a:r>
            <a:rPr lang="pl-PL" sz="900" b="1" i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 miesięczny dochód rozporządzalny i wydatki na 1 osobę oraz udział</a:t>
          </a:r>
        </a:p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</a:t>
          </a:r>
          <a:r>
            <a:rPr lang="pl-PL" sz="900" b="1" spc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wydatków</a:t>
          </a:r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dochodzie</a:t>
          </a:r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rozporządzalnym w gospodarstwach domowych</a:t>
          </a:r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z osobami</a:t>
          </a:r>
        </a:p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i bez osób niepełnosprawnych </a:t>
          </a:r>
          <a:r>
            <a:rPr lang="pl-PL" sz="900" b="1" spc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2018 r.</a:t>
          </a:r>
        </a:p>
      </cdr:txBody>
    </cdr:sp>
  </cdr:relSizeAnchor>
  <cdr:relSizeAnchor xmlns:cdr="http://schemas.openxmlformats.org/drawingml/2006/chartDrawing">
    <cdr:from>
      <cdr:x>0</cdr:x>
      <cdr:y>0.1949</cdr:y>
    </cdr:from>
    <cdr:to>
      <cdr:x>0.05391</cdr:x>
      <cdr:y>0.28445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561271"/>
          <a:ext cx="276156" cy="2578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9.92106E-7</cdr:y>
    </cdr:from>
    <cdr:to>
      <cdr:x>0.99963</cdr:x>
      <cdr:y>0.1638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3"/>
          <a:ext cx="5120650" cy="495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13.</a:t>
          </a:r>
          <a:r>
            <a:rPr lang="pl-PL" sz="900" b="1" i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miesięczny d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ochód rozporządzalny i wydatki na 1 osobę w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gospodarstwach</a:t>
          </a:r>
        </a:p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domowych z osobami i bez osób w wieku 60 lat lub więcej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2018 r.</a:t>
          </a:r>
        </a:p>
      </cdr:txBody>
    </cdr:sp>
  </cdr:relSizeAnchor>
  <cdr:relSizeAnchor xmlns:cdr="http://schemas.openxmlformats.org/drawingml/2006/chartDrawing">
    <cdr:from>
      <cdr:x>0</cdr:x>
      <cdr:y>0.15553</cdr:y>
    </cdr:from>
    <cdr:to>
      <cdr:x>0.0539</cdr:x>
      <cdr:y>0.21568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487088"/>
          <a:ext cx="276105" cy="1883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0.99968</cdr:x>
      <cdr:y>0.18532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20906" cy="4913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14.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Przeciętne miesięczne spożycie wybranych artykułów żywnościowych na 1 osobę 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gospodarstwach domowych według grup kwintylowych w 2018 r.</a:t>
          </a:r>
        </a:p>
      </cdr:txBody>
    </cdr:sp>
  </cdr:relSizeAnchor>
  <cdr:relSizeAnchor xmlns:cdr="http://schemas.openxmlformats.org/drawingml/2006/chartDrawing">
    <cdr:from>
      <cdr:x>0</cdr:x>
      <cdr:y>0.178</cdr:y>
    </cdr:from>
    <cdr:to>
      <cdr:x>0.03719</cdr:x>
      <cdr:y>0.23629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474165"/>
          <a:ext cx="190555" cy="15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kg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0.99968</cdr:x>
      <cdr:y>0.16988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20906" cy="4503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15.</a:t>
          </a:r>
          <a:r>
            <a:rPr lang="pl-PL" sz="900" b="1" i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Przeciętne miesięczne spożycie wybranych artykułów żywnościowych na 1 osobę 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w gospodarstwach domowych według miejsca zamieszkania w 2018 r.</a:t>
          </a:r>
        </a:p>
      </cdr:txBody>
    </cdr:sp>
  </cdr:relSizeAnchor>
  <cdr:relSizeAnchor xmlns:cdr="http://schemas.openxmlformats.org/drawingml/2006/chartDrawing">
    <cdr:from>
      <cdr:x>0</cdr:x>
      <cdr:y>0.16968</cdr:y>
    </cdr:from>
    <cdr:to>
      <cdr:x>0.03719</cdr:x>
      <cdr:y>0.22797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451986"/>
          <a:ext cx="190555" cy="15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kg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3.91742E-7</cdr:y>
    </cdr:from>
    <cdr:to>
      <cdr:x>0.99945</cdr:x>
      <cdr:y>0.17164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"/>
          <a:ext cx="5121632" cy="43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16.</a:t>
          </a:r>
          <a:r>
            <a:rPr lang="pl-PL" sz="900" b="1" i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Wyposażenie gospodarstw domowych w wybrane dobra trwałego użytkowania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według grup kwintylowych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2018 r.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0.99945</cdr:x>
      <cdr:y>0.19109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6116129" cy="619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17.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Wyposażenie gospodarstw domowych w wybrane dobra trwałego użytkowania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według miejsca zamieszkania w 2018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r.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0.99979</cdr:x>
      <cdr:y>0.21221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7331"/>
          <a:ext cx="6118210" cy="504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18</a:t>
          </a:r>
          <a:r>
            <a:rPr lang="pl-PL" sz="900" b="1" i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. </a:t>
          </a:r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Wyposażenie mieszkań w wybrane instalacje techniczno-sanitarne według</a:t>
          </a:r>
        </a:p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miejsca zamieszkania w 2018 r.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0.99979</cdr:x>
      <cdr:y>0.21221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7331"/>
          <a:ext cx="6118210" cy="504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19. Wyposażenie mieszkań w wybrane instalacje techniczno-sanitarne według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 grup kwintylowych w 2018 r.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6.24303E-7</cdr:y>
    </cdr:from>
    <cdr:to>
      <cdr:x>0.99927</cdr:x>
      <cdr:y>0.20323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2"/>
          <a:ext cx="5116902" cy="651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2.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 miesięczny dochód rozporządzalny i wydatki na 1 osobę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gospodarstwach 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domowych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oraz udział przeciętnych miesięcznych wydatków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dochodzie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rozporządzalnym według grup społeczno-ekonomicznych w 2018 r. </a:t>
          </a:r>
        </a:p>
      </cdr:txBody>
    </cdr:sp>
  </cdr:relSizeAnchor>
  <cdr:relSizeAnchor xmlns:cdr="http://schemas.openxmlformats.org/drawingml/2006/chartDrawing">
    <cdr:from>
      <cdr:x>0</cdr:x>
      <cdr:y>0.21552</cdr:y>
    </cdr:from>
    <cdr:to>
      <cdr:x>0.05952</cdr:x>
      <cdr:y>0.27099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0" y="643898"/>
          <a:ext cx="304800" cy="165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"/>
          <a:ext cx="6092456" cy="8612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pl-PL" sz="1050" b="1"/>
            <a:t>Wykres 20.</a:t>
          </a:r>
        </a:p>
        <a:p xmlns:a="http://schemas.openxmlformats.org/drawingml/2006/main">
          <a:pPr algn="ctr"/>
          <a:r>
            <a:rPr lang="pl-PL" sz="1050" b="1"/>
            <a:t>Subiektywna ocena sytuacji materialnej gospodarstw domowych według grup społeczno ekonomicznych w 2014 r.</a:t>
          </a:r>
          <a:endParaRPr lang="pl-PL" sz="1050">
            <a:effectLst/>
          </a:endParaRPr>
        </a:p>
      </cdr:txBody>
    </cdr:sp>
  </cdr:relSizeAnchor>
  <cdr:relSizeAnchor xmlns:cdr="http://schemas.openxmlformats.org/drawingml/2006/chartDrawing">
    <cdr:from>
      <cdr:x>0</cdr:x>
      <cdr:y>0.42818</cdr:y>
    </cdr:from>
    <cdr:to>
      <cdr:x>0.05542</cdr:x>
      <cdr:y>0.512</cdr:y>
    </cdr:to>
    <cdr:sp macro="" textlink="">
      <cdr:nvSpPr>
        <cdr:cNvPr id="3" name="pole tekstowe 2"/>
        <cdr:cNvSpPr txBox="1"/>
      </cdr:nvSpPr>
      <cdr:spPr>
        <a:xfrm xmlns:a="http://schemas.openxmlformats.org/drawingml/2006/main" rot="16200000">
          <a:off x="23812" y="1862137"/>
          <a:ext cx="371475" cy="419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</cdr:x>
      <cdr:y>0</cdr:y>
    </cdr:from>
    <cdr:to>
      <cdr:x>0.99688</cdr:x>
      <cdr:y>0.18379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0"/>
          <a:ext cx="6100080" cy="7277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20.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i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Subiektywna ocena sytuacji materialnej gospodarstw domowych według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 grup społeczno-ekonomicznych w 2018 r.</a:t>
          </a: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0.99963</cdr:x>
      <cdr:y>0.16066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20640" cy="508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21.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Subiektywna ocena sytuacji materialnej gospodarstw domowych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według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  miejsca zamieszkania w 2018 r.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0.99907</cdr:x>
      <cdr:y>0.19143</cdr:y>
    </cdr:to>
    <cdr:sp macro="" textlink="">
      <cdr:nvSpPr>
        <cdr:cNvPr id="6" name="pole tekstowe 2"/>
        <cdr:cNvSpPr txBox="1"/>
      </cdr:nvSpPr>
      <cdr:spPr>
        <a:xfrm xmlns:a="http://schemas.openxmlformats.org/drawingml/2006/main">
          <a:off x="0" y="0"/>
          <a:ext cx="5117781" cy="6202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3.</a:t>
          </a:r>
          <a:r>
            <a:rPr lang="pl-PL" sz="900" b="1" i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Wskaźnik przeciętnego miesięcznego dochodu rozporządzalnego i wydatków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na 1 osobę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gospodarstwach domowych w odniesieniu do średniej dla Polski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według grup społeczno-ekonomicznych w 2018 r.</a:t>
          </a:r>
          <a:endParaRPr lang="pl-PL" sz="900" b="1" spc="-10" baseline="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0.4258</cdr:x>
      <cdr:y>0.58033</cdr:y>
    </cdr:from>
    <cdr:to>
      <cdr:x>0.82187</cdr:x>
      <cdr:y>0.65698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181180" y="1802012"/>
          <a:ext cx="2028870" cy="2380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pl-PL" sz="900" b="1" i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Polska = 100%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0.99963</cdr:x>
      <cdr:y>0.15712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18745" cy="5486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4.</a:t>
          </a:r>
          <a:r>
            <a:rPr lang="pl-PL" sz="900" b="1" i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Struktura przeciętnego miesięcznego dochodu rozporządzalnego na 1 osobę</a:t>
          </a:r>
          <a:endParaRPr lang="pl-PL" sz="900" b="1" baseline="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w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gospodarstwach domowych 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ogółem w 2018 r.</a:t>
          </a:r>
        </a:p>
      </cdr:txBody>
    </cdr:sp>
  </cdr:relSizeAnchor>
  <cdr:relSizeAnchor xmlns:cdr="http://schemas.openxmlformats.org/drawingml/2006/chartDrawing">
    <cdr:from>
      <cdr:x>0</cdr:x>
      <cdr:y>0.91573</cdr:y>
    </cdr:from>
    <cdr:to>
      <cdr:x>0.99772</cdr:x>
      <cdr:y>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3206338"/>
          <a:ext cx="5108965" cy="295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36000" tIns="0" rIns="3600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*Na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kategorię "Inne dochody" składają się: dochody z własności, dochody z wynajmu nieruchomości oraz pozostałe dochody.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0.99963</cdr:x>
      <cdr:y>0.18699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8206"/>
          <a:ext cx="5120640" cy="496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2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</a:t>
          </a:r>
          <a:r>
            <a:rPr lang="pl-PL" sz="900" b="1" spc="-2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5. </a:t>
          </a:r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Zróżnicowanie dochodów mierzone współczynnikiem Giniego dla Polski</a:t>
          </a:r>
        </a:p>
        <a:p xmlns:a="http://schemas.openxmlformats.org/drawingml/2006/main">
          <a:pPr algn="l"/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według miejsca zamieszkania w latach 2004</a:t>
          </a:r>
          <a:r>
            <a:rPr lang="pl-PL" sz="900" b="1" spc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–</a:t>
          </a:r>
          <a:r>
            <a:rPr lang="pl-PL" sz="900" b="1" spc="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2018</a:t>
          </a:r>
          <a:endParaRPr lang="pl-PL" sz="900" b="1" i="1" spc="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0.00304</cdr:y>
    </cdr:from>
    <cdr:to>
      <cdr:x>0.99927</cdr:x>
      <cdr:y>0.2236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0" y="8972"/>
          <a:ext cx="5118806" cy="6509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6. Udział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przeciętnych miesięcznych wydatków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na 1 osobę na żywność i napoje       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bezalkoholowe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oraz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utrzymanie mieszkania lub domu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i nośniki energii w całości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wydatków gospodarstw domowych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 latach 2004</a:t>
          </a:r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–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2018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0.99927</cdr:x>
      <cdr:y>0.16345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118806" cy="5883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7.</a:t>
          </a:r>
          <a:r>
            <a:rPr lang="pl-PL" sz="900" b="1" i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Struktura przeciętnych miesięcznych wydatków na 1 osobę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gospodarstwach</a:t>
          </a:r>
        </a:p>
        <a:p xmlns:a="http://schemas.openxmlformats.org/drawingml/2006/main">
          <a:pPr algn="l"/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</a:t>
          </a:r>
          <a:r>
            <a:rPr lang="pl-PL" sz="900" b="1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domowych (w</a:t>
          </a:r>
          <a:r>
            <a:rPr lang="pl-PL" sz="900" b="1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% wydatków ogółem) w 2018 r.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0.17616</cdr:x>
      <cdr:y>0.01509</cdr:y>
    </cdr:from>
    <cdr:to>
      <cdr:x>0.85986</cdr:x>
      <cdr:y>0.10776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281114" y="66676"/>
          <a:ext cx="4972050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0.0871</cdr:x>
      <cdr:y>0.00647</cdr:y>
    </cdr:from>
    <cdr:to>
      <cdr:x>0.89915</cdr:x>
      <cdr:y>0.11853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633414" y="28576"/>
          <a:ext cx="5905500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0.09889</cdr:x>
      <cdr:y>0.01293</cdr:y>
    </cdr:from>
    <cdr:to>
      <cdr:x>0.87033</cdr:x>
      <cdr:y>0.13147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719139" y="57151"/>
          <a:ext cx="5610225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</cdr:x>
      <cdr:y>4.2735E-7</cdr:y>
    </cdr:from>
    <cdr:to>
      <cdr:x>0.9994</cdr:x>
      <cdr:y>0.22388</cdr:y>
    </cdr:to>
    <cdr:sp macro="" textlink="">
      <cdr:nvSpPr>
        <cdr:cNvPr id="11" name="pole tekstowe 10"/>
        <cdr:cNvSpPr txBox="1"/>
      </cdr:nvSpPr>
      <cdr:spPr>
        <a:xfrm xmlns:a="http://schemas.openxmlformats.org/drawingml/2006/main">
          <a:off x="0" y="1"/>
          <a:ext cx="5119726" cy="523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8</a:t>
          </a:r>
          <a:r>
            <a:rPr lang="pl-PL" sz="900" b="1" i="1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.</a:t>
          </a:r>
          <a:r>
            <a:rPr lang="pl-PL" sz="900" b="1" i="1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miesięczny d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ochód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rozporządzalny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i wydatki 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na 1 osobę w gospodarstwach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domowych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oraz udział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przeciętnych miesięcznych wydatków w dochodzie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</a:t>
          </a:r>
          <a:r>
            <a:rPr lang="pl-PL" sz="900" b="1" spc="-1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rozporządzalnym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według grup kwintylowych w 2018 r.</a:t>
          </a:r>
        </a:p>
      </cdr:txBody>
    </cdr:sp>
  </cdr:relSizeAnchor>
  <cdr:relSizeAnchor xmlns:cdr="http://schemas.openxmlformats.org/drawingml/2006/chartDrawing">
    <cdr:from>
      <cdr:x>0</cdr:x>
      <cdr:y>0.2151</cdr:y>
    </cdr:from>
    <cdr:to>
      <cdr:x>0.0595</cdr:x>
      <cdr:y>0.26821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0" y="619430"/>
          <a:ext cx="304791" cy="152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1.34111E-6</cdr:y>
    </cdr:from>
    <cdr:to>
      <cdr:x>0.99963</cdr:x>
      <cdr:y>0.21061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4"/>
          <a:ext cx="5120640" cy="6281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36000" rIns="0" bIns="36000" rtlCol="0" anchor="t"/>
        <a:lstStyle xmlns:a="http://schemas.openxmlformats.org/drawingml/2006/main"/>
        <a:p xmlns:a="http://schemas.openxmlformats.org/drawingml/2006/main">
          <a:pPr algn="l"/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Wykres 9.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Przeciętny miesięczny dochód 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rozporządzalny i wydatki na 1 osobę w gospodarstwach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domowych oraz udział wydatków w dochodzie rozporządzalnym</a:t>
          </a:r>
          <a:r>
            <a:rPr lang="pl-PL" sz="900" b="1" spc="-10" baseline="0">
              <a:solidFill>
                <a:sysClr val="windowText" lastClr="000000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</a:t>
          </a:r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według klasy</a:t>
          </a:r>
        </a:p>
        <a:p xmlns:a="http://schemas.openxmlformats.org/drawingml/2006/main">
          <a:pPr algn="l"/>
          <a:r>
            <a:rPr lang="pl-PL" sz="900" b="1" spc="-1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                   miejscowości zamieszkania w 2018 r.</a:t>
          </a:r>
        </a:p>
      </cdr:txBody>
    </cdr:sp>
  </cdr:relSizeAnchor>
  <cdr:relSizeAnchor xmlns:cdr="http://schemas.openxmlformats.org/drawingml/2006/chartDrawing">
    <cdr:from>
      <cdr:x>0</cdr:x>
      <cdr:y>0.18991</cdr:y>
    </cdr:from>
    <cdr:to>
      <cdr:x>0.0595</cdr:x>
      <cdr:y>0.25187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0" y="594770"/>
          <a:ext cx="304791" cy="1940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 anchor="ctr"/>
        <a:lstStyle xmlns:a="http://schemas.openxmlformats.org/drawingml/2006/main"/>
        <a:p xmlns:a="http://schemas.openxmlformats.org/drawingml/2006/main">
          <a:pPr algn="ctr"/>
          <a:r>
            <a:rPr lang="pl-PL" sz="900">
              <a:latin typeface="Fira Sans" panose="020B0503050000020004" pitchFamily="34" charset="0"/>
              <a:ea typeface="Fira Sans" panose="020B0503050000020004" pitchFamily="34" charset="0"/>
            </a:rPr>
            <a:t>PLN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GRANATOWY LOGO">
      <a:dk1>
        <a:sysClr val="windowText" lastClr="000000"/>
      </a:dk1>
      <a:lt1>
        <a:sysClr val="window" lastClr="FFFFFF"/>
      </a:lt1>
      <a:dk2>
        <a:srgbClr val="F0AB00"/>
      </a:dk2>
      <a:lt2>
        <a:srgbClr val="CF0B2D"/>
      </a:lt2>
      <a:accent1>
        <a:srgbClr val="001D77"/>
      </a:accent1>
      <a:accent2>
        <a:srgbClr val="334A92"/>
      </a:accent2>
      <a:accent3>
        <a:srgbClr val="6677AD"/>
      </a:accent3>
      <a:accent4>
        <a:srgbClr val="99A5C9"/>
      </a:accent4>
      <a:accent5>
        <a:srgbClr val="CCD2E4"/>
      </a:accent5>
      <a:accent6>
        <a:srgbClr val="D0CFCF"/>
      </a:accent6>
      <a:hlink>
        <a:srgbClr val="AAA9A9"/>
      </a:hlink>
      <a:folHlink>
        <a:srgbClr val="605D5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GRANATOWY LOGO">
    <a:dk1>
      <a:sysClr val="windowText" lastClr="000000"/>
    </a:dk1>
    <a:lt1>
      <a:sysClr val="window" lastClr="FFFFFF"/>
    </a:lt1>
    <a:dk2>
      <a:srgbClr val="F0AB00"/>
    </a:dk2>
    <a:lt2>
      <a:srgbClr val="CF0B2D"/>
    </a:lt2>
    <a:accent1>
      <a:srgbClr val="001D77"/>
    </a:accent1>
    <a:accent2>
      <a:srgbClr val="334A92"/>
    </a:accent2>
    <a:accent3>
      <a:srgbClr val="6677AD"/>
    </a:accent3>
    <a:accent4>
      <a:srgbClr val="99A5C9"/>
    </a:accent4>
    <a:accent5>
      <a:srgbClr val="CCD2E4"/>
    </a:accent5>
    <a:accent6>
      <a:srgbClr val="D0CFCF"/>
    </a:accent6>
    <a:hlink>
      <a:srgbClr val="AAA9A9"/>
    </a:hlink>
    <a:folHlink>
      <a:srgbClr val="605D5C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F6405-A6F1-49E6-97E8-8C061AE3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3054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Sytuacja gospodarstw domowych w 2018 r. w świetle wyników badania budżetów gospodarstw domowych</dc:title>
  <cp:revision>2</cp:revision>
  <cp:lastPrinted>2019-05-21T08:44:00Z</cp:lastPrinted>
  <dcterms:created xsi:type="dcterms:W3CDTF">2019-05-30T07:39:00Z</dcterms:created>
  <dcterms:modified xsi:type="dcterms:W3CDTF">2019-05-30T07:39:00Z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