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rawings/drawing1.xml" ContentType="application/vnd.openxmlformats-officedocument.drawingml.chartshapes+xml"/>
  <Override PartName="/word/drawings/drawing5.xml" ContentType="application/vnd.openxmlformats-officedocument.drawingml.chartshapes+xml"/>
  <Override PartName="/word/drawings/drawing6.xml" ContentType="application/vnd.openxmlformats-officedocument.drawingml.chartshap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8.xml" ContentType="application/vnd.openxmlformats-officedocument.drawingml.chartshapes+xml"/>
  <Override PartName="/word/drawings/drawing2.xml" ContentType="application/vnd.openxmlformats-officedocument.drawingml.chartshapes+xml"/>
  <Override PartName="/word/drawings/drawing9.xml" ContentType="application/vnd.openxmlformats-officedocument.drawingml.chartshapes+xml"/>
  <Override PartName="/word/drawings/drawing7.xml" ContentType="application/vnd.openxmlformats-officedocument.drawingml.chartshap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0.xml" ContentType="application/vnd.openxmlformats-officedocument.drawingml.chart+xml"/>
  <Override PartName="/word/charts/chart1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3.xml" ContentType="application/vnd.openxmlformats-officedocument.drawingml.chart+xml"/>
  <Override PartName="/word/charts/chart9.xml" ContentType="application/vnd.openxmlformats-officedocument.drawingml.chart+xml"/>
  <Override PartName="/word/charts/chart8.xml" ContentType="application/vnd.openxmlformats-officedocument.drawingml.chart+xml"/>
  <Override PartName="/word/charts/chart7.xml" ContentType="application/vnd.openxmlformats-officedocument.drawingml.chart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F4F3A" w14:textId="77777777" w:rsidR="00A00D1C" w:rsidRDefault="009C0FB5" w:rsidP="00A00D1C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bookmarkStart w:id="0" w:name="_GoBack"/>
      <w:bookmarkEnd w:id="0"/>
      <w:r w:rsidRPr="009C0FB5"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Koniunktura </w:t>
      </w:r>
      <w:r w:rsidR="00A00D1C">
        <w:rPr>
          <w:rFonts w:ascii="Fira Sans Extra Condensed SemiB" w:hAnsi="Fira Sans Extra Condensed SemiB"/>
          <w:color w:val="000000" w:themeColor="text1"/>
          <w:sz w:val="40"/>
          <w:szCs w:val="26"/>
        </w:rPr>
        <w:t xml:space="preserve">w gospodarstwach rolnych </w:t>
      </w:r>
    </w:p>
    <w:p w14:paraId="4B8F361E" w14:textId="77777777" w:rsidR="000F4581" w:rsidRDefault="00A00D1C" w:rsidP="00A00D1C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</w:rPr>
        <w:t>w II półroczu 2022 r.</w:t>
      </w:r>
    </w:p>
    <w:p w14:paraId="501BF2C4" w14:textId="77777777" w:rsidR="000C2B9D" w:rsidRPr="00226737" w:rsidRDefault="000C2B9D" w:rsidP="00A00D1C">
      <w:pPr>
        <w:spacing w:after="0" w:line="240" w:lineRule="auto"/>
        <w:rPr>
          <w:rFonts w:ascii="Fira Sans Extra Condensed SemiB" w:hAnsi="Fira Sans Extra Condensed SemiB"/>
          <w:sz w:val="32"/>
          <w:szCs w:val="32"/>
        </w:rPr>
      </w:pPr>
    </w:p>
    <w:p w14:paraId="5461E410" w14:textId="5117BB20" w:rsidR="00DA1D07" w:rsidRPr="00EE4A24" w:rsidRDefault="00EE4A24" w:rsidP="00EE4A24">
      <w:pPr>
        <w:spacing w:before="120" w:after="120"/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</w:pPr>
      <w:r w:rsidRPr="00E70683">
        <w:rPr>
          <w:rFonts w:ascii="Fira Sans" w:hAnsi="Fira Sans"/>
          <w:b/>
          <w:noProof/>
          <w:color w:val="001D77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947456" behindDoc="0" locked="0" layoutInCell="1" allowOverlap="1" wp14:anchorId="076957B4" wp14:editId="7BBA8CCC">
                <wp:simplePos x="0" y="0"/>
                <wp:positionH relativeFrom="margin">
                  <wp:posOffset>-171450</wp:posOffset>
                </wp:positionH>
                <wp:positionV relativeFrom="paragraph">
                  <wp:posOffset>101600</wp:posOffset>
                </wp:positionV>
                <wp:extent cx="2204085" cy="1095375"/>
                <wp:effectExtent l="0" t="0" r="5715" b="9525"/>
                <wp:wrapSquare wrapText="bothSides"/>
                <wp:docPr id="6" name="Pole tekstowe 2" descr="43,6&#10;Odsetek gospodarstw rolnych, w których ogólna sytuacja pogorszyła się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953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BB98B" w14:textId="77777777" w:rsidR="00BC30E5" w:rsidRPr="007D605C" w:rsidRDefault="00BC30E5" w:rsidP="00E7068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302B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60"/>
                              </w:rPr>
                              <w:t xml:space="preserve"> </w:t>
                            </w:r>
                            <w:r w:rsidR="008A2570">
                              <w:rPr>
                                <w:rFonts w:ascii="Fira Sans SemiBold" w:eastAsiaTheme="minorEastAsia" w:hAnsi="Fira Sans SemiBold" w:cs="Fira Sans SemiBold"/>
                                <w:color w:val="FFFFFF"/>
                                <w:sz w:val="40"/>
                                <w:szCs w:val="40"/>
                                <w:lang w:eastAsia="pl-PL"/>
                              </w:rPr>
                              <w:t>43,6</w:t>
                            </w:r>
                          </w:p>
                          <w:p w14:paraId="0009D840" w14:textId="77777777" w:rsidR="008A2570" w:rsidRPr="008A2570" w:rsidRDefault="008A2570" w:rsidP="008A2570">
                            <w:pPr>
                              <w:suppressAutoHyphens/>
                              <w:spacing w:after="0" w:line="240" w:lineRule="auto"/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A2570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Odsetek gospodarstw rolnych, w których ogólna sytuacja</w:t>
                            </w:r>
                          </w:p>
                          <w:p w14:paraId="14B9BF0F" w14:textId="77777777" w:rsidR="00BC30E5" w:rsidRPr="007D605C" w:rsidRDefault="008A2570" w:rsidP="008A2570">
                            <w:pPr>
                              <w:suppressAutoHyphens/>
                              <w:spacing w:after="0" w:line="240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8A2570">
                              <w:rPr>
                                <w:rFonts w:ascii="Fira Sans" w:hAnsi="Fira Sans"/>
                                <w:color w:val="FFFFFF" w:themeColor="background1"/>
                                <w:sz w:val="20"/>
                                <w:szCs w:val="20"/>
                              </w:rPr>
                              <w:t>pogorszyła się.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76957B4" id="Pole tekstowe 2" o:spid="_x0000_s1026" alt="43,6&#10;Odsetek gospodarstw rolnych, w których ogólna sytuacja pogorszyła się." style="position:absolute;margin-left:-13.5pt;margin-top:8pt;width:173.55pt;height:86.25pt;z-index:25294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" fillcolor="#001d77" stroked="f">
                <v:stroke joinstyle="miter"/>
                <v:textbox>
                  <w:txbxContent>
                    <w:p w14:paraId="1CFBB98B" w14:textId="77777777" w:rsidR="00BC30E5" w:rsidRPr="007D605C" w:rsidRDefault="00BC30E5" w:rsidP="00E7068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302B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60"/>
                        </w:rPr>
                        <w:t xml:space="preserve"> </w:t>
                      </w:r>
                      <w:bookmarkStart w:id="1" w:name="_GoBack"/>
                      <w:r w:rsidR="008A2570">
                        <w:rPr>
                          <w:rFonts w:ascii="Fira Sans SemiBold" w:eastAsiaTheme="minorEastAsia" w:hAnsi="Fira Sans SemiBold" w:cs="Fira Sans SemiBold"/>
                          <w:color w:val="FFFFFF"/>
                          <w:sz w:val="40"/>
                          <w:szCs w:val="40"/>
                          <w:lang w:eastAsia="pl-PL"/>
                        </w:rPr>
                        <w:t>43,6</w:t>
                      </w:r>
                    </w:p>
                    <w:p w14:paraId="0009D840" w14:textId="77777777" w:rsidR="008A2570" w:rsidRPr="008A2570" w:rsidRDefault="008A2570" w:rsidP="008A2570">
                      <w:pPr>
                        <w:suppressAutoHyphens/>
                        <w:spacing w:after="0" w:line="240" w:lineRule="auto"/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</w:pPr>
                      <w:r w:rsidRPr="008A2570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Odsetek gospodarstw rolnych, w których ogólna sytuacja</w:t>
                      </w:r>
                    </w:p>
                    <w:p w14:paraId="14B9BF0F" w14:textId="77777777" w:rsidR="00BC30E5" w:rsidRPr="007D605C" w:rsidRDefault="008A2570" w:rsidP="008A2570">
                      <w:pPr>
                        <w:suppressAutoHyphens/>
                        <w:spacing w:after="0" w:line="240" w:lineRule="auto"/>
                        <w:rPr>
                          <w:sz w:val="18"/>
                          <w:szCs w:val="20"/>
                        </w:rPr>
                      </w:pPr>
                      <w:r w:rsidRPr="008A2570">
                        <w:rPr>
                          <w:rFonts w:ascii="Fira Sans" w:hAnsi="Fira Sans"/>
                          <w:color w:val="FFFFFF" w:themeColor="background1"/>
                          <w:sz w:val="20"/>
                          <w:szCs w:val="20"/>
                        </w:rPr>
                        <w:t>pogorszyła się.</w:t>
                      </w:r>
                      <w:bookmarkEnd w:id="1"/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70683" w:rsidRPr="00E70683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W ocenie rolników zmiany jakie miały miejsce</w:t>
      </w:r>
      <w:r w:rsidR="00E70683" w:rsidRPr="00E70683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br/>
        <w:t xml:space="preserve">w II półroczu 2022 r. jak i bieżąca (grudzień 2022 r.) sytuacja </w:t>
      </w:r>
      <w:r w:rsidR="00A11789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gospodarstw rolnych kształtowała</w:t>
      </w:r>
      <w:r w:rsidR="00E70683" w:rsidRPr="00E70683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 xml:space="preserve"> się niekorzystnie. Również prognozy na I półrocze 2023 r. są pesymistyczne. Nastroje rolników były jednak mniej negatywne w porów</w:t>
      </w:r>
      <w:r w:rsidR="008A2570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na</w:t>
      </w:r>
      <w:r w:rsidR="001327F1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n</w:t>
      </w:r>
      <w:r w:rsidR="008A2570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iu z po</w:t>
      </w:r>
      <w:r w:rsidR="006D51B4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p</w:t>
      </w:r>
      <w:r w:rsidR="008A2570">
        <w:rPr>
          <w:rFonts w:ascii="Fira Sans" w:eastAsia="Times New Roman" w:hAnsi="Fira Sans" w:cs="Calibri"/>
          <w:b/>
          <w:bCs/>
          <w:noProof/>
          <w:color w:val="000000"/>
          <w:sz w:val="19"/>
          <w:szCs w:val="19"/>
          <w:lang w:eastAsia="pl-PL"/>
        </w:rPr>
        <w:t>rzednią edycją badania.</w:t>
      </w:r>
    </w:p>
    <w:p w14:paraId="4A771A8B" w14:textId="4E3171C8" w:rsidR="00DC1C11" w:rsidRPr="00C64D56" w:rsidRDefault="00DA1D07" w:rsidP="00B60CAC">
      <w:pPr>
        <w:pStyle w:val="LID"/>
        <w:spacing w:after="120"/>
        <w:rPr>
          <w:b w:val="0"/>
          <w:noProof w:val="0"/>
          <w:color w:val="000000" w:themeColor="text1"/>
          <w:lang w:eastAsia="en-US"/>
        </w:rPr>
      </w:pPr>
      <w:r>
        <w:rPr>
          <w:b w:val="0"/>
          <w:noProof w:val="0"/>
          <w:color w:val="000000" w:themeColor="text1"/>
          <w:lang w:eastAsia="en-US"/>
        </w:rPr>
        <w:t>O</w:t>
      </w:r>
      <w:r w:rsidRPr="00DA1D07">
        <w:rPr>
          <w:b w:val="0"/>
          <w:noProof w:val="0"/>
          <w:color w:val="000000" w:themeColor="text1"/>
          <w:lang w:eastAsia="en-US"/>
        </w:rPr>
        <w:t>pinie rolników dotyczące koniunktury w gospodarstwach rolnych</w:t>
      </w:r>
      <w:r>
        <w:rPr>
          <w:b w:val="0"/>
          <w:noProof w:val="0"/>
          <w:color w:val="000000" w:themeColor="text1"/>
          <w:lang w:eastAsia="en-US"/>
        </w:rPr>
        <w:t xml:space="preserve"> </w:t>
      </w:r>
      <w:r w:rsidR="00C64D56">
        <w:rPr>
          <w:b w:val="0"/>
          <w:noProof w:val="0"/>
          <w:color w:val="000000" w:themeColor="text1"/>
          <w:lang w:eastAsia="en-US"/>
        </w:rPr>
        <w:t>były pesymistyczn</w:t>
      </w:r>
      <w:r>
        <w:rPr>
          <w:b w:val="0"/>
          <w:noProof w:val="0"/>
          <w:color w:val="000000" w:themeColor="text1"/>
          <w:lang w:eastAsia="en-US"/>
        </w:rPr>
        <w:t>e</w:t>
      </w:r>
      <w:r w:rsidR="00C64D56">
        <w:rPr>
          <w:b w:val="0"/>
          <w:noProof w:val="0"/>
          <w:color w:val="000000" w:themeColor="text1"/>
          <w:lang w:eastAsia="en-US"/>
        </w:rPr>
        <w:t>.</w:t>
      </w:r>
      <w:r w:rsidRPr="00DA1D07">
        <w:rPr>
          <w:b w:val="0"/>
          <w:noProof w:val="0"/>
          <w:color w:val="000000" w:themeColor="text1"/>
          <w:lang w:eastAsia="en-US"/>
        </w:rPr>
        <w:t xml:space="preserve"> </w:t>
      </w:r>
      <w:r w:rsidR="00BA09FF">
        <w:rPr>
          <w:b w:val="0"/>
          <w:noProof w:val="0"/>
          <w:color w:val="000000" w:themeColor="text1"/>
          <w:lang w:eastAsia="en-US"/>
        </w:rPr>
        <w:br/>
      </w:r>
      <w:r w:rsidR="00C64D56">
        <w:rPr>
          <w:b w:val="0"/>
          <w:noProof w:val="0"/>
          <w:color w:val="000000" w:themeColor="text1"/>
          <w:lang w:eastAsia="en-US"/>
        </w:rPr>
        <w:t xml:space="preserve">Oceny </w:t>
      </w:r>
      <w:r w:rsidRPr="00DA1D07">
        <w:rPr>
          <w:b w:val="0"/>
          <w:noProof w:val="0"/>
          <w:color w:val="000000" w:themeColor="text1"/>
          <w:lang w:eastAsia="en-US"/>
        </w:rPr>
        <w:t>różniły się w zależności od formy prawnej gospodarstwa r</w:t>
      </w:r>
      <w:r>
        <w:rPr>
          <w:b w:val="0"/>
          <w:noProof w:val="0"/>
          <w:color w:val="000000" w:themeColor="text1"/>
          <w:lang w:eastAsia="en-US"/>
        </w:rPr>
        <w:t>olnego, powierzchni użytków rol</w:t>
      </w:r>
      <w:r w:rsidRPr="00DA1D07">
        <w:rPr>
          <w:b w:val="0"/>
          <w:noProof w:val="0"/>
          <w:color w:val="000000" w:themeColor="text1"/>
          <w:lang w:eastAsia="en-US"/>
        </w:rPr>
        <w:t xml:space="preserve">nych, ukierunkowania produkcyjnego gospodarstw rolnych, rodzaju prowadzonych upraw </w:t>
      </w:r>
      <w:r w:rsidR="00BA09FF">
        <w:rPr>
          <w:b w:val="0"/>
          <w:noProof w:val="0"/>
          <w:color w:val="000000" w:themeColor="text1"/>
          <w:lang w:eastAsia="en-US"/>
        </w:rPr>
        <w:br/>
      </w:r>
      <w:r w:rsidRPr="00DA1D07">
        <w:rPr>
          <w:b w:val="0"/>
          <w:noProof w:val="0"/>
          <w:color w:val="000000" w:themeColor="text1"/>
          <w:lang w:eastAsia="en-US"/>
        </w:rPr>
        <w:t>i gatunków/grup użytkowych utrzymywanych zwierząt gospodarskich, a także od wieku i wykształcenia osoby kierującej gospodarstwem rolnym</w:t>
      </w:r>
      <w:r>
        <w:rPr>
          <w:b w:val="0"/>
          <w:noProof w:val="0"/>
          <w:color w:val="000000" w:themeColor="text1"/>
          <w:lang w:eastAsia="en-US"/>
        </w:rPr>
        <w:t>.</w:t>
      </w:r>
    </w:p>
    <w:p w14:paraId="56423371" w14:textId="77777777" w:rsidR="006A22F2" w:rsidRPr="006A22F2" w:rsidRDefault="006A22F2" w:rsidP="006A22F2">
      <w:pPr>
        <w:spacing w:before="120" w:after="120" w:line="288" w:lineRule="auto"/>
        <w:jc w:val="both"/>
        <w:rPr>
          <w:rFonts w:ascii="Fira Sans" w:eastAsia="Calibri" w:hAnsi="Fira Sans"/>
          <w:sz w:val="19"/>
          <w:szCs w:val="19"/>
        </w:rPr>
      </w:pPr>
      <w:r w:rsidRPr="006A22F2">
        <w:rPr>
          <w:rFonts w:ascii="Fira Sans" w:eastAsia="Calibri" w:hAnsi="Fira Sans"/>
          <w:sz w:val="19"/>
          <w:szCs w:val="19"/>
        </w:rPr>
        <w:t xml:space="preserve">Analiza sald odpowiedzi wykazuje, że: </w:t>
      </w:r>
    </w:p>
    <w:p w14:paraId="44BC53F0" w14:textId="52AAD399" w:rsidR="006A22F2" w:rsidRPr="006A22F2" w:rsidRDefault="006A22F2" w:rsidP="00B60CAC">
      <w:pPr>
        <w:numPr>
          <w:ilvl w:val="0"/>
          <w:numId w:val="3"/>
        </w:numPr>
        <w:tabs>
          <w:tab w:val="left" w:pos="426"/>
        </w:tabs>
        <w:spacing w:before="120" w:after="120"/>
        <w:ind w:left="425" w:hanging="425"/>
        <w:jc w:val="both"/>
        <w:rPr>
          <w:rFonts w:ascii="Fira Sans" w:hAnsi="Fira Sans"/>
          <w:sz w:val="19"/>
          <w:szCs w:val="19"/>
        </w:rPr>
      </w:pPr>
      <w:r w:rsidRPr="006A22F2">
        <w:rPr>
          <w:rFonts w:ascii="Fira Sans" w:hAnsi="Fira Sans"/>
          <w:sz w:val="19"/>
          <w:szCs w:val="19"/>
        </w:rPr>
        <w:t xml:space="preserve">osoby kierujące gospodarstwami indywidualnymi </w:t>
      </w:r>
      <w:r w:rsidR="000E1B71">
        <w:rPr>
          <w:rFonts w:ascii="Fira Sans" w:hAnsi="Fira Sans"/>
          <w:sz w:val="19"/>
          <w:szCs w:val="19"/>
        </w:rPr>
        <w:t>wyraziły</w:t>
      </w:r>
      <w:r w:rsidR="001F2F57">
        <w:rPr>
          <w:rFonts w:ascii="Fira Sans" w:hAnsi="Fira Sans"/>
          <w:sz w:val="19"/>
          <w:szCs w:val="19"/>
        </w:rPr>
        <w:t xml:space="preserve"> </w:t>
      </w:r>
      <w:r w:rsidRPr="006A22F2">
        <w:rPr>
          <w:rFonts w:ascii="Fira Sans" w:hAnsi="Fira Sans"/>
          <w:sz w:val="19"/>
          <w:szCs w:val="19"/>
        </w:rPr>
        <w:t>bardziej pesymistyczne</w:t>
      </w:r>
      <w:r w:rsidR="001F2F57">
        <w:rPr>
          <w:rFonts w:ascii="Fira Sans" w:hAnsi="Fira Sans"/>
          <w:sz w:val="19"/>
          <w:szCs w:val="19"/>
        </w:rPr>
        <w:t xml:space="preserve"> opinie</w:t>
      </w:r>
      <w:r w:rsidRPr="006A22F2">
        <w:rPr>
          <w:rFonts w:ascii="Fira Sans" w:hAnsi="Fira Sans"/>
          <w:sz w:val="19"/>
          <w:szCs w:val="19"/>
        </w:rPr>
        <w:t xml:space="preserve"> </w:t>
      </w:r>
      <w:r w:rsidR="001F2F57">
        <w:rPr>
          <w:rFonts w:ascii="Fira Sans" w:hAnsi="Fira Sans"/>
          <w:sz w:val="19"/>
          <w:szCs w:val="19"/>
        </w:rPr>
        <w:t>o</w:t>
      </w:r>
      <w:r w:rsidRPr="006A22F2">
        <w:rPr>
          <w:rFonts w:ascii="Fira Sans" w:hAnsi="Fira Sans"/>
          <w:sz w:val="19"/>
          <w:szCs w:val="19"/>
        </w:rPr>
        <w:t xml:space="preserve"> zmian</w:t>
      </w:r>
      <w:r w:rsidR="001F2F57">
        <w:rPr>
          <w:rFonts w:ascii="Fira Sans" w:hAnsi="Fira Sans"/>
          <w:sz w:val="19"/>
          <w:szCs w:val="19"/>
        </w:rPr>
        <w:t>ach</w:t>
      </w:r>
      <w:r w:rsidRPr="006A22F2">
        <w:rPr>
          <w:rFonts w:ascii="Fira Sans" w:hAnsi="Fira Sans"/>
          <w:sz w:val="19"/>
          <w:szCs w:val="19"/>
        </w:rPr>
        <w:t xml:space="preserve"> jakie zaszły w I</w:t>
      </w:r>
      <w:r w:rsidR="001F2F57">
        <w:rPr>
          <w:rFonts w:ascii="Fira Sans" w:hAnsi="Fira Sans"/>
          <w:sz w:val="19"/>
          <w:szCs w:val="19"/>
        </w:rPr>
        <w:t>I</w:t>
      </w:r>
      <w:r w:rsidRPr="006A22F2">
        <w:rPr>
          <w:rFonts w:ascii="Fira Sans" w:hAnsi="Fira Sans"/>
          <w:sz w:val="19"/>
          <w:szCs w:val="19"/>
        </w:rPr>
        <w:t xml:space="preserve"> półroczu 2022 r., </w:t>
      </w:r>
      <w:r w:rsidR="001F2F57">
        <w:rPr>
          <w:rFonts w:ascii="Fira Sans" w:hAnsi="Fira Sans"/>
          <w:sz w:val="19"/>
          <w:szCs w:val="19"/>
        </w:rPr>
        <w:t>a także na temat prognoz przyszłej sytuacji w</w:t>
      </w:r>
      <w:r w:rsidRPr="006A22F2">
        <w:rPr>
          <w:rFonts w:ascii="Fira Sans" w:hAnsi="Fira Sans"/>
          <w:sz w:val="19"/>
          <w:szCs w:val="19"/>
        </w:rPr>
        <w:t xml:space="preserve"> I</w:t>
      </w:r>
      <w:r w:rsidR="00375B4D">
        <w:rPr>
          <w:rFonts w:ascii="Fira Sans" w:hAnsi="Fira Sans"/>
          <w:sz w:val="19"/>
          <w:szCs w:val="19"/>
        </w:rPr>
        <w:t xml:space="preserve"> </w:t>
      </w:r>
      <w:r w:rsidR="001F2F57">
        <w:rPr>
          <w:rFonts w:ascii="Fira Sans" w:hAnsi="Fira Sans"/>
          <w:sz w:val="19"/>
          <w:szCs w:val="19"/>
        </w:rPr>
        <w:t>półroczu</w:t>
      </w:r>
      <w:r w:rsidR="00375B4D">
        <w:rPr>
          <w:rFonts w:ascii="Fira Sans" w:hAnsi="Fira Sans"/>
          <w:sz w:val="19"/>
          <w:szCs w:val="19"/>
        </w:rPr>
        <w:t xml:space="preserve"> </w:t>
      </w:r>
      <w:r w:rsidR="001F2F57">
        <w:rPr>
          <w:rFonts w:ascii="Fira Sans" w:hAnsi="Fira Sans"/>
          <w:sz w:val="19"/>
          <w:szCs w:val="19"/>
        </w:rPr>
        <w:t>20</w:t>
      </w:r>
      <w:r w:rsidRPr="006A22F2">
        <w:rPr>
          <w:rFonts w:ascii="Fira Sans" w:hAnsi="Fira Sans"/>
          <w:sz w:val="19"/>
          <w:szCs w:val="19"/>
        </w:rPr>
        <w:t>2</w:t>
      </w:r>
      <w:r w:rsidR="001F2F57">
        <w:rPr>
          <w:rFonts w:ascii="Fira Sans" w:hAnsi="Fira Sans"/>
          <w:sz w:val="19"/>
          <w:szCs w:val="19"/>
        </w:rPr>
        <w:t xml:space="preserve">3 </w:t>
      </w:r>
      <w:r w:rsidRPr="006A22F2">
        <w:rPr>
          <w:rFonts w:ascii="Fira Sans" w:hAnsi="Fira Sans"/>
          <w:sz w:val="19"/>
          <w:szCs w:val="19"/>
        </w:rPr>
        <w:t>r.</w:t>
      </w:r>
      <w:r w:rsidR="002F685E">
        <w:rPr>
          <w:rFonts w:ascii="Fira Sans" w:hAnsi="Fira Sans"/>
          <w:sz w:val="19"/>
          <w:szCs w:val="19"/>
        </w:rPr>
        <w:t>,</w:t>
      </w:r>
      <w:r w:rsidRPr="006A22F2">
        <w:rPr>
          <w:rFonts w:ascii="Fira Sans" w:hAnsi="Fira Sans"/>
          <w:sz w:val="19"/>
          <w:szCs w:val="19"/>
        </w:rPr>
        <w:t xml:space="preserve"> niż użytkownicy gospodarstw osób prawnych i niemających osobowości prawnej,</w:t>
      </w:r>
    </w:p>
    <w:p w14:paraId="07ECE885" w14:textId="218DCEB9" w:rsidR="006A22F2" w:rsidRPr="006A22F2" w:rsidRDefault="00EC6F1B" w:rsidP="00B60CAC">
      <w:pPr>
        <w:numPr>
          <w:ilvl w:val="0"/>
          <w:numId w:val="3"/>
        </w:numPr>
        <w:tabs>
          <w:tab w:val="left" w:pos="426"/>
        </w:tabs>
        <w:spacing w:before="120" w:after="120"/>
        <w:ind w:left="425" w:hanging="42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kierujący </w:t>
      </w:r>
      <w:r w:rsidR="006A22F2" w:rsidRPr="006A22F2">
        <w:rPr>
          <w:rFonts w:ascii="Fira Sans" w:hAnsi="Fira Sans"/>
          <w:sz w:val="19"/>
          <w:szCs w:val="19"/>
        </w:rPr>
        <w:t>gospodarstwa</w:t>
      </w:r>
      <w:r>
        <w:rPr>
          <w:rFonts w:ascii="Fira Sans" w:hAnsi="Fira Sans"/>
          <w:sz w:val="19"/>
          <w:szCs w:val="19"/>
        </w:rPr>
        <w:t>mi specjalizującymi</w:t>
      </w:r>
      <w:r w:rsidR="006A22F2" w:rsidRPr="006A22F2">
        <w:rPr>
          <w:rFonts w:ascii="Fira Sans" w:hAnsi="Fira Sans"/>
          <w:sz w:val="19"/>
          <w:szCs w:val="19"/>
        </w:rPr>
        <w:t xml:space="preserve"> się w produkcji zwierzęcej</w:t>
      </w:r>
      <w:r w:rsidR="00CD3020">
        <w:rPr>
          <w:rFonts w:ascii="Fira Sans" w:hAnsi="Fira Sans"/>
          <w:sz w:val="19"/>
          <w:szCs w:val="19"/>
        </w:rPr>
        <w:t xml:space="preserve"> korzystniej oceni</w:t>
      </w:r>
      <w:r>
        <w:rPr>
          <w:rFonts w:ascii="Fira Sans" w:hAnsi="Fira Sans"/>
          <w:sz w:val="19"/>
          <w:szCs w:val="19"/>
        </w:rPr>
        <w:t>li</w:t>
      </w:r>
      <w:r w:rsidR="006A22F2" w:rsidRPr="006A22F2">
        <w:rPr>
          <w:rFonts w:ascii="Fira Sans" w:hAnsi="Fira Sans"/>
          <w:sz w:val="19"/>
          <w:szCs w:val="19"/>
        </w:rPr>
        <w:t xml:space="preserve"> koniunkturę niż użytkownic</w:t>
      </w:r>
      <w:r w:rsidR="00DD7469">
        <w:rPr>
          <w:rFonts w:ascii="Fira Sans" w:hAnsi="Fira Sans"/>
          <w:sz w:val="19"/>
          <w:szCs w:val="19"/>
        </w:rPr>
        <w:t>y gospodarstw wielokierunkowych; n</w:t>
      </w:r>
      <w:r w:rsidR="006A22F2" w:rsidRPr="006A22F2">
        <w:rPr>
          <w:rFonts w:ascii="Fira Sans" w:hAnsi="Fira Sans"/>
          <w:sz w:val="19"/>
          <w:szCs w:val="19"/>
        </w:rPr>
        <w:t>ajwięcej n</w:t>
      </w:r>
      <w:r w:rsidR="00CD3020">
        <w:rPr>
          <w:rFonts w:ascii="Fira Sans" w:hAnsi="Fira Sans"/>
          <w:sz w:val="19"/>
          <w:szCs w:val="19"/>
        </w:rPr>
        <w:t>egatywnych opinii wyrazi</w:t>
      </w:r>
      <w:r w:rsidR="006A22F2" w:rsidRPr="006A22F2">
        <w:rPr>
          <w:rFonts w:ascii="Fira Sans" w:hAnsi="Fira Sans"/>
          <w:sz w:val="19"/>
          <w:szCs w:val="19"/>
        </w:rPr>
        <w:t>li użytkownicy gospodarstw indywidualnych ukierunkowanych na produkcję roślinną,</w:t>
      </w:r>
    </w:p>
    <w:p w14:paraId="26A0F0FD" w14:textId="3F21E4C4" w:rsidR="006A22F2" w:rsidRDefault="00375B4D" w:rsidP="00B60CAC">
      <w:pPr>
        <w:numPr>
          <w:ilvl w:val="0"/>
          <w:numId w:val="3"/>
        </w:numPr>
        <w:tabs>
          <w:tab w:val="left" w:pos="426"/>
        </w:tabs>
        <w:spacing w:before="120" w:after="240"/>
        <w:ind w:left="357" w:hanging="357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</w:t>
      </w:r>
      <w:r w:rsidRPr="00375B4D">
        <w:rPr>
          <w:rFonts w:ascii="Fira Sans" w:hAnsi="Fira Sans"/>
          <w:sz w:val="19"/>
          <w:szCs w:val="19"/>
        </w:rPr>
        <w:t>aj</w:t>
      </w:r>
      <w:r>
        <w:rPr>
          <w:rFonts w:ascii="Fira Sans" w:hAnsi="Fira Sans"/>
          <w:sz w:val="19"/>
          <w:szCs w:val="19"/>
        </w:rPr>
        <w:t>mniej pesymistyczne oceny</w:t>
      </w:r>
      <w:r w:rsidRPr="00375B4D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wyrażali </w:t>
      </w:r>
      <w:r w:rsidRPr="00375B4D">
        <w:rPr>
          <w:rFonts w:ascii="Fira Sans" w:hAnsi="Fira Sans"/>
          <w:sz w:val="19"/>
          <w:szCs w:val="19"/>
        </w:rPr>
        <w:t>młodzi rolnicy (poniżej 25 lat), osoby z wykształceniem średnim ogólnokształcącym oraz wyższym rolniczym, a także osoby prowadzące gospodarst</w:t>
      </w:r>
      <w:r w:rsidR="00B60CAC">
        <w:rPr>
          <w:rFonts w:ascii="Fira Sans" w:hAnsi="Fira Sans"/>
          <w:sz w:val="19"/>
          <w:szCs w:val="19"/>
        </w:rPr>
        <w:t>wo rolne przez okres 6-10 lat.</w:t>
      </w:r>
    </w:p>
    <w:p w14:paraId="0749D602" w14:textId="1252022E" w:rsidR="004E2A40" w:rsidRPr="00D33600" w:rsidRDefault="00CA4A38" w:rsidP="00B60CAC">
      <w:pPr>
        <w:tabs>
          <w:tab w:val="left" w:pos="426"/>
        </w:tabs>
        <w:spacing w:before="120" w:after="120"/>
        <w:rPr>
          <w:rFonts w:ascii="Fira Sans" w:hAnsi="Fira Sans"/>
          <w:b/>
          <w:sz w:val="19"/>
          <w:szCs w:val="19"/>
        </w:rPr>
      </w:pPr>
      <w:r w:rsidRPr="00D33600">
        <w:rPr>
          <w:noProof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2948480" behindDoc="1" locked="0" layoutInCell="1" allowOverlap="1" wp14:anchorId="5A83332A" wp14:editId="34091B05">
                <wp:simplePos x="0" y="0"/>
                <wp:positionH relativeFrom="column">
                  <wp:posOffset>5314950</wp:posOffset>
                </wp:positionH>
                <wp:positionV relativeFrom="paragraph">
                  <wp:posOffset>18415</wp:posOffset>
                </wp:positionV>
                <wp:extent cx="1784350" cy="1343025"/>
                <wp:effectExtent l="0" t="0" r="0" b="0"/>
                <wp:wrapTight wrapText="bothSides">
                  <wp:wrapPolygon edited="0">
                    <wp:start x="692" y="0"/>
                    <wp:lineTo x="692" y="21140"/>
                    <wp:lineTo x="20754" y="21140"/>
                    <wp:lineTo x="20754" y="0"/>
                    <wp:lineTo x="692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1343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D8BEE" w14:textId="04DF64B1" w:rsidR="00BC30E5" w:rsidRPr="005429D3" w:rsidRDefault="00BC30E5" w:rsidP="00E70683">
                            <w:pPr>
                              <w:pStyle w:val="tekstzboku"/>
                            </w:pPr>
                            <w:r>
                              <w:t>W II półroczu 2022 r. pog</w:t>
                            </w:r>
                            <w:r w:rsidR="00E910CE">
                              <w:t xml:space="preserve">orszenie koniunktury </w:t>
                            </w:r>
                            <w:r w:rsidR="002F685E">
                              <w:t>za</w:t>
                            </w:r>
                            <w:r w:rsidR="00E910CE">
                              <w:t>sygnalizowało</w:t>
                            </w:r>
                            <w:r>
                              <w:t xml:space="preserve"> </w:t>
                            </w:r>
                            <w:r w:rsidR="002F685E">
                              <w:t xml:space="preserve">43,6% </w:t>
                            </w:r>
                            <w:r>
                              <w:t>kierujących gospodarstwami rolnymi, a poprawę około 6%. Pozostali uznali, że sytuacja ich gospodarstw nie ulegnie zmianie.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A83332A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418.5pt;margin-top:1.45pt;width:140.5pt;height:105.75pt;z-index:-25036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" filled="f" stroked="f">
                <v:textbox>
                  <w:txbxContent>
                    <w:p w14:paraId="0FBD8BEE" w14:textId="04DF64B1" w:rsidR="00BC30E5" w:rsidRPr="005429D3" w:rsidRDefault="00BC30E5" w:rsidP="00E70683">
                      <w:pPr>
                        <w:pStyle w:val="tekstzboku"/>
                      </w:pPr>
                      <w:r>
                        <w:t>W II półroczu 2022 r. pog</w:t>
                      </w:r>
                      <w:r w:rsidR="00E910CE">
                        <w:t xml:space="preserve">orszenie koniunktury </w:t>
                      </w:r>
                      <w:r w:rsidR="002F685E">
                        <w:t>za</w:t>
                      </w:r>
                      <w:r w:rsidR="00E910CE">
                        <w:t>sygnalizowało</w:t>
                      </w:r>
                      <w:r>
                        <w:t xml:space="preserve"> </w:t>
                      </w:r>
                      <w:r w:rsidR="002F685E">
                        <w:t xml:space="preserve">43,6% </w:t>
                      </w:r>
                      <w:r>
                        <w:t>kierujących gospodarstwami rolnymi, a poprawę około 6%. Pozostali uznali, że sytuacja ich gospodarstw nie ulegnie zmianie.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A1D07" w:rsidRPr="00D33600">
        <w:rPr>
          <w:rFonts w:ascii="Fira Sans" w:hAnsi="Fira Sans"/>
          <w:b/>
          <w:sz w:val="19"/>
          <w:szCs w:val="19"/>
        </w:rPr>
        <w:t>Wykres 1</w:t>
      </w:r>
      <w:r w:rsidR="00D33600" w:rsidRPr="00D33600">
        <w:rPr>
          <w:rFonts w:ascii="Fira Sans" w:hAnsi="Fira Sans"/>
          <w:b/>
          <w:sz w:val="19"/>
          <w:szCs w:val="19"/>
        </w:rPr>
        <w:t>.</w:t>
      </w:r>
      <w:r w:rsidR="00F45642">
        <w:rPr>
          <w:rFonts w:ascii="Fira Sans" w:hAnsi="Fira Sans"/>
          <w:b/>
          <w:sz w:val="19"/>
          <w:szCs w:val="19"/>
        </w:rPr>
        <w:t xml:space="preserve"> </w:t>
      </w:r>
      <w:r w:rsidR="004E2A40" w:rsidRPr="00D33600">
        <w:rPr>
          <w:rFonts w:ascii="Fira Sans" w:hAnsi="Fira Sans"/>
          <w:b/>
          <w:sz w:val="19"/>
          <w:szCs w:val="19"/>
        </w:rPr>
        <w:t xml:space="preserve">Salda odpowiedzi dla bieżącej (grudzień 2022 r.) i prognozowanej (I półrocze </w:t>
      </w:r>
      <w:r w:rsidR="00D33600" w:rsidRPr="00D33600">
        <w:rPr>
          <w:rFonts w:ascii="Fira Sans" w:hAnsi="Fira Sans"/>
          <w:b/>
          <w:sz w:val="19"/>
          <w:szCs w:val="19"/>
        </w:rPr>
        <w:br/>
      </w:r>
      <w:r w:rsidR="004E2A40" w:rsidRPr="00D33600">
        <w:rPr>
          <w:rFonts w:ascii="Fira Sans" w:hAnsi="Fira Sans"/>
          <w:b/>
          <w:sz w:val="19"/>
          <w:szCs w:val="19"/>
        </w:rPr>
        <w:t>2023 r.) ogólnej sytuacji gospodarstw rolnych według g</w:t>
      </w:r>
      <w:r w:rsidR="00B60CAC" w:rsidRPr="00D33600">
        <w:rPr>
          <w:rFonts w:ascii="Fira Sans" w:hAnsi="Fira Sans"/>
          <w:b/>
          <w:sz w:val="19"/>
          <w:szCs w:val="19"/>
        </w:rPr>
        <w:t>rup obszarowych użytków rolnych</w:t>
      </w:r>
    </w:p>
    <w:p w14:paraId="36A3B1C4" w14:textId="614E4C0A" w:rsidR="006A22F2" w:rsidRDefault="00D33600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13C7FD1E" wp14:editId="4E166322">
            <wp:extent cx="5122545" cy="2819400"/>
            <wp:effectExtent l="0" t="0" r="1905" b="0"/>
            <wp:docPr id="18" name="Wykres 18" descr="Salda odpowiedzi dla bieżącej (grudzień 2022 r.) i prognozowanej (I półrocze 2023 r.) ogólnej sytuacji gospodarstw rolnych według grup obszarowych użytków rolnych&#10;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0E77808" w14:textId="77777777" w:rsidR="00C64D56" w:rsidRDefault="00C64D56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2282F4F5" w14:textId="77777777" w:rsidR="000C1F8B" w:rsidRDefault="000C1F8B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0AF49DDB" w14:textId="77777777" w:rsidR="004E2A40" w:rsidRPr="00B60CAC" w:rsidRDefault="004E2A40" w:rsidP="00B60CAC">
      <w:pPr>
        <w:spacing w:before="120" w:after="120"/>
        <w:rPr>
          <w:rFonts w:ascii="Fira Sans" w:hAnsi="Fira Sans"/>
          <w:b/>
          <w:spacing w:val="-2"/>
          <w:sz w:val="19"/>
          <w:szCs w:val="19"/>
        </w:rPr>
      </w:pPr>
      <w:r w:rsidRPr="00B60CAC">
        <w:rPr>
          <w:rFonts w:ascii="Fira Sans" w:hAnsi="Fira Sans"/>
          <w:b/>
          <w:spacing w:val="-2"/>
          <w:sz w:val="19"/>
          <w:szCs w:val="19"/>
        </w:rPr>
        <w:lastRenderedPageBreak/>
        <w:t>Zmiana w koniunkturze w II półroczu 2022 r.</w:t>
      </w:r>
    </w:p>
    <w:p w14:paraId="655890F4" w14:textId="01C75CC8" w:rsidR="00CA6E34" w:rsidRPr="00B60CAC" w:rsidRDefault="00CA6E34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B60CAC">
        <w:rPr>
          <w:rFonts w:ascii="Fira Sans" w:hAnsi="Fira Sans"/>
          <w:spacing w:val="-2"/>
          <w:sz w:val="19"/>
          <w:szCs w:val="19"/>
        </w:rPr>
        <w:t xml:space="preserve">W II półroczu 2022 r. rolnicy nieco korzystniej ocenili zmiany zarówno ogólnej sytuacji prowadzonych przez siebie gospodarstw , jak i opłacalności produkcji rolniczej w porównaniu </w:t>
      </w:r>
      <w:r w:rsidR="00BA09FF">
        <w:rPr>
          <w:rFonts w:ascii="Fira Sans" w:hAnsi="Fira Sans"/>
          <w:spacing w:val="-2"/>
          <w:sz w:val="19"/>
          <w:szCs w:val="19"/>
        </w:rPr>
        <w:br/>
      </w:r>
      <w:r w:rsidRPr="00B60CAC">
        <w:rPr>
          <w:rFonts w:ascii="Fira Sans" w:hAnsi="Fira Sans"/>
          <w:spacing w:val="-2"/>
          <w:sz w:val="19"/>
          <w:szCs w:val="19"/>
        </w:rPr>
        <w:t xml:space="preserve">z wynikami badania przeprowadzonego </w:t>
      </w:r>
      <w:r w:rsidR="00FA1F50" w:rsidRPr="00B60CAC">
        <w:rPr>
          <w:rFonts w:ascii="Fira Sans" w:hAnsi="Fira Sans"/>
          <w:spacing w:val="-2"/>
          <w:sz w:val="19"/>
          <w:szCs w:val="19"/>
        </w:rPr>
        <w:t xml:space="preserve">w </w:t>
      </w:r>
      <w:r w:rsidR="009021D3">
        <w:rPr>
          <w:rFonts w:ascii="Fira Sans" w:hAnsi="Fira Sans"/>
          <w:spacing w:val="-2"/>
          <w:sz w:val="19"/>
          <w:szCs w:val="19"/>
        </w:rPr>
        <w:t>I półroczu ub. r.</w:t>
      </w:r>
    </w:p>
    <w:p w14:paraId="11BDDBE7" w14:textId="77777777" w:rsidR="00CA6E34" w:rsidRPr="00B60CAC" w:rsidRDefault="00E910CE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 xml:space="preserve">W </w:t>
      </w:r>
      <w:r w:rsidR="00785725">
        <w:rPr>
          <w:rFonts w:ascii="Fira Sans" w:hAnsi="Fira Sans"/>
          <w:spacing w:val="-2"/>
          <w:sz w:val="19"/>
          <w:szCs w:val="19"/>
        </w:rPr>
        <w:t>bieżącej</w:t>
      </w:r>
      <w:r>
        <w:rPr>
          <w:rFonts w:ascii="Fira Sans" w:hAnsi="Fira Sans"/>
          <w:spacing w:val="-2"/>
          <w:sz w:val="19"/>
          <w:szCs w:val="19"/>
        </w:rPr>
        <w:t xml:space="preserve"> edycji badania n</w:t>
      </w:r>
      <w:r w:rsidR="00CA6E34" w:rsidRPr="00B60CAC">
        <w:rPr>
          <w:rFonts w:ascii="Fira Sans" w:hAnsi="Fira Sans"/>
          <w:spacing w:val="-2"/>
          <w:sz w:val="19"/>
          <w:szCs w:val="19"/>
        </w:rPr>
        <w:t>ajkorzystniej swoj</w:t>
      </w:r>
      <w:r>
        <w:rPr>
          <w:rFonts w:ascii="Fira Sans" w:hAnsi="Fira Sans"/>
          <w:spacing w:val="-2"/>
          <w:sz w:val="19"/>
          <w:szCs w:val="19"/>
        </w:rPr>
        <w:t>ą sytuację</w:t>
      </w:r>
      <w:r w:rsidR="00CA6E34" w:rsidRPr="00B60CAC">
        <w:rPr>
          <w:rFonts w:ascii="Fira Sans" w:hAnsi="Fira Sans"/>
          <w:spacing w:val="-2"/>
          <w:sz w:val="19"/>
          <w:szCs w:val="19"/>
        </w:rPr>
        <w:t xml:space="preserve"> ocenili kierujący gospodarstwami specjalizującymi się w produkcji zwierzęcej (minus 25,9), natomiast najgorzej producenci roślin (minus 39,4). Jednak w obu przypadkach oceny te były lepsze niż w poprzedniej edycji – wzrosty wartości sald odpowiedzi odpowiednio o 10,4 p. proc. oraz 8,0 p. proc.</w:t>
      </w:r>
    </w:p>
    <w:p w14:paraId="3BA9D8AD" w14:textId="77777777" w:rsidR="00CA6E34" w:rsidRPr="00B60CAC" w:rsidRDefault="00CA6E34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B60CAC">
        <w:rPr>
          <w:rFonts w:ascii="Fira Sans" w:hAnsi="Fira Sans"/>
          <w:spacing w:val="-2"/>
          <w:sz w:val="19"/>
          <w:szCs w:val="19"/>
        </w:rPr>
        <w:t>Najbardziej pesymistyczne opinie na temat zmiany opłacalności produkcji wyrazili rolnicy prowadzący uprawy pod osłonami oraz rzepaku i rzepiku, a także hodowcy trzody chlewnej.</w:t>
      </w:r>
    </w:p>
    <w:p w14:paraId="7DEA41AE" w14:textId="583F0998" w:rsidR="00EB7AB1" w:rsidRPr="00BA09FF" w:rsidRDefault="00CA6E34" w:rsidP="00033B5D">
      <w:pPr>
        <w:spacing w:before="120"/>
        <w:rPr>
          <w:rFonts w:ascii="Fira Sans" w:hAnsi="Fira Sans"/>
          <w:spacing w:val="-2"/>
          <w:sz w:val="19"/>
          <w:szCs w:val="19"/>
        </w:rPr>
      </w:pPr>
      <w:r w:rsidRPr="00B60CAC">
        <w:rPr>
          <w:rFonts w:ascii="Fira Sans" w:hAnsi="Fira Sans"/>
          <w:spacing w:val="-2"/>
          <w:sz w:val="19"/>
          <w:szCs w:val="19"/>
        </w:rPr>
        <w:t xml:space="preserve">W II półroczu 2022 r. oceny dotyczące zmiany popytu na wytwarzane produkty rolne </w:t>
      </w:r>
      <w:r w:rsidR="00BA09FF">
        <w:rPr>
          <w:rFonts w:ascii="Fira Sans" w:hAnsi="Fira Sans"/>
          <w:spacing w:val="-2"/>
          <w:sz w:val="19"/>
          <w:szCs w:val="19"/>
        </w:rPr>
        <w:br/>
      </w:r>
      <w:r w:rsidRPr="00B60CAC">
        <w:rPr>
          <w:rFonts w:ascii="Fira Sans" w:hAnsi="Fira Sans"/>
          <w:spacing w:val="-2"/>
          <w:sz w:val="19"/>
          <w:szCs w:val="19"/>
        </w:rPr>
        <w:t xml:space="preserve">były znacznie gorsze w porównaniu z trzema ostatnimi edycjami. W przypadku gospodarstw ukierunkowanych na produkcję roślinną odnotowano spadek wartości salda odpowiedzi </w:t>
      </w:r>
      <w:r w:rsidR="00BA09FF">
        <w:rPr>
          <w:rFonts w:ascii="Fira Sans" w:hAnsi="Fira Sans"/>
          <w:spacing w:val="-2"/>
          <w:sz w:val="19"/>
          <w:szCs w:val="19"/>
        </w:rPr>
        <w:br/>
      </w:r>
      <w:r w:rsidRPr="00B60CAC">
        <w:rPr>
          <w:rFonts w:ascii="Fira Sans" w:hAnsi="Fira Sans"/>
          <w:spacing w:val="-2"/>
          <w:sz w:val="19"/>
          <w:szCs w:val="19"/>
        </w:rPr>
        <w:t>w porównaniu z poprzednim oraz an</w:t>
      </w:r>
      <w:r w:rsidR="00785725">
        <w:rPr>
          <w:rFonts w:ascii="Fira Sans" w:hAnsi="Fira Sans"/>
          <w:spacing w:val="-2"/>
          <w:sz w:val="19"/>
          <w:szCs w:val="19"/>
        </w:rPr>
        <w:t>alogicznym okresem ub. roku,</w:t>
      </w:r>
      <w:r w:rsidRPr="00B60CAC">
        <w:rPr>
          <w:rFonts w:ascii="Fira Sans" w:hAnsi="Fira Sans"/>
          <w:spacing w:val="-2"/>
          <w:sz w:val="19"/>
          <w:szCs w:val="19"/>
        </w:rPr>
        <w:t xml:space="preserve"> odpowiednio o minus </w:t>
      </w:r>
      <w:r w:rsidR="00BA09FF">
        <w:rPr>
          <w:rFonts w:ascii="Fira Sans" w:hAnsi="Fira Sans"/>
          <w:spacing w:val="-2"/>
          <w:sz w:val="19"/>
          <w:szCs w:val="19"/>
        </w:rPr>
        <w:br/>
      </w:r>
      <w:r w:rsidRPr="00B60CAC">
        <w:rPr>
          <w:rFonts w:ascii="Fira Sans" w:hAnsi="Fira Sans"/>
          <w:spacing w:val="-2"/>
          <w:sz w:val="19"/>
          <w:szCs w:val="19"/>
        </w:rPr>
        <w:t>15,0</w:t>
      </w:r>
      <w:r w:rsidR="00785725">
        <w:rPr>
          <w:rFonts w:ascii="Fira Sans" w:hAnsi="Fira Sans"/>
          <w:spacing w:val="-2"/>
          <w:sz w:val="19"/>
          <w:szCs w:val="19"/>
        </w:rPr>
        <w:t xml:space="preserve"> p. proc</w:t>
      </w:r>
      <w:r w:rsidRPr="00B60CAC">
        <w:rPr>
          <w:rFonts w:ascii="Fira Sans" w:hAnsi="Fira Sans"/>
          <w:spacing w:val="-2"/>
          <w:sz w:val="19"/>
          <w:szCs w:val="19"/>
        </w:rPr>
        <w:t xml:space="preserve"> oraz minus 22,7</w:t>
      </w:r>
      <w:r w:rsidR="00785725">
        <w:rPr>
          <w:rFonts w:ascii="Fira Sans" w:hAnsi="Fira Sans"/>
          <w:spacing w:val="-2"/>
          <w:sz w:val="19"/>
          <w:szCs w:val="19"/>
        </w:rPr>
        <w:t xml:space="preserve"> p. proc</w:t>
      </w:r>
      <w:r w:rsidRPr="00B60CAC">
        <w:rPr>
          <w:rFonts w:ascii="Fira Sans" w:hAnsi="Fira Sans"/>
          <w:spacing w:val="-2"/>
          <w:sz w:val="19"/>
          <w:szCs w:val="19"/>
        </w:rPr>
        <w:t>. Najbardziej pesymistyczne opinie formułowali producenci specjalizujący się w uprawach buraków cukrowych, roślin przemysłowych oraz drzew i krzewów owocowych</w:t>
      </w:r>
      <w:r w:rsidR="00C45334">
        <w:rPr>
          <w:rFonts w:ascii="Fira Sans" w:hAnsi="Fira Sans"/>
          <w:spacing w:val="-2"/>
          <w:sz w:val="19"/>
          <w:szCs w:val="19"/>
        </w:rPr>
        <w:t>.</w:t>
      </w:r>
    </w:p>
    <w:p w14:paraId="1EE6B270" w14:textId="746567EC" w:rsidR="00EB7AB1" w:rsidRPr="00B60CAC" w:rsidRDefault="00E41760" w:rsidP="00B60CAC">
      <w:pPr>
        <w:spacing w:before="120" w:after="120"/>
        <w:rPr>
          <w:rFonts w:ascii="Fira Sans" w:hAnsi="Fira Sans"/>
          <w:b/>
          <w:spacing w:val="-2"/>
          <w:sz w:val="19"/>
          <w:szCs w:val="19"/>
        </w:rPr>
      </w:pPr>
      <w:r w:rsidRPr="00B60CAC">
        <w:rPr>
          <w:rFonts w:ascii="Fira Sans" w:hAnsi="Fira Sans"/>
          <w:b/>
          <w:spacing w:val="-2"/>
          <w:sz w:val="19"/>
          <w:szCs w:val="19"/>
        </w:rPr>
        <w:t>Wykres 2</w:t>
      </w:r>
      <w:r w:rsidR="00EB7AB1" w:rsidRPr="00B60CAC">
        <w:rPr>
          <w:rFonts w:ascii="Fira Sans" w:hAnsi="Fira Sans"/>
          <w:b/>
          <w:spacing w:val="-2"/>
          <w:sz w:val="19"/>
          <w:szCs w:val="19"/>
        </w:rPr>
        <w:t>. Salda odpowiedzi dotycząca zmian sytuacji ogólnej gospodarstw rolnych, opłacalności produkcji rolniczej i popyty na produkty rolne</w:t>
      </w:r>
    </w:p>
    <w:p w14:paraId="135840D7" w14:textId="77A03F86" w:rsidR="004E2A40" w:rsidRDefault="00852FE6" w:rsidP="00B60CAC">
      <w:pPr>
        <w:spacing w:before="240"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038295A7" wp14:editId="0E177258">
            <wp:extent cx="4906010" cy="2390775"/>
            <wp:effectExtent l="0" t="0" r="8890" b="0"/>
            <wp:docPr id="4" name="Wykres 4" descr="Salda odpowiedzi dotycząca zmian sytuacji ogólnej gospodarstw rolnych, opłacalności produkcji rolniczej i popyty na produkty roln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BBC3CE4" w14:textId="77777777" w:rsidR="00681A0F" w:rsidRDefault="00681A0F" w:rsidP="00B60CAC">
      <w:pPr>
        <w:pStyle w:val="LID"/>
        <w:spacing w:after="120"/>
        <w:rPr>
          <w:rFonts w:eastAsia="Times New Roman" w:cs="Calibri"/>
          <w:bCs/>
          <w:color w:val="000000"/>
        </w:rPr>
      </w:pPr>
      <w:r w:rsidRPr="00AE110F">
        <w:rPr>
          <w:rFonts w:eastAsia="Times New Roman" w:cs="Calibri"/>
          <w:bCs/>
          <w:color w:val="000000"/>
        </w:rPr>
        <w:t>Tablica 1. Salda odpowiedzi dotyczące ocen</w:t>
      </w:r>
      <w:r>
        <w:rPr>
          <w:rFonts w:eastAsia="Times New Roman" w:cs="Calibri"/>
          <w:bCs/>
          <w:color w:val="000000"/>
        </w:rPr>
        <w:t xml:space="preserve"> zmian</w:t>
      </w:r>
      <w:r w:rsidRPr="00AE110F">
        <w:rPr>
          <w:rFonts w:eastAsia="Times New Roman" w:cs="Calibri"/>
          <w:bCs/>
          <w:color w:val="000000"/>
        </w:rPr>
        <w:t>: sytuacji ogólnej gospodarstwa rolnego, opłacalności produkcji rolniczej oraz popytu na produkty rolne</w:t>
      </w:r>
    </w:p>
    <w:tbl>
      <w:tblPr>
        <w:tblW w:w="75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7"/>
        <w:gridCol w:w="868"/>
        <w:gridCol w:w="1036"/>
        <w:gridCol w:w="1145"/>
        <w:gridCol w:w="1036"/>
        <w:gridCol w:w="828"/>
        <w:gridCol w:w="1113"/>
      </w:tblGrid>
      <w:tr w:rsidR="00FC5EA6" w:rsidRPr="00FC5EA6" w14:paraId="231E1956" w14:textId="77777777" w:rsidTr="00B90948">
        <w:trPr>
          <w:trHeight w:val="677"/>
        </w:trPr>
        <w:tc>
          <w:tcPr>
            <w:tcW w:w="1487" w:type="dxa"/>
            <w:vMerge w:val="restart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F78C6ED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Wyszczególnienie </w:t>
            </w:r>
          </w:p>
        </w:tc>
        <w:tc>
          <w:tcPr>
            <w:tcW w:w="1904" w:type="dxa"/>
            <w:gridSpan w:val="2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774529C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Zmiana sytuacji ogólnej gospodarstwa rolnego w:</w:t>
            </w: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91DC59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Zmiana opłacalności produkcji rolniczej w: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ABF2C94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Zmiana popytu na produkty rolne w:</w:t>
            </w:r>
          </w:p>
        </w:tc>
      </w:tr>
      <w:tr w:rsidR="00FC5EA6" w:rsidRPr="00FC5EA6" w14:paraId="7961727A" w14:textId="77777777" w:rsidTr="00B90948">
        <w:trPr>
          <w:trHeight w:val="465"/>
        </w:trPr>
        <w:tc>
          <w:tcPr>
            <w:tcW w:w="1487" w:type="dxa"/>
            <w:vMerge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4BEBD7A" w14:textId="77777777" w:rsidR="00681A0F" w:rsidRPr="00FC5EA6" w:rsidRDefault="00681A0F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77C4DE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ostatnim półroczu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1C8406D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najbliższym półroczu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5C9640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ostatnim półroczu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FCEA72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najbliższym półroczu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BADF0C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ostatnim półroczu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50B9BB7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najbliższym półroczu</w:t>
            </w:r>
          </w:p>
        </w:tc>
      </w:tr>
      <w:tr w:rsidR="00681A0F" w:rsidRPr="00FC5EA6" w14:paraId="5EB867C9" w14:textId="77777777" w:rsidTr="00B90948">
        <w:trPr>
          <w:trHeight w:val="315"/>
        </w:trPr>
        <w:tc>
          <w:tcPr>
            <w:tcW w:w="1487" w:type="dxa"/>
            <w:tcBorders>
              <w:top w:val="nil"/>
              <w:left w:val="nil"/>
              <w:bottom w:val="single" w:sz="12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A719899" w14:textId="77777777" w:rsidR="00681A0F" w:rsidRPr="00FC5EA6" w:rsidRDefault="00681A0F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6026" w:type="dxa"/>
            <w:gridSpan w:val="6"/>
            <w:tcBorders>
              <w:top w:val="single" w:sz="8" w:space="0" w:color="001D77"/>
              <w:left w:val="nil"/>
              <w:bottom w:val="single" w:sz="12" w:space="0" w:color="001D77"/>
              <w:right w:val="nil"/>
            </w:tcBorders>
            <w:shd w:val="clear" w:color="auto" w:fill="auto"/>
            <w:vAlign w:val="center"/>
            <w:hideMark/>
          </w:tcPr>
          <w:p w14:paraId="62F7FD2C" w14:textId="77777777" w:rsidR="00681A0F" w:rsidRPr="00FC5EA6" w:rsidRDefault="00681A0F" w:rsidP="00BC30E5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i/>
                <w:iCs/>
                <w:color w:val="000000"/>
                <w:sz w:val="17"/>
                <w:szCs w:val="17"/>
                <w:lang w:eastAsia="pl-PL"/>
              </w:rPr>
              <w:t>saldo odpowiedzi w p. proc.</w:t>
            </w:r>
          </w:p>
        </w:tc>
      </w:tr>
      <w:tr w:rsidR="00FC5EA6" w:rsidRPr="00FC5EA6" w14:paraId="23C03626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726BF3" w14:textId="77777777" w:rsidR="00681A0F" w:rsidRPr="00FC5EA6" w:rsidRDefault="00681A0F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 2018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7A432A1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-32,7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1370CC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-22,6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F2E4C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-47,4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C403529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-25,9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6443193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-15,6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12E9969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-7,8</w:t>
            </w:r>
          </w:p>
        </w:tc>
      </w:tr>
      <w:tr w:rsidR="00FC5EA6" w:rsidRPr="00FC5EA6" w14:paraId="387BE407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FEA23F4" w14:textId="77777777" w:rsidR="00681A0F" w:rsidRPr="00FC5EA6" w:rsidRDefault="00681A0F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07-12 2018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471FA70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-28,5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A1A0B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-5,3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A0247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-36,0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A4A13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2CA3BC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3636DE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-1,9</w:t>
            </w:r>
          </w:p>
        </w:tc>
      </w:tr>
      <w:tr w:rsidR="00FC5EA6" w:rsidRPr="00FC5EA6" w14:paraId="34112743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3E7B85D" w14:textId="77777777" w:rsidR="00681A0F" w:rsidRPr="00FC5EA6" w:rsidRDefault="006427E0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2019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B9876C3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-29,4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31112C5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-19,5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09FA30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-40,0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CFEF7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-23,2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2233F09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-12,1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36380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-7,1</w:t>
            </w:r>
          </w:p>
        </w:tc>
      </w:tr>
      <w:tr w:rsidR="00FC5EA6" w:rsidRPr="00FC5EA6" w14:paraId="36CC93B6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1BF555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07-12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2019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9F75FF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-25,5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87EB9B7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-11,7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A7618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-34,3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055F6F3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-16,1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CEF9FDE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FD4EE73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-3,8</w:t>
            </w:r>
          </w:p>
        </w:tc>
      </w:tr>
      <w:tr w:rsidR="00FC5EA6" w:rsidRPr="00FC5EA6" w14:paraId="6D9AD4F4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4B701A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2020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187E1F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-23,8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AB3B9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-7,9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819B88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-36,5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C9782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-11,6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5141B5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-16,1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3F6A5710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-5,0</w:t>
            </w:r>
          </w:p>
        </w:tc>
      </w:tr>
      <w:tr w:rsidR="00FC5EA6" w:rsidRPr="00FC5EA6" w14:paraId="7C8F771F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7E8942B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07-12 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2020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089157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-25,9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08E93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-9,7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EE6E5C7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-35,1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B09C921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-13,1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75B58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-15,7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BC2D5C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-5,2</w:t>
            </w:r>
          </w:p>
        </w:tc>
      </w:tr>
      <w:tr w:rsidR="00FC5EA6" w:rsidRPr="00FC5EA6" w14:paraId="3E310CA2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D9E603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2021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59BD69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-25,2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DC4211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-15,4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362ED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-38,6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AF025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-23,8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1FA559F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-7,4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BB3723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-6,4</w:t>
            </w:r>
          </w:p>
        </w:tc>
      </w:tr>
      <w:tr w:rsidR="00FC5EA6" w:rsidRPr="00FC5EA6" w14:paraId="5B80182B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BE7139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07-12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 2021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0A97C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-37,3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C6CD7A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-47,2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699E3F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-47,0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8CBE49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-52,1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10CFE2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-6,0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A7EBF5D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-16,3</w:t>
            </w:r>
          </w:p>
        </w:tc>
      </w:tr>
      <w:tr w:rsidR="00FC5EA6" w:rsidRPr="00FC5EA6" w14:paraId="07DCC63F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C2C0B1A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01-06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2022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0B2CA5A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-46,2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099360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-39,4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67719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-54,4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37D6BAB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-45,2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D9879B5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-9,5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D81CE8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-16,1</w:t>
            </w:r>
          </w:p>
        </w:tc>
      </w:tr>
      <w:tr w:rsidR="00FC5EA6" w:rsidRPr="00FC5EA6" w14:paraId="49E0D9E6" w14:textId="77777777" w:rsidTr="00B90948">
        <w:trPr>
          <w:trHeight w:val="344"/>
        </w:trPr>
        <w:tc>
          <w:tcPr>
            <w:tcW w:w="1487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BAE1104" w14:textId="77777777" w:rsidR="00681A0F" w:rsidRPr="00FC5EA6" w:rsidRDefault="008A6991" w:rsidP="00BC30E5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07-12</w:t>
            </w:r>
            <w:r w:rsidR="00681A0F"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 xml:space="preserve"> 2022 r.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1FCF8DCA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-37,7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787F2EDC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-34,8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bottom"/>
            <w:hideMark/>
          </w:tcPr>
          <w:p w14:paraId="42359BC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-51,3</w:t>
            </w:r>
          </w:p>
        </w:tc>
        <w:tc>
          <w:tcPr>
            <w:tcW w:w="1036" w:type="dxa"/>
            <w:tcBorders>
              <w:top w:val="nil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1DA59322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-43,5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noWrap/>
            <w:vAlign w:val="bottom"/>
            <w:hideMark/>
          </w:tcPr>
          <w:p w14:paraId="740A4C86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-23,3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noWrap/>
            <w:vAlign w:val="bottom"/>
            <w:hideMark/>
          </w:tcPr>
          <w:p w14:paraId="4A26B454" w14:textId="77777777" w:rsidR="00681A0F" w:rsidRPr="00FC5EA6" w:rsidRDefault="00681A0F" w:rsidP="00BC30E5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</w:pPr>
            <w:r w:rsidRPr="00FC5EA6">
              <w:rPr>
                <w:rFonts w:ascii="Fira Sans" w:eastAsia="Times New Roman" w:hAnsi="Fira Sans" w:cs="Calibri"/>
                <w:color w:val="000000"/>
                <w:sz w:val="17"/>
                <w:szCs w:val="17"/>
                <w:lang w:eastAsia="pl-PL"/>
              </w:rPr>
              <w:t>-22,8</w:t>
            </w:r>
          </w:p>
        </w:tc>
      </w:tr>
    </w:tbl>
    <w:p w14:paraId="6B62133B" w14:textId="1B4DAA38" w:rsidR="00AE110F" w:rsidRPr="00B60CAC" w:rsidRDefault="00747F84" w:rsidP="00B60CAC">
      <w:pPr>
        <w:spacing w:before="120" w:after="120"/>
        <w:rPr>
          <w:rFonts w:ascii="Fira Sans" w:hAnsi="Fira Sans"/>
          <w:b/>
          <w:spacing w:val="-2"/>
          <w:sz w:val="19"/>
          <w:szCs w:val="19"/>
        </w:rPr>
      </w:pPr>
      <w:r w:rsidRPr="00EC1598">
        <w:rPr>
          <w:noProof/>
          <w:spacing w:val="-2"/>
          <w:sz w:val="18"/>
          <w:szCs w:val="20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2950528" behindDoc="1" locked="0" layoutInCell="1" allowOverlap="1" wp14:anchorId="66E500DC" wp14:editId="3CE4BE0E">
                <wp:simplePos x="0" y="0"/>
                <wp:positionH relativeFrom="column">
                  <wp:posOffset>5292725</wp:posOffset>
                </wp:positionH>
                <wp:positionV relativeFrom="paragraph">
                  <wp:posOffset>229870</wp:posOffset>
                </wp:positionV>
                <wp:extent cx="1725295" cy="1552575"/>
                <wp:effectExtent l="0" t="0" r="0" b="0"/>
                <wp:wrapTight wrapText="bothSides">
                  <wp:wrapPolygon edited="0">
                    <wp:start x="715" y="0"/>
                    <wp:lineTo x="715" y="21202"/>
                    <wp:lineTo x="20749" y="21202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C1013" w14:textId="77777777" w:rsidR="00EC1598" w:rsidRPr="005429D3" w:rsidRDefault="00EC1598" w:rsidP="00B60CAC">
                            <w:pPr>
                              <w:pStyle w:val="tekstzboku"/>
                              <w:spacing w:before="120" w:after="120"/>
                            </w:pPr>
                            <w:r w:rsidRPr="00EC1598">
                              <w:t>Najmniej pesymistyczni w swoich ocenach byli młodzi rolnicy (poniżej 25 lat), osoby z wykształceniem średnim ogólnokształcącym oraz wyższym rolniczym, a także osoby prowadzące gospodarst</w:t>
                            </w:r>
                            <w:r>
                              <w:t>wo rolne przez okres 6-10 lat.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500DC" id="Pole tekstowe 7" o:spid="_x0000_s1028" type="#_x0000_t202" style="position:absolute;margin-left:416.75pt;margin-top:18.1pt;width:135.85pt;height:122.25pt;z-index:-25036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" filled="f" stroked="f">
                <v:textbox>
                  <w:txbxContent>
                    <w:p w14:paraId="2A6C1013" w14:textId="77777777" w:rsidR="00EC1598" w:rsidRPr="005429D3" w:rsidRDefault="00EC1598" w:rsidP="00B60CAC">
                      <w:pPr>
                        <w:pStyle w:val="tekstzboku"/>
                        <w:spacing w:before="120" w:after="120"/>
                      </w:pPr>
                      <w:r w:rsidRPr="00EC1598">
                        <w:t>Najmniej pesymistyczni w swoich ocenach byli młodzi rolnicy (poniżej 25 lat), osoby z wykształceniem średnim ogólnokształcącym oraz wyższym rolniczym, a także osoby prowadzące gospodarst</w:t>
                      </w:r>
                      <w:r>
                        <w:t>wo rolne przez okres 6-10 lat.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C2E11" w:rsidRPr="00B60CAC">
        <w:rPr>
          <w:rFonts w:ascii="Fira Sans" w:hAnsi="Fira Sans"/>
          <w:b/>
          <w:spacing w:val="-2"/>
          <w:sz w:val="19"/>
          <w:szCs w:val="19"/>
        </w:rPr>
        <w:t>Ocena</w:t>
      </w:r>
      <w:r w:rsidR="00F92EF8" w:rsidRPr="00B60CAC">
        <w:rPr>
          <w:rFonts w:ascii="Fira Sans" w:hAnsi="Fira Sans"/>
          <w:b/>
          <w:spacing w:val="-2"/>
          <w:sz w:val="19"/>
          <w:szCs w:val="19"/>
        </w:rPr>
        <w:t xml:space="preserve"> bieżącej</w:t>
      </w:r>
      <w:r w:rsidR="006C2E11" w:rsidRPr="00B60CAC">
        <w:rPr>
          <w:rFonts w:ascii="Fira Sans" w:hAnsi="Fira Sans"/>
          <w:b/>
          <w:spacing w:val="-2"/>
          <w:sz w:val="19"/>
          <w:szCs w:val="19"/>
        </w:rPr>
        <w:t xml:space="preserve"> sytuacji gospodarstw rolnych</w:t>
      </w:r>
    </w:p>
    <w:p w14:paraId="2C88A862" w14:textId="47A4E0B7" w:rsidR="00E650CA" w:rsidRDefault="00E650CA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 xml:space="preserve">W grudniu 2022 r. </w:t>
      </w:r>
      <w:r w:rsidRPr="008A1225">
        <w:rPr>
          <w:rFonts w:ascii="Fira Sans" w:hAnsi="Fira Sans"/>
          <w:spacing w:val="-2"/>
          <w:sz w:val="19"/>
          <w:szCs w:val="19"/>
        </w:rPr>
        <w:t xml:space="preserve">67% </w:t>
      </w:r>
      <w:r>
        <w:rPr>
          <w:rFonts w:ascii="Fira Sans" w:hAnsi="Fira Sans"/>
          <w:spacing w:val="-2"/>
          <w:sz w:val="19"/>
          <w:szCs w:val="19"/>
        </w:rPr>
        <w:t>rolników objętych badaniem</w:t>
      </w:r>
      <w:r w:rsidRPr="008A1225">
        <w:rPr>
          <w:rFonts w:ascii="Fira Sans" w:hAnsi="Fira Sans"/>
          <w:spacing w:val="-2"/>
          <w:sz w:val="19"/>
          <w:szCs w:val="19"/>
        </w:rPr>
        <w:t xml:space="preserve"> oceniło jako normalną</w:t>
      </w:r>
      <w:r w:rsidR="00C45334">
        <w:rPr>
          <w:rFonts w:ascii="Fira Sans" w:hAnsi="Fira Sans"/>
          <w:spacing w:val="-2"/>
          <w:sz w:val="19"/>
          <w:szCs w:val="19"/>
        </w:rPr>
        <w:t>,</w:t>
      </w:r>
      <w:r w:rsidRPr="008A1225">
        <w:rPr>
          <w:rFonts w:ascii="Fira Sans" w:hAnsi="Fira Sans"/>
          <w:spacing w:val="-2"/>
          <w:sz w:val="19"/>
          <w:szCs w:val="19"/>
        </w:rPr>
        <w:t xml:space="preserve"> jak na tę porę roku</w:t>
      </w:r>
      <w:r w:rsidR="00C45334">
        <w:rPr>
          <w:rFonts w:ascii="Fira Sans" w:hAnsi="Fira Sans"/>
          <w:spacing w:val="-2"/>
          <w:sz w:val="19"/>
          <w:szCs w:val="19"/>
        </w:rPr>
        <w:t>,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Pr="008A1225">
        <w:rPr>
          <w:rFonts w:ascii="Fira Sans" w:hAnsi="Fira Sans"/>
          <w:spacing w:val="-2"/>
          <w:sz w:val="19"/>
          <w:szCs w:val="19"/>
        </w:rPr>
        <w:t>bieżącą sytuację</w:t>
      </w:r>
      <w:r>
        <w:rPr>
          <w:rFonts w:ascii="Fira Sans" w:hAnsi="Fira Sans"/>
          <w:spacing w:val="-2"/>
          <w:sz w:val="19"/>
          <w:szCs w:val="19"/>
        </w:rPr>
        <w:t xml:space="preserve"> swoich gosp</w:t>
      </w:r>
      <w:r w:rsidR="00C45334">
        <w:rPr>
          <w:rFonts w:ascii="Fira Sans" w:hAnsi="Fira Sans"/>
          <w:spacing w:val="-2"/>
          <w:sz w:val="19"/>
          <w:szCs w:val="19"/>
        </w:rPr>
        <w:t>odarstw. I było to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Pr="008A1225">
        <w:rPr>
          <w:rFonts w:ascii="Fira Sans" w:hAnsi="Fira Sans"/>
          <w:spacing w:val="-2"/>
          <w:sz w:val="19"/>
          <w:szCs w:val="19"/>
        </w:rPr>
        <w:t>o</w:t>
      </w:r>
      <w:r>
        <w:rPr>
          <w:rFonts w:ascii="Fira Sans" w:hAnsi="Fira Sans"/>
          <w:spacing w:val="-2"/>
          <w:sz w:val="19"/>
          <w:szCs w:val="19"/>
        </w:rPr>
        <w:t xml:space="preserve"> </w:t>
      </w:r>
      <w:r w:rsidRPr="008A1225">
        <w:rPr>
          <w:rFonts w:ascii="Fira Sans" w:hAnsi="Fira Sans"/>
          <w:spacing w:val="-2"/>
          <w:sz w:val="19"/>
          <w:szCs w:val="19"/>
        </w:rPr>
        <w:t>około 6 p. proc. więcej niż w czerwcu ub. r., ale o 2,8 p. proc. mniej niż przed rokiem.</w:t>
      </w:r>
      <w:r>
        <w:rPr>
          <w:rFonts w:ascii="Fira Sans" w:hAnsi="Fira Sans"/>
          <w:spacing w:val="-2"/>
          <w:sz w:val="19"/>
          <w:szCs w:val="19"/>
        </w:rPr>
        <w:t xml:space="preserve"> Należy zauważyć, że w porównaniu z poprzednią edycją badania, przewaga opinii o złej sytuacji gospodarstw rolnych nad opiniami przeciwnymi zmniejszyła się i wyniosła minus 16,2 p. proc. wobec minus 24,9 p. proc. w czerwcu 2022 r. </w:t>
      </w:r>
    </w:p>
    <w:p w14:paraId="11B08B73" w14:textId="7C44D4E4" w:rsidR="00E650CA" w:rsidRPr="00B60CAC" w:rsidRDefault="00E650CA" w:rsidP="00B60CAC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B60CAC">
        <w:rPr>
          <w:rFonts w:ascii="Fira Sans" w:hAnsi="Fira Sans"/>
          <w:spacing w:val="-2"/>
          <w:sz w:val="19"/>
          <w:szCs w:val="19"/>
        </w:rPr>
        <w:t xml:space="preserve">Kierujący gospodarstwami wyraźnie ukierunkowanymi na produkcję zwierzęcą wyrażali korzystniejsze opinie </w:t>
      </w:r>
      <w:r w:rsidR="000A4B95" w:rsidRPr="00B60CAC">
        <w:rPr>
          <w:rFonts w:ascii="Fira Sans" w:hAnsi="Fira Sans"/>
          <w:spacing w:val="-2"/>
          <w:sz w:val="19"/>
          <w:szCs w:val="19"/>
        </w:rPr>
        <w:t xml:space="preserve">na temat </w:t>
      </w:r>
      <w:r w:rsidRPr="00B60CAC">
        <w:rPr>
          <w:rFonts w:ascii="Fira Sans" w:hAnsi="Fira Sans"/>
          <w:spacing w:val="-2"/>
          <w:sz w:val="19"/>
          <w:szCs w:val="19"/>
        </w:rPr>
        <w:t xml:space="preserve">koniunktury w rolnictwie niż osoby prowadzące gospodarstwa wielokierunkowe. </w:t>
      </w:r>
      <w:r w:rsidR="003419F3" w:rsidRPr="003419F3">
        <w:rPr>
          <w:rFonts w:ascii="Fira Sans" w:hAnsi="Fira Sans"/>
          <w:spacing w:val="-2"/>
          <w:sz w:val="19"/>
          <w:szCs w:val="19"/>
        </w:rPr>
        <w:t>Najbardziej optymistyczne opinie wyrażali hodowcy owiec i bydła mlecznego.</w:t>
      </w:r>
    </w:p>
    <w:p w14:paraId="3CE27812" w14:textId="77777777" w:rsidR="004E2A40" w:rsidRPr="00B60CAC" w:rsidRDefault="00E650CA" w:rsidP="00226D7A">
      <w:pPr>
        <w:pStyle w:val="Tekstkomentarza"/>
        <w:spacing w:before="120" w:after="240" w:line="240" w:lineRule="exact"/>
        <w:rPr>
          <w:sz w:val="19"/>
          <w:szCs w:val="19"/>
        </w:rPr>
      </w:pPr>
      <w:r w:rsidRPr="00B60CAC">
        <w:rPr>
          <w:rFonts w:ascii="Fira Sans" w:hAnsi="Fira Sans"/>
          <w:spacing w:val="-2"/>
          <w:sz w:val="19"/>
          <w:szCs w:val="19"/>
        </w:rPr>
        <w:t>Najmniej korzystnie swoją obecną sytuację ocenili użytkownicy gospodarstw ukierunkowanych na produkcję roślinną, a wśród nich najgorzej rolnicy prowadzący uprawy pod osłonami oraz rzepaku i rzepiku</w:t>
      </w:r>
      <w:r w:rsidR="00B60CAC">
        <w:rPr>
          <w:rFonts w:ascii="Fira Sans" w:hAnsi="Fira Sans"/>
          <w:spacing w:val="-2"/>
          <w:sz w:val="19"/>
          <w:szCs w:val="19"/>
        </w:rPr>
        <w:t>.</w:t>
      </w:r>
    </w:p>
    <w:p w14:paraId="57251458" w14:textId="40E605AE" w:rsidR="00AE110F" w:rsidRPr="003F102C" w:rsidRDefault="00D126C5">
      <w:pPr>
        <w:spacing w:line="259" w:lineRule="auto"/>
        <w:rPr>
          <w:rFonts w:ascii="Fira Sans" w:hAnsi="Fira Sans"/>
          <w:b/>
          <w:spacing w:val="-2"/>
          <w:sz w:val="19"/>
          <w:szCs w:val="19"/>
        </w:rPr>
      </w:pPr>
      <w:r w:rsidRPr="003F102C">
        <w:rPr>
          <w:rFonts w:ascii="Fira Sans" w:hAnsi="Fira Sans"/>
          <w:b/>
          <w:spacing w:val="-2"/>
          <w:sz w:val="19"/>
          <w:szCs w:val="19"/>
        </w:rPr>
        <w:t>W</w:t>
      </w:r>
      <w:r w:rsidR="00852FE6" w:rsidRPr="003F102C">
        <w:rPr>
          <w:rFonts w:ascii="Fira Sans" w:hAnsi="Fira Sans"/>
          <w:b/>
          <w:spacing w:val="-2"/>
          <w:sz w:val="19"/>
          <w:szCs w:val="19"/>
        </w:rPr>
        <w:t>ykre</w:t>
      </w:r>
      <w:r w:rsidR="00E650CA" w:rsidRPr="003F102C">
        <w:rPr>
          <w:rFonts w:ascii="Fira Sans" w:hAnsi="Fira Sans"/>
          <w:b/>
          <w:spacing w:val="-2"/>
          <w:sz w:val="19"/>
          <w:szCs w:val="19"/>
        </w:rPr>
        <w:t>s 3</w:t>
      </w:r>
      <w:r w:rsidR="00033B5D">
        <w:rPr>
          <w:rFonts w:ascii="Fira Sans" w:hAnsi="Fira Sans"/>
          <w:b/>
          <w:spacing w:val="-2"/>
          <w:sz w:val="19"/>
          <w:szCs w:val="19"/>
        </w:rPr>
        <w:t>. Salda odpowiedzi dla bieżącej</w:t>
      </w:r>
      <w:r w:rsidR="00852FE6" w:rsidRPr="003F102C">
        <w:rPr>
          <w:rFonts w:ascii="Fira Sans" w:hAnsi="Fira Sans"/>
          <w:b/>
          <w:spacing w:val="-2"/>
          <w:sz w:val="19"/>
          <w:szCs w:val="19"/>
        </w:rPr>
        <w:t xml:space="preserve"> </w:t>
      </w:r>
      <w:r w:rsidRPr="003F102C">
        <w:rPr>
          <w:rFonts w:ascii="Fira Sans" w:hAnsi="Fira Sans"/>
          <w:b/>
          <w:spacing w:val="-2"/>
          <w:sz w:val="19"/>
          <w:szCs w:val="19"/>
        </w:rPr>
        <w:t>sytuacji ogólnej gospodarstw rolnych, bieżącej opłacalności produkcji rolniczej i bie</w:t>
      </w:r>
      <w:r w:rsidR="00D17D8C" w:rsidRPr="003F102C">
        <w:rPr>
          <w:rFonts w:ascii="Fira Sans" w:hAnsi="Fira Sans"/>
          <w:b/>
          <w:spacing w:val="-2"/>
          <w:sz w:val="19"/>
          <w:szCs w:val="19"/>
        </w:rPr>
        <w:t>żącego popytu na produkty rolne</w:t>
      </w:r>
    </w:p>
    <w:p w14:paraId="448A4A96" w14:textId="77777777" w:rsidR="00AB01F1" w:rsidRDefault="00852FE6" w:rsidP="005E6FB1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2653ACF7" wp14:editId="78A5F9C1">
            <wp:extent cx="4819650" cy="2355215"/>
            <wp:effectExtent l="0" t="0" r="0" b="6985"/>
            <wp:docPr id="1" name="Wykres 1" descr=" Salda odpowiedzi dla bieżącej sytuacji ogólnej gospodarstw rolnych, bieżącej opłacalności produkcji rolniczej i bieżącego popytu na produkty roln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85C3570" w14:textId="77777777" w:rsidR="00DF50C1" w:rsidRPr="00DF50C1" w:rsidRDefault="00DF50C1" w:rsidP="00E35D77">
      <w:pPr>
        <w:spacing w:line="259" w:lineRule="auto"/>
        <w:rPr>
          <w:rFonts w:ascii="Fira Sans" w:hAnsi="Fira Sans"/>
          <w:spacing w:val="-2"/>
          <w:sz w:val="18"/>
        </w:rPr>
        <w:sectPr w:rsidR="00DF50C1" w:rsidRPr="00DF50C1" w:rsidSect="00D3003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142" w:left="720" w:header="284" w:footer="284" w:gutter="0"/>
          <w:cols w:space="708"/>
          <w:titlePg/>
          <w:docGrid w:linePitch="360"/>
        </w:sectPr>
      </w:pPr>
    </w:p>
    <w:p w14:paraId="547AAE1A" w14:textId="77777777" w:rsidR="00224302" w:rsidRPr="00226D7A" w:rsidRDefault="005151B9" w:rsidP="000323DB">
      <w:pPr>
        <w:spacing w:before="240" w:line="259" w:lineRule="auto"/>
        <w:rPr>
          <w:rFonts w:ascii="Fira Sans" w:hAnsi="Fira Sans"/>
          <w:b/>
          <w:spacing w:val="-2"/>
          <w:sz w:val="19"/>
          <w:szCs w:val="19"/>
        </w:rPr>
      </w:pPr>
      <w:r w:rsidRPr="00226D7A">
        <w:rPr>
          <w:rFonts w:ascii="Fira Sans" w:hAnsi="Fira Sans"/>
          <w:b/>
          <w:spacing w:val="-2"/>
          <w:sz w:val="19"/>
          <w:szCs w:val="19"/>
        </w:rPr>
        <w:t>Ocena opłacalności produkcji rolniczej</w:t>
      </w:r>
    </w:p>
    <w:p w14:paraId="0175FFEE" w14:textId="7D18CE20" w:rsidR="000323DB" w:rsidRPr="00226D7A" w:rsidRDefault="00684CBC" w:rsidP="00684CBC">
      <w:pPr>
        <w:spacing w:line="259" w:lineRule="auto"/>
        <w:rPr>
          <w:rFonts w:ascii="Fira Sans" w:hAnsi="Fira Sans"/>
          <w:spacing w:val="-2"/>
          <w:sz w:val="19"/>
          <w:szCs w:val="19"/>
        </w:rPr>
      </w:pPr>
      <w:r w:rsidRPr="00226D7A">
        <w:rPr>
          <w:rFonts w:ascii="Fira Sans" w:hAnsi="Fira Sans"/>
          <w:spacing w:val="-2"/>
          <w:sz w:val="19"/>
          <w:szCs w:val="19"/>
        </w:rPr>
        <w:t xml:space="preserve">Rolnicy negatywnie ocenili bieżącą (grudzień 2022 r.) opłacalność produkcji rolniczej. Jednak saldo odpowiedzi poprawiło się i wyniosło minus 14,3 p. proc. wobec minus 18,9 p. proc. </w:t>
      </w:r>
      <w:r w:rsidR="00782EB3">
        <w:rPr>
          <w:rFonts w:ascii="Fira Sans" w:hAnsi="Fira Sans"/>
          <w:spacing w:val="-2"/>
          <w:sz w:val="19"/>
          <w:szCs w:val="19"/>
        </w:rPr>
        <w:br/>
      </w:r>
      <w:r w:rsidRPr="00226D7A">
        <w:rPr>
          <w:rFonts w:ascii="Fira Sans" w:hAnsi="Fira Sans"/>
          <w:spacing w:val="-2"/>
          <w:sz w:val="19"/>
          <w:szCs w:val="19"/>
        </w:rPr>
        <w:t>w czerwcu 2022 r. Najbardziej pesymistyczne, podobnie jak w I półroczu 2022 r. oceny wyrażali użytkownicy gospodarstw specjalizujących się w uprawie roślin (przewaga opinii negatywnych nad pozytywnymi wyniosła minus 18,4</w:t>
      </w:r>
      <w:r w:rsidR="00F5003E">
        <w:rPr>
          <w:rFonts w:ascii="Fira Sans" w:hAnsi="Fira Sans"/>
          <w:spacing w:val="-2"/>
          <w:sz w:val="19"/>
          <w:szCs w:val="19"/>
        </w:rPr>
        <w:t xml:space="preserve"> p. proc.</w:t>
      </w:r>
      <w:r w:rsidRPr="00226D7A">
        <w:rPr>
          <w:rFonts w:ascii="Fira Sans" w:hAnsi="Fira Sans"/>
          <w:spacing w:val="-2"/>
          <w:sz w:val="19"/>
          <w:szCs w:val="19"/>
        </w:rPr>
        <w:t>). Saldo odpowiedzi osób prowadzących gospodarstwa ukierunkowane na produkcję zwierzęcą było dodatnie (3,6) wobec ujemnych wartośc</w:t>
      </w:r>
      <w:r w:rsidR="000323DB" w:rsidRPr="00226D7A">
        <w:rPr>
          <w:rFonts w:ascii="Fira Sans" w:hAnsi="Fira Sans"/>
          <w:spacing w:val="-2"/>
          <w:sz w:val="19"/>
          <w:szCs w:val="19"/>
        </w:rPr>
        <w:t>i w ostatnich edycjach badania.</w:t>
      </w:r>
    </w:p>
    <w:p w14:paraId="26E7F0D4" w14:textId="17CEFAEA" w:rsidR="00026D09" w:rsidRPr="00226D7A" w:rsidRDefault="00052A2C" w:rsidP="00684CBC">
      <w:pPr>
        <w:spacing w:line="259" w:lineRule="auto"/>
        <w:rPr>
          <w:rFonts w:ascii="Fira Sans" w:hAnsi="Fira Sans"/>
          <w:b/>
          <w:spacing w:val="-2"/>
          <w:sz w:val="19"/>
          <w:szCs w:val="19"/>
        </w:rPr>
      </w:pPr>
      <w:r w:rsidRPr="00226D7A">
        <w:rPr>
          <w:rFonts w:ascii="Fira Sans" w:hAnsi="Fira Sans"/>
          <w:b/>
          <w:spacing w:val="-2"/>
          <w:sz w:val="19"/>
          <w:szCs w:val="19"/>
        </w:rPr>
        <w:t>Wykres 4</w:t>
      </w:r>
      <w:r w:rsidR="00F52D34" w:rsidRPr="00226D7A">
        <w:rPr>
          <w:rFonts w:ascii="Fira Sans" w:hAnsi="Fira Sans"/>
          <w:b/>
          <w:spacing w:val="-2"/>
          <w:sz w:val="19"/>
          <w:szCs w:val="19"/>
        </w:rPr>
        <w:t>. Ocena bieżącej</w:t>
      </w:r>
      <w:r w:rsidR="00C850B6">
        <w:rPr>
          <w:rFonts w:ascii="Fira Sans" w:hAnsi="Fira Sans"/>
          <w:b/>
          <w:spacing w:val="-2"/>
          <w:sz w:val="19"/>
          <w:szCs w:val="19"/>
        </w:rPr>
        <w:t xml:space="preserve"> opłacalności</w:t>
      </w:r>
      <w:r w:rsidR="00F52D34" w:rsidRPr="00226D7A">
        <w:rPr>
          <w:rFonts w:ascii="Fira Sans" w:hAnsi="Fira Sans"/>
          <w:b/>
          <w:spacing w:val="-2"/>
          <w:sz w:val="19"/>
          <w:szCs w:val="19"/>
        </w:rPr>
        <w:t xml:space="preserve"> oraz zmiana opłacalności produkcji rolni</w:t>
      </w:r>
      <w:r w:rsidR="00DB159E">
        <w:rPr>
          <w:rFonts w:ascii="Fira Sans" w:hAnsi="Fira Sans"/>
          <w:b/>
          <w:spacing w:val="-2"/>
          <w:sz w:val="19"/>
          <w:szCs w:val="19"/>
        </w:rPr>
        <w:t>czej</w:t>
      </w:r>
    </w:p>
    <w:p w14:paraId="2B0EC4AB" w14:textId="77777777" w:rsidR="00311CE9" w:rsidRDefault="00026D09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12B69EFE" wp14:editId="57C6EB49">
            <wp:extent cx="4819650" cy="2657475"/>
            <wp:effectExtent l="0" t="0" r="0" b="0"/>
            <wp:docPr id="24" name="Wykres 24" descr="Ocena bieżącej opłacalności oraz zmiana opłacalności produkcji rolniczej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9E750C-FBAA-4524-A4B1-6764BDD311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09B9651" w14:textId="6BFF8A5E" w:rsidR="00173452" w:rsidRPr="000323DB" w:rsidRDefault="000323DB" w:rsidP="00782EB3">
      <w:pPr>
        <w:spacing w:before="120" w:after="240"/>
        <w:rPr>
          <w:rFonts w:ascii="Fira Sans" w:hAnsi="Fira Sans"/>
          <w:spacing w:val="-2"/>
          <w:sz w:val="18"/>
        </w:rPr>
      </w:pPr>
      <w:r w:rsidRPr="00782EB3">
        <w:rPr>
          <w:rFonts w:ascii="Fira Sans" w:hAnsi="Fira Sans"/>
          <w:spacing w:val="-2"/>
          <w:sz w:val="19"/>
          <w:szCs w:val="19"/>
        </w:rPr>
        <w:lastRenderedPageBreak/>
        <w:t xml:space="preserve">W grudniu 2022 r. 15,5% respondentów stwierdziło, że prowadzenie produkcji rolniczej jest </w:t>
      </w:r>
      <w:r w:rsidRPr="006D51B4">
        <w:rPr>
          <w:rFonts w:ascii="Fira Sans" w:hAnsi="Fira Sans"/>
          <w:spacing w:val="-2"/>
          <w:sz w:val="19"/>
          <w:szCs w:val="19"/>
        </w:rPr>
        <w:t>opłacalne</w:t>
      </w:r>
      <w:r w:rsidRPr="00B56C44">
        <w:rPr>
          <w:rFonts w:ascii="Fira Sans" w:hAnsi="Fira Sans"/>
          <w:spacing w:val="-2"/>
          <w:sz w:val="19"/>
          <w:szCs w:val="19"/>
        </w:rPr>
        <w:t xml:space="preserve">. </w:t>
      </w:r>
      <w:r w:rsidR="00173452" w:rsidRPr="00B56C44">
        <w:rPr>
          <w:rFonts w:ascii="Fira Sans" w:hAnsi="Fira Sans"/>
          <w:spacing w:val="-2"/>
          <w:sz w:val="19"/>
          <w:szCs w:val="19"/>
        </w:rPr>
        <w:t xml:space="preserve">Wśród </w:t>
      </w:r>
      <w:r w:rsidR="00B56C44">
        <w:rPr>
          <w:rFonts w:ascii="Fira Sans" w:hAnsi="Fira Sans"/>
          <w:spacing w:val="-2"/>
          <w:sz w:val="19"/>
          <w:szCs w:val="19"/>
        </w:rPr>
        <w:t>użytkowników gospodarstw rolnych o powierzchni co najmniej 100 ha ponad 20% z wykazało, że produkcja rolnicza jest opłacalna.</w:t>
      </w:r>
      <w:r w:rsidR="00173452" w:rsidRPr="00B56C44">
        <w:rPr>
          <w:rFonts w:ascii="Fira Sans" w:hAnsi="Fira Sans"/>
          <w:spacing w:val="-2"/>
          <w:sz w:val="19"/>
          <w:szCs w:val="19"/>
        </w:rPr>
        <w:t xml:space="preserve"> </w:t>
      </w:r>
      <w:r w:rsidR="00D54E78" w:rsidRPr="00B56C44">
        <w:rPr>
          <w:rFonts w:ascii="Fira Sans" w:hAnsi="Fira Sans"/>
          <w:spacing w:val="-2"/>
          <w:sz w:val="19"/>
          <w:szCs w:val="19"/>
        </w:rPr>
        <w:t>P</w:t>
      </w:r>
      <w:r w:rsidR="00D54E78" w:rsidRPr="006D51B4">
        <w:rPr>
          <w:rFonts w:ascii="Fira Sans" w:hAnsi="Fira Sans"/>
          <w:spacing w:val="-2"/>
          <w:sz w:val="19"/>
          <w:szCs w:val="19"/>
        </w:rPr>
        <w:t>odobne</w:t>
      </w:r>
      <w:r w:rsidR="00D54E78" w:rsidRPr="00782EB3">
        <w:rPr>
          <w:rFonts w:ascii="Fira Sans" w:hAnsi="Fira Sans"/>
          <w:spacing w:val="-2"/>
          <w:sz w:val="19"/>
          <w:szCs w:val="19"/>
        </w:rPr>
        <w:t xml:space="preserve"> opinie </w:t>
      </w:r>
      <w:r w:rsidR="00173452" w:rsidRPr="00782EB3">
        <w:rPr>
          <w:rFonts w:ascii="Fira Sans" w:hAnsi="Fira Sans"/>
          <w:spacing w:val="-2"/>
          <w:sz w:val="19"/>
          <w:szCs w:val="19"/>
        </w:rPr>
        <w:t xml:space="preserve">wyrażali również użytkownicy </w:t>
      </w:r>
      <w:r w:rsidRPr="00782EB3">
        <w:rPr>
          <w:rFonts w:ascii="Fira Sans" w:hAnsi="Fira Sans"/>
          <w:spacing w:val="-2"/>
          <w:sz w:val="19"/>
          <w:szCs w:val="19"/>
        </w:rPr>
        <w:t>gospodarstw</w:t>
      </w:r>
      <w:r w:rsidR="00173452" w:rsidRPr="00782EB3">
        <w:rPr>
          <w:rFonts w:ascii="Fira Sans" w:hAnsi="Fira Sans"/>
          <w:spacing w:val="-2"/>
          <w:sz w:val="19"/>
          <w:szCs w:val="19"/>
        </w:rPr>
        <w:t xml:space="preserve"> specjalizujących</w:t>
      </w:r>
      <w:r w:rsidRPr="00782EB3">
        <w:rPr>
          <w:rFonts w:ascii="Fira Sans" w:hAnsi="Fira Sans"/>
          <w:spacing w:val="-2"/>
          <w:sz w:val="19"/>
          <w:szCs w:val="19"/>
        </w:rPr>
        <w:t xml:space="preserve"> się w hod</w:t>
      </w:r>
      <w:r w:rsidR="00173452" w:rsidRPr="00782EB3">
        <w:rPr>
          <w:rFonts w:ascii="Fira Sans" w:hAnsi="Fira Sans"/>
          <w:spacing w:val="-2"/>
          <w:sz w:val="19"/>
          <w:szCs w:val="19"/>
        </w:rPr>
        <w:t>owli bydła mlecznego oraz owiec</w:t>
      </w:r>
      <w:r w:rsidR="00BA6E7F">
        <w:rPr>
          <w:rFonts w:ascii="Fira Sans" w:hAnsi="Fira Sans"/>
          <w:spacing w:val="-2"/>
          <w:sz w:val="19"/>
          <w:szCs w:val="19"/>
        </w:rPr>
        <w:t>,</w:t>
      </w:r>
      <w:r w:rsidRPr="00782EB3">
        <w:rPr>
          <w:rFonts w:ascii="Fira Sans" w:hAnsi="Fira Sans"/>
          <w:spacing w:val="-2"/>
          <w:sz w:val="19"/>
          <w:szCs w:val="19"/>
        </w:rPr>
        <w:t xml:space="preserve"> a także prowadzących uprawy roślin pastewnych i trwałych użytków zielonych. Najbardziej negatywne opinie o opłacalności produkcji rolniczej odnotowano u rolników prowadzących plantacje drzew i krzewów owocowych oraz uprawy pod osłonami, a także u hodowców specjalizujących się w chowie trzody chlewnej oraz drobiu nieśnego</w:t>
      </w:r>
      <w:r>
        <w:rPr>
          <w:rFonts w:ascii="Fira Sans" w:hAnsi="Fira Sans"/>
          <w:spacing w:val="-2"/>
          <w:sz w:val="18"/>
        </w:rPr>
        <w:t>.</w:t>
      </w:r>
    </w:p>
    <w:p w14:paraId="1BE2A0D8" w14:textId="77777777" w:rsidR="00BC30E5" w:rsidRPr="00782EB3" w:rsidRDefault="00BC30E5" w:rsidP="00303E34">
      <w:pPr>
        <w:spacing w:before="120" w:after="240" w:line="240" w:lineRule="auto"/>
        <w:outlineLvl w:val="0"/>
        <w:rPr>
          <w:rFonts w:ascii="Fira Sans" w:hAnsi="Fira Sans"/>
          <w:b/>
          <w:sz w:val="19"/>
          <w:szCs w:val="19"/>
        </w:rPr>
      </w:pPr>
      <w:r w:rsidRPr="00782EB3">
        <w:rPr>
          <w:rFonts w:ascii="Fira Sans" w:hAnsi="Fira Sans"/>
          <w:b/>
          <w:sz w:val="19"/>
          <w:szCs w:val="19"/>
        </w:rPr>
        <w:t xml:space="preserve">Tablica </w:t>
      </w:r>
      <w:r w:rsidR="00A36F79" w:rsidRPr="00782EB3">
        <w:rPr>
          <w:rFonts w:ascii="Fira Sans" w:hAnsi="Fira Sans"/>
          <w:b/>
          <w:sz w:val="19"/>
          <w:szCs w:val="19"/>
        </w:rPr>
        <w:t>2</w:t>
      </w:r>
      <w:r w:rsidRPr="00782EB3">
        <w:rPr>
          <w:rFonts w:ascii="Fira Sans" w:hAnsi="Fira Sans"/>
          <w:b/>
          <w:sz w:val="19"/>
          <w:szCs w:val="19"/>
        </w:rPr>
        <w:t>. Ocena</w:t>
      </w:r>
      <w:r w:rsidR="00313ACB" w:rsidRPr="00782EB3">
        <w:rPr>
          <w:rFonts w:ascii="Fira Sans" w:hAnsi="Fira Sans"/>
          <w:b/>
          <w:sz w:val="19"/>
          <w:szCs w:val="19"/>
        </w:rPr>
        <w:t xml:space="preserve"> bieżącej</w:t>
      </w:r>
      <w:r w:rsidRPr="00782EB3">
        <w:rPr>
          <w:rFonts w:ascii="Fira Sans" w:hAnsi="Fira Sans"/>
          <w:b/>
          <w:sz w:val="19"/>
          <w:szCs w:val="19"/>
        </w:rPr>
        <w:t xml:space="preserve"> opłacalności produkcji rolniczej</w:t>
      </w:r>
    </w:p>
    <w:tbl>
      <w:tblPr>
        <w:tblW w:w="7317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lica 3. Ocena opłacalności produkcji rolniczej"/>
      </w:tblPr>
      <w:tblGrid>
        <w:gridCol w:w="1647"/>
        <w:gridCol w:w="1134"/>
        <w:gridCol w:w="1560"/>
        <w:gridCol w:w="1417"/>
        <w:gridCol w:w="1559"/>
      </w:tblGrid>
      <w:tr w:rsidR="00BC30E5" w:rsidRPr="008E18E9" w14:paraId="1162A74E" w14:textId="77777777" w:rsidTr="00FC5EA6">
        <w:trPr>
          <w:trHeight w:val="418"/>
        </w:trPr>
        <w:tc>
          <w:tcPr>
            <w:tcW w:w="1647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604140A1" w14:textId="77777777" w:rsidR="00BC30E5" w:rsidRPr="008E18E9" w:rsidRDefault="00BC30E5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Wyszczególnienie</w:t>
            </w:r>
          </w:p>
          <w:p w14:paraId="4259493D" w14:textId="77777777" w:rsidR="00BC30E5" w:rsidRPr="008E18E9" w:rsidRDefault="00BC30E5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 </w:t>
            </w:r>
          </w:p>
        </w:tc>
        <w:tc>
          <w:tcPr>
            <w:tcW w:w="4111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65B8073" w14:textId="77777777" w:rsidR="00BC30E5" w:rsidRPr="008E18E9" w:rsidRDefault="00BC30E5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Gospodarstwa rolne, w których bieżąca produkcja rolnicza była: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14:paraId="2F5BAD12" w14:textId="77777777" w:rsidR="00BC30E5" w:rsidRPr="008E18E9" w:rsidRDefault="00BC30E5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Saldo</w:t>
            </w:r>
          </w:p>
          <w:p w14:paraId="6B0B5797" w14:textId="77777777" w:rsidR="00BC30E5" w:rsidRPr="008E18E9" w:rsidRDefault="00BC30E5">
            <w:pPr>
              <w:jc w:val="center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odpowiedzi</w:t>
            </w:r>
          </w:p>
          <w:p w14:paraId="2D2C23B5" w14:textId="77777777" w:rsidR="00BC30E5" w:rsidRPr="008E18E9" w:rsidRDefault="00BC30E5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8E18E9">
              <w:rPr>
                <w:rFonts w:ascii="Fira Sans" w:hAnsi="Fira Sans"/>
                <w:i/>
                <w:sz w:val="18"/>
                <w:szCs w:val="18"/>
              </w:rPr>
              <w:t>w p. proc.</w:t>
            </w:r>
          </w:p>
        </w:tc>
      </w:tr>
      <w:tr w:rsidR="00BC30E5" w:rsidRPr="008E18E9" w14:paraId="03F58F3B" w14:textId="77777777" w:rsidTr="00FC5EA6">
        <w:trPr>
          <w:trHeight w:hRule="exact" w:val="810"/>
        </w:trPr>
        <w:tc>
          <w:tcPr>
            <w:tcW w:w="1647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10B918EE" w14:textId="77777777" w:rsidR="00BC30E5" w:rsidRPr="008E18E9" w:rsidRDefault="00BC30E5">
            <w:pPr>
              <w:spacing w:after="0" w:line="256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7FE21C7" w14:textId="77777777" w:rsidR="00BC30E5" w:rsidRPr="008E18E9" w:rsidRDefault="00BC30E5">
            <w:pPr>
              <w:spacing w:after="0"/>
              <w:jc w:val="center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opłacalna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B62956D" w14:textId="77777777" w:rsidR="00BC30E5" w:rsidRPr="008E18E9" w:rsidRDefault="00BC30E5">
            <w:pPr>
              <w:spacing w:after="0"/>
              <w:jc w:val="center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Brak</w:t>
            </w:r>
          </w:p>
          <w:p w14:paraId="700B5109" w14:textId="77777777" w:rsidR="00BC30E5" w:rsidRPr="008E18E9" w:rsidRDefault="00BC30E5">
            <w:pPr>
              <w:spacing w:after="0"/>
              <w:jc w:val="center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 xml:space="preserve"> zdecydowanej opinii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D30A952" w14:textId="77777777" w:rsidR="00BC30E5" w:rsidRPr="008E18E9" w:rsidRDefault="00BC30E5">
            <w:pPr>
              <w:spacing w:after="0"/>
              <w:jc w:val="center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nieopłacalna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14:paraId="4EDCB416" w14:textId="77777777" w:rsidR="00BC30E5" w:rsidRPr="008E18E9" w:rsidRDefault="00BC30E5">
            <w:pPr>
              <w:spacing w:after="0" w:line="256" w:lineRule="auto"/>
              <w:rPr>
                <w:rFonts w:ascii="Fira Sans" w:hAnsi="Fira Sans"/>
                <w:i/>
                <w:sz w:val="18"/>
                <w:szCs w:val="18"/>
              </w:rPr>
            </w:pPr>
          </w:p>
        </w:tc>
      </w:tr>
      <w:tr w:rsidR="00BC30E5" w:rsidRPr="008E18E9" w14:paraId="209DFB08" w14:textId="77777777" w:rsidTr="00FC5EA6">
        <w:trPr>
          <w:trHeight w:val="432"/>
        </w:trPr>
        <w:tc>
          <w:tcPr>
            <w:tcW w:w="1647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  <w:hideMark/>
          </w:tcPr>
          <w:p w14:paraId="7E8478BC" w14:textId="77777777" w:rsidR="00BC30E5" w:rsidRPr="008E18E9" w:rsidRDefault="00BC30E5">
            <w:pPr>
              <w:spacing w:after="0" w:line="256" w:lineRule="auto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hideMark/>
          </w:tcPr>
          <w:p w14:paraId="3B18CE3E" w14:textId="5B899941" w:rsidR="00BC30E5" w:rsidRPr="008E18E9" w:rsidRDefault="00DB159E">
            <w:pPr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>
              <w:rPr>
                <w:rFonts w:ascii="Fira Sans" w:hAnsi="Fira Sans"/>
                <w:i/>
                <w:sz w:val="18"/>
                <w:szCs w:val="18"/>
              </w:rPr>
              <w:t>w procentach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  <w:vAlign w:val="center"/>
            <w:hideMark/>
          </w:tcPr>
          <w:p w14:paraId="41ACE36F" w14:textId="77777777" w:rsidR="00BC30E5" w:rsidRPr="008E18E9" w:rsidRDefault="00BC30E5">
            <w:pPr>
              <w:spacing w:after="0" w:line="256" w:lineRule="auto"/>
              <w:rPr>
                <w:rFonts w:ascii="Fira Sans" w:hAnsi="Fira Sans"/>
                <w:i/>
                <w:sz w:val="18"/>
                <w:szCs w:val="18"/>
              </w:rPr>
            </w:pPr>
          </w:p>
        </w:tc>
      </w:tr>
      <w:tr w:rsidR="00A36F79" w:rsidRPr="008E18E9" w14:paraId="7926B7A3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67B43659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01-06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795E960" w14:textId="77777777" w:rsidR="00A36F79" w:rsidRPr="008E18E9" w:rsidRDefault="00A36F79" w:rsidP="00A36F79">
            <w:pPr>
              <w:jc w:val="right"/>
              <w:rPr>
                <w:rFonts w:ascii="Fira Sans" w:hAnsi="Fira Sans"/>
                <w:bCs/>
                <w:sz w:val="18"/>
                <w:szCs w:val="18"/>
              </w:rPr>
            </w:pPr>
            <w:r w:rsidRPr="008E18E9">
              <w:rPr>
                <w:rFonts w:ascii="Fira Sans" w:hAnsi="Fira Sans"/>
                <w:bCs/>
                <w:sz w:val="18"/>
                <w:szCs w:val="18"/>
              </w:rPr>
              <w:t>12,8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D26B0B7" w14:textId="77777777" w:rsidR="00A36F79" w:rsidRPr="008E18E9" w:rsidRDefault="00A36F79" w:rsidP="00A36F79">
            <w:pPr>
              <w:jc w:val="right"/>
              <w:rPr>
                <w:rFonts w:ascii="Fira Sans" w:hAnsi="Fira Sans"/>
                <w:bCs/>
                <w:sz w:val="18"/>
                <w:szCs w:val="18"/>
              </w:rPr>
            </w:pPr>
            <w:r w:rsidRPr="008E18E9">
              <w:rPr>
                <w:rFonts w:ascii="Fira Sans" w:hAnsi="Fira Sans"/>
                <w:bCs/>
                <w:sz w:val="18"/>
                <w:szCs w:val="18"/>
              </w:rPr>
              <w:t>52,8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0560FBB" w14:textId="77777777" w:rsidR="00A36F79" w:rsidRPr="008E18E9" w:rsidRDefault="00A36F79" w:rsidP="00A36F79">
            <w:pPr>
              <w:jc w:val="right"/>
              <w:rPr>
                <w:rFonts w:ascii="Fira Sans" w:hAnsi="Fira Sans"/>
                <w:bCs/>
                <w:sz w:val="18"/>
                <w:szCs w:val="18"/>
              </w:rPr>
            </w:pPr>
            <w:r w:rsidRPr="008E18E9">
              <w:rPr>
                <w:rFonts w:ascii="Fira Sans" w:hAnsi="Fira Sans"/>
                <w:bCs/>
                <w:sz w:val="18"/>
                <w:szCs w:val="18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30A65C11" w14:textId="77777777" w:rsidR="00A36F79" w:rsidRPr="008E18E9" w:rsidRDefault="00A36F79" w:rsidP="00A36F79">
            <w:pPr>
              <w:jc w:val="right"/>
              <w:rPr>
                <w:rFonts w:ascii="Fira Sans" w:hAnsi="Fira Sans"/>
                <w:bCs/>
                <w:sz w:val="18"/>
                <w:szCs w:val="18"/>
              </w:rPr>
            </w:pPr>
            <w:r w:rsidRPr="008E18E9">
              <w:rPr>
                <w:rFonts w:ascii="Fira Sans" w:hAnsi="Fira Sans"/>
                <w:bCs/>
                <w:sz w:val="18"/>
                <w:szCs w:val="18"/>
              </w:rPr>
              <w:t>-21,6</w:t>
            </w:r>
          </w:p>
        </w:tc>
      </w:tr>
      <w:tr w:rsidR="00A36F79" w:rsidRPr="008E18E9" w14:paraId="280E4302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5D5FE2A5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07-12 2018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286CCA7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14,4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865EE0C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57,0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96A11DD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28,6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453BF40C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-14,2</w:t>
            </w:r>
          </w:p>
        </w:tc>
      </w:tr>
      <w:tr w:rsidR="00A36F79" w:rsidRPr="008E18E9" w14:paraId="3A38A866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462D649D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01-06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679C069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14,5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7D77322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54,6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3F68A3E9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30,9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2C650334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-16,4</w:t>
            </w:r>
          </w:p>
        </w:tc>
      </w:tr>
      <w:tr w:rsidR="00A36F79" w:rsidRPr="008E18E9" w14:paraId="75258586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2AA127F9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07-12 2019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38749E9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17,1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82B29F0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58,8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AF4C22B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0AC9A758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-7,0</w:t>
            </w:r>
          </w:p>
        </w:tc>
      </w:tr>
      <w:tr w:rsidR="00A36F79" w:rsidRPr="008E18E9" w14:paraId="4970165E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3B806C7A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01-06 2020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8CE5578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17,1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EB1AB92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10FC4BF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24,4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04FBC2E2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-7,3</w:t>
            </w:r>
          </w:p>
        </w:tc>
      </w:tr>
      <w:tr w:rsidR="00A36F79" w:rsidRPr="008E18E9" w14:paraId="1408D026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6C16EBD0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07-12 2020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6617855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18,3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45232C4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56.3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00725389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3CFB6970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-7,1</w:t>
            </w:r>
          </w:p>
        </w:tc>
      </w:tr>
      <w:tr w:rsidR="00A36F79" w:rsidRPr="008E18E9" w14:paraId="0F5F82E1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3125F44F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01-06 2021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81A3E83" w14:textId="77777777" w:rsidR="00A36F79" w:rsidRPr="008E18E9" w:rsidRDefault="00A36F79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15,0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1DCE9D4" w14:textId="77777777" w:rsidR="00A36F79" w:rsidRPr="008E18E9" w:rsidRDefault="00A36F79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58,4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303335F" w14:textId="77777777" w:rsidR="00A36F79" w:rsidRPr="008E18E9" w:rsidRDefault="00A36F79" w:rsidP="00A36F79">
            <w:pPr>
              <w:spacing w:after="0"/>
              <w:contextualSpacing/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3CD696AF" w14:textId="77777777" w:rsidR="00A36F79" w:rsidRPr="008E18E9" w:rsidRDefault="00A36F79" w:rsidP="00A36F79">
            <w:pPr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8E18E9">
              <w:rPr>
                <w:rFonts w:ascii="Fira Sans" w:hAnsi="Fira Sans" w:cs="Arial"/>
                <w:bCs/>
                <w:sz w:val="18"/>
                <w:szCs w:val="18"/>
              </w:rPr>
              <w:t>-11,6</w:t>
            </w:r>
          </w:p>
        </w:tc>
      </w:tr>
      <w:tr w:rsidR="00A36F79" w:rsidRPr="008E18E9" w14:paraId="6D339190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5E2CBA44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07-12  2021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74F2BC4F" w14:textId="77777777" w:rsidR="00A36F79" w:rsidRPr="008E18E9" w:rsidRDefault="00A36F79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13,1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F2F1B56" w14:textId="77777777" w:rsidR="00A36F79" w:rsidRPr="008E18E9" w:rsidRDefault="00A36F79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6D3876CD" w14:textId="77777777" w:rsidR="00A36F79" w:rsidRPr="008E18E9" w:rsidRDefault="00A36F79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2A327808" w14:textId="77777777" w:rsidR="00A36F79" w:rsidRPr="008E18E9" w:rsidRDefault="00A36F79" w:rsidP="00A36F79">
            <w:pPr>
              <w:spacing w:after="0"/>
              <w:contextualSpacing/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-18,7</w:t>
            </w:r>
          </w:p>
        </w:tc>
      </w:tr>
      <w:tr w:rsidR="00A36F79" w:rsidRPr="008E18E9" w14:paraId="12C2264D" w14:textId="77777777" w:rsidTr="00FC5EA6">
        <w:trPr>
          <w:trHeight w:hRule="exact" w:val="454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hideMark/>
          </w:tcPr>
          <w:p w14:paraId="6E64262A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01-06 2022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131905FB" w14:textId="77777777" w:rsidR="00A36F79" w:rsidRPr="008E18E9" w:rsidRDefault="00A36F79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12,9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4207373D" w14:textId="77777777" w:rsidR="00A36F79" w:rsidRPr="008E18E9" w:rsidRDefault="00A36F79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55,3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29DEFCD2" w14:textId="77777777" w:rsidR="00A36F79" w:rsidRPr="008E18E9" w:rsidRDefault="00A36F79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31,8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  <w:hideMark/>
          </w:tcPr>
          <w:p w14:paraId="6A95E013" w14:textId="77777777" w:rsidR="00A36F79" w:rsidRPr="008E18E9" w:rsidRDefault="00A36F79" w:rsidP="00A36F79">
            <w:pPr>
              <w:spacing w:after="0"/>
              <w:contextualSpacing/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-18,9</w:t>
            </w:r>
          </w:p>
        </w:tc>
      </w:tr>
      <w:tr w:rsidR="00A36F79" w:rsidRPr="008E18E9" w14:paraId="3F258F01" w14:textId="77777777" w:rsidTr="0022695C">
        <w:trPr>
          <w:trHeight w:hRule="exact" w:val="522"/>
        </w:trPr>
        <w:tc>
          <w:tcPr>
            <w:tcW w:w="164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</w:tcPr>
          <w:p w14:paraId="3D4412F1" w14:textId="77777777" w:rsidR="00A36F79" w:rsidRPr="008E18E9" w:rsidRDefault="00A36F79" w:rsidP="00A36F79">
            <w:pPr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07-12 2022 r.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7977F83" w14:textId="77777777" w:rsidR="00A36F79" w:rsidRPr="008E18E9" w:rsidRDefault="007C046A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15,50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A03CE3D" w14:textId="77777777" w:rsidR="00A36F79" w:rsidRPr="008E18E9" w:rsidRDefault="00170980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54,7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0BA132" w14:textId="77777777" w:rsidR="00A36F79" w:rsidRPr="008E18E9" w:rsidRDefault="00170980" w:rsidP="00A36F79">
            <w:pPr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0C33ED5C" w14:textId="77777777" w:rsidR="00A36F79" w:rsidRPr="008E18E9" w:rsidRDefault="00170980" w:rsidP="00A36F79">
            <w:pPr>
              <w:spacing w:after="0"/>
              <w:contextualSpacing/>
              <w:jc w:val="right"/>
              <w:rPr>
                <w:rFonts w:ascii="Fira Sans" w:hAnsi="Fira Sans"/>
                <w:sz w:val="18"/>
                <w:szCs w:val="18"/>
              </w:rPr>
            </w:pPr>
            <w:r w:rsidRPr="008E18E9">
              <w:rPr>
                <w:rFonts w:ascii="Fira Sans" w:hAnsi="Fira Sans"/>
                <w:sz w:val="18"/>
                <w:szCs w:val="18"/>
              </w:rPr>
              <w:t>-14,3</w:t>
            </w:r>
          </w:p>
        </w:tc>
      </w:tr>
    </w:tbl>
    <w:p w14:paraId="0BBEBF0F" w14:textId="77777777" w:rsidR="00CE2BA3" w:rsidRDefault="00CE2BA3" w:rsidP="00782EB3">
      <w:pPr>
        <w:spacing w:before="120" w:after="120"/>
        <w:rPr>
          <w:rFonts w:ascii="Fira Sans" w:hAnsi="Fira Sans"/>
          <w:b/>
          <w:spacing w:val="-2"/>
          <w:sz w:val="19"/>
          <w:szCs w:val="19"/>
        </w:rPr>
      </w:pPr>
    </w:p>
    <w:p w14:paraId="5D4DFE84" w14:textId="77777777" w:rsidR="005151B9" w:rsidRPr="00782EB3" w:rsidRDefault="005151B9" w:rsidP="00782EB3">
      <w:pPr>
        <w:spacing w:before="120" w:after="120"/>
        <w:rPr>
          <w:rFonts w:ascii="Fira Sans" w:hAnsi="Fira Sans"/>
          <w:b/>
          <w:spacing w:val="-2"/>
          <w:sz w:val="19"/>
          <w:szCs w:val="19"/>
        </w:rPr>
      </w:pPr>
      <w:r w:rsidRPr="00782EB3">
        <w:rPr>
          <w:rFonts w:ascii="Fira Sans" w:hAnsi="Fira Sans"/>
          <w:b/>
          <w:spacing w:val="-2"/>
          <w:sz w:val="19"/>
          <w:szCs w:val="19"/>
        </w:rPr>
        <w:t>Ocena popytu na produkty rolne</w:t>
      </w:r>
    </w:p>
    <w:p w14:paraId="48A94551" w14:textId="2927856C" w:rsidR="00BA6E7F" w:rsidRDefault="00C045E4" w:rsidP="00782EB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782EB3">
        <w:rPr>
          <w:rFonts w:ascii="Fira Sans" w:hAnsi="Fira Sans"/>
          <w:spacing w:val="-2"/>
          <w:sz w:val="19"/>
          <w:szCs w:val="19"/>
        </w:rPr>
        <w:t xml:space="preserve">W porównaniu </w:t>
      </w:r>
      <w:r w:rsidR="009C59D5">
        <w:rPr>
          <w:rFonts w:ascii="Fira Sans" w:hAnsi="Fira Sans"/>
          <w:spacing w:val="-2"/>
          <w:sz w:val="19"/>
          <w:szCs w:val="19"/>
        </w:rPr>
        <w:t>z wynikami</w:t>
      </w:r>
      <w:r w:rsidRPr="00782EB3">
        <w:rPr>
          <w:rFonts w:ascii="Fira Sans" w:hAnsi="Fira Sans"/>
          <w:spacing w:val="-2"/>
          <w:sz w:val="19"/>
          <w:szCs w:val="19"/>
        </w:rPr>
        <w:t xml:space="preserve"> dwóch poprzednich edycji badania respondenci ocenili bardzi</w:t>
      </w:r>
      <w:r w:rsidR="00173452" w:rsidRPr="00782EB3">
        <w:rPr>
          <w:rFonts w:ascii="Fira Sans" w:hAnsi="Fira Sans"/>
          <w:spacing w:val="-2"/>
          <w:sz w:val="19"/>
          <w:szCs w:val="19"/>
        </w:rPr>
        <w:t>ej pesymistycznie bieżący popyt</w:t>
      </w:r>
      <w:r w:rsidRPr="00782EB3">
        <w:rPr>
          <w:rFonts w:ascii="Fira Sans" w:hAnsi="Fira Sans"/>
          <w:spacing w:val="-2"/>
          <w:sz w:val="19"/>
          <w:szCs w:val="19"/>
        </w:rPr>
        <w:t xml:space="preserve"> na wytwarzane w ich gospodarstwach produkty rolne. </w:t>
      </w:r>
      <w:r w:rsidRPr="00782EB3">
        <w:rPr>
          <w:rFonts w:ascii="Fira Sans" w:hAnsi="Fira Sans"/>
          <w:spacing w:val="-2"/>
          <w:sz w:val="19"/>
          <w:szCs w:val="19"/>
        </w:rPr>
        <w:br/>
        <w:t xml:space="preserve">W grudniu 2022 r. przewaga opinii negatywnych nad pozytywnymi wyniosła minus 36,9 </w:t>
      </w:r>
      <w:r w:rsidR="007D624B">
        <w:rPr>
          <w:rFonts w:ascii="Fira Sans" w:hAnsi="Fira Sans"/>
          <w:spacing w:val="-2"/>
          <w:sz w:val="19"/>
          <w:szCs w:val="19"/>
        </w:rPr>
        <w:t>p. proc.</w:t>
      </w:r>
      <w:r w:rsidRPr="00782EB3">
        <w:rPr>
          <w:rFonts w:ascii="Fira Sans" w:hAnsi="Fira Sans"/>
          <w:spacing w:val="-2"/>
          <w:sz w:val="19"/>
          <w:szCs w:val="19"/>
        </w:rPr>
        <w:t>, wobec minus 27,8</w:t>
      </w:r>
      <w:r w:rsidR="007D624B">
        <w:rPr>
          <w:rFonts w:ascii="Fira Sans" w:hAnsi="Fira Sans"/>
          <w:spacing w:val="-2"/>
          <w:sz w:val="19"/>
          <w:szCs w:val="19"/>
        </w:rPr>
        <w:t xml:space="preserve"> p. proc. </w:t>
      </w:r>
      <w:r w:rsidRPr="00782EB3">
        <w:rPr>
          <w:rFonts w:ascii="Fira Sans" w:hAnsi="Fira Sans"/>
          <w:spacing w:val="-2"/>
          <w:sz w:val="19"/>
          <w:szCs w:val="19"/>
        </w:rPr>
        <w:t xml:space="preserve"> w czerwcu ub. r. oraz wobec wartości minus 25,1 </w:t>
      </w:r>
      <w:r w:rsidR="007D624B">
        <w:rPr>
          <w:rFonts w:ascii="Fira Sans" w:hAnsi="Fira Sans"/>
          <w:spacing w:val="-2"/>
          <w:sz w:val="19"/>
          <w:szCs w:val="19"/>
        </w:rPr>
        <w:t xml:space="preserve">p. proc. </w:t>
      </w:r>
      <w:r w:rsidRPr="00782EB3">
        <w:rPr>
          <w:rFonts w:ascii="Fira Sans" w:hAnsi="Fira Sans"/>
          <w:spacing w:val="-2"/>
          <w:sz w:val="19"/>
          <w:szCs w:val="19"/>
        </w:rPr>
        <w:t xml:space="preserve">w analogicznym okresie 2021 r.  </w:t>
      </w:r>
      <w:r w:rsidR="00BA6E7F">
        <w:rPr>
          <w:rFonts w:ascii="Fira Sans" w:hAnsi="Fira Sans"/>
          <w:spacing w:val="-2"/>
          <w:sz w:val="19"/>
          <w:szCs w:val="19"/>
        </w:rPr>
        <w:t>O</w:t>
      </w:r>
      <w:r w:rsidRPr="00782EB3">
        <w:rPr>
          <w:rFonts w:ascii="Fira Sans" w:hAnsi="Fira Sans"/>
          <w:spacing w:val="-2"/>
          <w:sz w:val="19"/>
          <w:szCs w:val="19"/>
        </w:rPr>
        <w:t xml:space="preserve">koło 60% rolników uznało popyt za wystarczający, zgodny z ich oczekiwaniami, </w:t>
      </w:r>
      <w:r w:rsidR="00BA6E7F">
        <w:rPr>
          <w:rFonts w:ascii="Fira Sans" w:hAnsi="Fira Sans"/>
          <w:spacing w:val="-2"/>
          <w:sz w:val="19"/>
          <w:szCs w:val="19"/>
        </w:rPr>
        <w:t xml:space="preserve">natomiast </w:t>
      </w:r>
      <w:r w:rsidRPr="00782EB3">
        <w:rPr>
          <w:rFonts w:ascii="Fira Sans" w:hAnsi="Fira Sans"/>
          <w:spacing w:val="-2"/>
          <w:sz w:val="19"/>
          <w:szCs w:val="19"/>
        </w:rPr>
        <w:t xml:space="preserve">1,9% </w:t>
      </w:r>
      <w:r w:rsidR="00BA6E7F">
        <w:rPr>
          <w:rFonts w:ascii="Fira Sans" w:hAnsi="Fira Sans"/>
          <w:spacing w:val="-2"/>
          <w:sz w:val="19"/>
          <w:szCs w:val="19"/>
        </w:rPr>
        <w:t>ogółu rolników uznało</w:t>
      </w:r>
      <w:r w:rsidRPr="00782EB3">
        <w:rPr>
          <w:rFonts w:ascii="Fira Sans" w:hAnsi="Fira Sans"/>
          <w:spacing w:val="-2"/>
          <w:sz w:val="19"/>
          <w:szCs w:val="19"/>
        </w:rPr>
        <w:t>, ż</w:t>
      </w:r>
      <w:r w:rsidR="00BA6E7F">
        <w:rPr>
          <w:rFonts w:ascii="Fira Sans" w:hAnsi="Fira Sans"/>
          <w:spacing w:val="-2"/>
          <w:sz w:val="19"/>
          <w:szCs w:val="19"/>
        </w:rPr>
        <w:t xml:space="preserve">e kształtuje się </w:t>
      </w:r>
      <w:r w:rsidRPr="00782EB3">
        <w:rPr>
          <w:rFonts w:ascii="Fira Sans" w:hAnsi="Fira Sans"/>
          <w:spacing w:val="-2"/>
          <w:sz w:val="19"/>
          <w:szCs w:val="19"/>
        </w:rPr>
        <w:t xml:space="preserve">powyżej ich oczekiwań. </w:t>
      </w:r>
    </w:p>
    <w:p w14:paraId="142A0671" w14:textId="6F4224A0" w:rsidR="008602E5" w:rsidRPr="00782EB3" w:rsidRDefault="002810A2" w:rsidP="00782EB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>
        <w:rPr>
          <w:rFonts w:ascii="Fira Sans" w:hAnsi="Fira Sans"/>
          <w:spacing w:val="-2"/>
          <w:sz w:val="19"/>
          <w:szCs w:val="19"/>
        </w:rPr>
        <w:t>Negatywne opinie wyrazili wszyscy użytkownicy</w:t>
      </w:r>
      <w:r w:rsidR="00C045E4" w:rsidRPr="006D51B4">
        <w:rPr>
          <w:rFonts w:ascii="Fira Sans" w:hAnsi="Fira Sans"/>
          <w:spacing w:val="-2"/>
          <w:sz w:val="19"/>
          <w:szCs w:val="19"/>
        </w:rPr>
        <w:t xml:space="preserve"> gospodarstw rolnych niezależnie od wielkości gospodarstwa i kierunku prowadzonej produkcji. Najbardziej niezadowoleni z popytu na produkty rolne byli rolnicy prowadzący uprawy rzepaku i rzepiku</w:t>
      </w:r>
      <w:r w:rsidR="00C045E4" w:rsidRPr="00782EB3">
        <w:rPr>
          <w:rFonts w:ascii="Fira Sans" w:hAnsi="Fira Sans"/>
          <w:spacing w:val="-2"/>
          <w:sz w:val="19"/>
          <w:szCs w:val="19"/>
        </w:rPr>
        <w:t xml:space="preserve"> oraz drzew i krzewów owocowych , jak również hodowcy koni i trzody chlewnej.</w:t>
      </w:r>
    </w:p>
    <w:p w14:paraId="4475FB7A" w14:textId="77777777" w:rsidR="00C045E4" w:rsidRDefault="00C045E4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2FB45806" w14:textId="77777777" w:rsidR="00CE2BA3" w:rsidRDefault="00CE2BA3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34A1B326" w14:textId="77777777" w:rsidR="00CE2BA3" w:rsidRDefault="00CE2BA3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3A6291E5" w14:textId="77777777" w:rsidR="00CE2BA3" w:rsidRDefault="00CE2BA3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7283D6E7" w14:textId="77777777" w:rsidR="00CE2BA3" w:rsidRDefault="00CE2BA3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46D85E85" w14:textId="77777777" w:rsidR="00CE2BA3" w:rsidRDefault="00CE2BA3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75AEDEDE" w14:textId="77777777" w:rsidR="00CE2BA3" w:rsidRDefault="00CE2BA3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</w:p>
    <w:p w14:paraId="7D3D604B" w14:textId="77777777" w:rsidR="00E606A7" w:rsidRPr="000F03E5" w:rsidRDefault="00E606A7" w:rsidP="000F03E5">
      <w:pPr>
        <w:spacing w:before="120" w:after="120"/>
        <w:outlineLvl w:val="0"/>
        <w:rPr>
          <w:rFonts w:ascii="Fira Sans" w:hAnsi="Fira Sans"/>
          <w:b/>
          <w:spacing w:val="-2"/>
          <w:sz w:val="19"/>
          <w:szCs w:val="19"/>
          <w:shd w:val="clear" w:color="auto" w:fill="FFFFFF"/>
        </w:rPr>
      </w:pPr>
      <w:r w:rsidRPr="000F03E5">
        <w:rPr>
          <w:rFonts w:ascii="Fira Sans" w:hAnsi="Fira Sans"/>
          <w:b/>
          <w:sz w:val="19"/>
          <w:szCs w:val="19"/>
        </w:rPr>
        <w:lastRenderedPageBreak/>
        <w:t xml:space="preserve">Tablica 3. Ocena bieżącego </w:t>
      </w:r>
      <w:r w:rsidR="000F03E5">
        <w:rPr>
          <w:rFonts w:ascii="Fira Sans" w:hAnsi="Fira Sans"/>
          <w:b/>
          <w:sz w:val="19"/>
          <w:szCs w:val="19"/>
        </w:rPr>
        <w:t>popytu na produkty rolne</w:t>
      </w:r>
    </w:p>
    <w:tbl>
      <w:tblPr>
        <w:tblW w:w="7459" w:type="dxa"/>
        <w:tblInd w:w="54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Tablica 4. Ocena popytu na produkty rolne"/>
      </w:tblPr>
      <w:tblGrid>
        <w:gridCol w:w="1647"/>
        <w:gridCol w:w="1276"/>
        <w:gridCol w:w="1843"/>
        <w:gridCol w:w="1276"/>
        <w:gridCol w:w="1417"/>
      </w:tblGrid>
      <w:tr w:rsidR="00E606A7" w:rsidRPr="00103966" w14:paraId="6BE1EF3C" w14:textId="77777777" w:rsidTr="00097D95">
        <w:trPr>
          <w:trHeight w:val="700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14:paraId="36A40972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</w:rPr>
            </w:pPr>
            <w:r w:rsidRPr="00103966">
              <w:rPr>
                <w:rFonts w:ascii="Fira Sans" w:hAnsi="Fira Sans"/>
                <w:sz w:val="18"/>
                <w:szCs w:val="18"/>
              </w:rPr>
              <w:t>Wyszczególnienie</w:t>
            </w:r>
          </w:p>
          <w:p w14:paraId="4E0B18FB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sz w:val="18"/>
                <w:szCs w:val="18"/>
              </w:rPr>
            </w:pPr>
            <w:r w:rsidRPr="00103966">
              <w:rPr>
                <w:rFonts w:ascii="Fira Sans" w:hAnsi="Fira Sans"/>
                <w:sz w:val="18"/>
                <w:szCs w:val="18"/>
              </w:rPr>
              <w:t> 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  <w:hideMark/>
          </w:tcPr>
          <w:p w14:paraId="1ACA225D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</w:rPr>
            </w:pPr>
            <w:r w:rsidRPr="00103966">
              <w:rPr>
                <w:rFonts w:ascii="Fira Sans" w:hAnsi="Fira Sans"/>
                <w:sz w:val="18"/>
                <w:szCs w:val="18"/>
              </w:rPr>
              <w:t>Gospodarstwa rolne, w których bieżący popyt na wytworzone produkty rolne był:</w:t>
            </w:r>
          </w:p>
        </w:tc>
        <w:tc>
          <w:tcPr>
            <w:tcW w:w="1417" w:type="dxa"/>
            <w:vMerge w:val="restart"/>
            <w:vAlign w:val="center"/>
          </w:tcPr>
          <w:p w14:paraId="579500B5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</w:rPr>
            </w:pPr>
            <w:r w:rsidRPr="00103966">
              <w:rPr>
                <w:rFonts w:ascii="Fira Sans" w:hAnsi="Fira Sans"/>
                <w:sz w:val="18"/>
                <w:szCs w:val="18"/>
              </w:rPr>
              <w:t>Saldo</w:t>
            </w:r>
          </w:p>
          <w:p w14:paraId="0A48FF11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</w:rPr>
            </w:pPr>
            <w:r w:rsidRPr="00103966">
              <w:rPr>
                <w:rFonts w:ascii="Fira Sans" w:hAnsi="Fira Sans"/>
                <w:sz w:val="18"/>
                <w:szCs w:val="18"/>
              </w:rPr>
              <w:t>odpowiedzi</w:t>
            </w:r>
          </w:p>
          <w:p w14:paraId="2D6DE474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103966">
              <w:rPr>
                <w:rFonts w:ascii="Fira Sans" w:hAnsi="Fira Sans"/>
                <w:i/>
                <w:sz w:val="18"/>
                <w:szCs w:val="18"/>
              </w:rPr>
              <w:t>w p. proc.</w:t>
            </w:r>
          </w:p>
        </w:tc>
      </w:tr>
      <w:tr w:rsidR="00E606A7" w:rsidRPr="00103966" w14:paraId="1F7E5BA1" w14:textId="77777777" w:rsidTr="00097D95">
        <w:trPr>
          <w:trHeight w:val="530"/>
        </w:trPr>
        <w:tc>
          <w:tcPr>
            <w:tcW w:w="1647" w:type="dxa"/>
            <w:vMerge/>
            <w:vAlign w:val="center"/>
            <w:hideMark/>
          </w:tcPr>
          <w:p w14:paraId="55A3BA5F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31A5CF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</w:rPr>
            </w:pPr>
            <w:r w:rsidRPr="00103966">
              <w:rPr>
                <w:rFonts w:ascii="Fira Sans" w:hAnsi="Fira Sans"/>
                <w:sz w:val="18"/>
                <w:szCs w:val="18"/>
              </w:rPr>
              <w:t>powyżej oczekiwań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CB29AC3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</w:rPr>
            </w:pPr>
            <w:r w:rsidRPr="00103966">
              <w:rPr>
                <w:rFonts w:ascii="Fira Sans" w:hAnsi="Fira Sans"/>
                <w:sz w:val="18"/>
                <w:szCs w:val="18"/>
              </w:rPr>
              <w:t>zgodny z oczekiwaniami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E81D41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  <w:highlight w:val="yellow"/>
              </w:rPr>
            </w:pPr>
            <w:r w:rsidRPr="00103966">
              <w:rPr>
                <w:rFonts w:ascii="Fira Sans" w:hAnsi="Fira Sans"/>
                <w:sz w:val="18"/>
                <w:szCs w:val="18"/>
              </w:rPr>
              <w:t>poniżej oczekiwań</w:t>
            </w:r>
          </w:p>
        </w:tc>
        <w:tc>
          <w:tcPr>
            <w:tcW w:w="1417" w:type="dxa"/>
            <w:vMerge/>
            <w:vAlign w:val="center"/>
          </w:tcPr>
          <w:p w14:paraId="45B72E77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E606A7" w:rsidRPr="00103966" w14:paraId="49450FE6" w14:textId="77777777" w:rsidTr="00097D95">
        <w:trPr>
          <w:trHeight w:val="370"/>
        </w:trPr>
        <w:tc>
          <w:tcPr>
            <w:tcW w:w="1647" w:type="dxa"/>
            <w:vMerge/>
            <w:tcBorders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4D8E0581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bottom w:val="single" w:sz="12" w:space="0" w:color="001D77"/>
            </w:tcBorders>
            <w:shd w:val="clear" w:color="auto" w:fill="auto"/>
            <w:hideMark/>
          </w:tcPr>
          <w:p w14:paraId="5C7613C8" w14:textId="5C967CC7" w:rsidR="00E606A7" w:rsidRPr="00103966" w:rsidRDefault="00E606A7" w:rsidP="00D8319E">
            <w:pPr>
              <w:spacing w:before="120" w:after="120"/>
              <w:jc w:val="center"/>
              <w:rPr>
                <w:rFonts w:ascii="Fira Sans" w:hAnsi="Fira Sans"/>
                <w:i/>
                <w:sz w:val="18"/>
                <w:szCs w:val="18"/>
              </w:rPr>
            </w:pPr>
            <w:r w:rsidRPr="00103966">
              <w:rPr>
                <w:rFonts w:ascii="Fira Sans" w:hAnsi="Fira Sans"/>
                <w:i/>
                <w:sz w:val="18"/>
                <w:szCs w:val="18"/>
              </w:rPr>
              <w:t xml:space="preserve">w </w:t>
            </w:r>
            <w:r w:rsidR="00D8319E">
              <w:rPr>
                <w:rFonts w:ascii="Fira Sans" w:hAnsi="Fira Sans"/>
                <w:i/>
                <w:sz w:val="18"/>
                <w:szCs w:val="18"/>
              </w:rPr>
              <w:t>procentach</w:t>
            </w:r>
          </w:p>
        </w:tc>
        <w:tc>
          <w:tcPr>
            <w:tcW w:w="1417" w:type="dxa"/>
            <w:vMerge/>
            <w:tcBorders>
              <w:bottom w:val="single" w:sz="12" w:space="0" w:color="001D77"/>
            </w:tcBorders>
          </w:tcPr>
          <w:p w14:paraId="38E1CB67" w14:textId="77777777" w:rsidR="00E606A7" w:rsidRPr="00103966" w:rsidRDefault="00E606A7" w:rsidP="00991C8D">
            <w:pPr>
              <w:spacing w:before="120" w:after="120"/>
              <w:jc w:val="center"/>
              <w:rPr>
                <w:rFonts w:ascii="Fira Sans" w:hAnsi="Fira Sans"/>
                <w:sz w:val="18"/>
                <w:szCs w:val="18"/>
              </w:rPr>
            </w:pPr>
          </w:p>
        </w:tc>
      </w:tr>
      <w:tr w:rsidR="00E606A7" w:rsidRPr="00103966" w14:paraId="5A2156A6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7FD074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01-06 2018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6CF38B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/>
                <w:bCs/>
                <w:sz w:val="18"/>
                <w:szCs w:val="18"/>
              </w:rPr>
            </w:pPr>
            <w:r w:rsidRPr="00103966">
              <w:rPr>
                <w:rFonts w:ascii="Fira Sans" w:hAnsi="Fira Sans"/>
                <w:bCs/>
                <w:sz w:val="18"/>
                <w:szCs w:val="18"/>
              </w:rPr>
              <w:t>2,2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C7E9A5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/>
                <w:bCs/>
                <w:sz w:val="18"/>
                <w:szCs w:val="18"/>
              </w:rPr>
            </w:pPr>
            <w:r w:rsidRPr="00103966">
              <w:rPr>
                <w:rFonts w:ascii="Fira Sans" w:hAnsi="Fira Sans"/>
                <w:bCs/>
                <w:sz w:val="18"/>
                <w:szCs w:val="18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5B4A17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/>
                <w:bCs/>
                <w:sz w:val="18"/>
                <w:szCs w:val="18"/>
              </w:rPr>
            </w:pPr>
            <w:r w:rsidRPr="00103966">
              <w:rPr>
                <w:rFonts w:ascii="Fira Sans" w:hAnsi="Fira Sans"/>
                <w:bCs/>
                <w:sz w:val="18"/>
                <w:szCs w:val="18"/>
              </w:rPr>
              <w:t>39,0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bottom"/>
          </w:tcPr>
          <w:p w14:paraId="0A362475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/>
                <w:bCs/>
                <w:sz w:val="18"/>
                <w:szCs w:val="18"/>
              </w:rPr>
            </w:pPr>
            <w:r w:rsidRPr="00103966">
              <w:rPr>
                <w:rFonts w:ascii="Fira Sans" w:hAnsi="Fira Sans"/>
                <w:bCs/>
                <w:sz w:val="18"/>
                <w:szCs w:val="18"/>
              </w:rPr>
              <w:t>-36,8</w:t>
            </w:r>
          </w:p>
        </w:tc>
      </w:tr>
      <w:tr w:rsidR="00E606A7" w:rsidRPr="00103966" w14:paraId="65AD9594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</w:tcPr>
          <w:p w14:paraId="4C05F658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07-12 2018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BC87838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3,8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4B8C58C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F7F7774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33,0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  <w:vAlign w:val="center"/>
          </w:tcPr>
          <w:p w14:paraId="0816970D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-29,2</w:t>
            </w:r>
          </w:p>
        </w:tc>
      </w:tr>
      <w:tr w:rsidR="00E606A7" w:rsidRPr="00103966" w14:paraId="1C49403E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503006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01-06 2019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24F272D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3,8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9ED0C0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4BB22B5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36,5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1A2F1BC6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-32,7</w:t>
            </w:r>
          </w:p>
        </w:tc>
      </w:tr>
      <w:tr w:rsidR="00E606A7" w:rsidRPr="00103966" w14:paraId="4DFFB529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323EAC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07-12 2019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F9B3682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2,9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086F3E4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447436E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30,9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0CF27F06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-28,0</w:t>
            </w:r>
          </w:p>
        </w:tc>
      </w:tr>
      <w:tr w:rsidR="00E606A7" w:rsidRPr="00103966" w14:paraId="6241E534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D5D7A2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01-06 2020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7BE57B6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2,8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3C37D69B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530CAF4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32,1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7BE6D9E3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-29,3</w:t>
            </w:r>
          </w:p>
        </w:tc>
      </w:tr>
      <w:tr w:rsidR="00E606A7" w:rsidRPr="00103966" w14:paraId="71D514A3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502F2F4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07-12 2020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2F462B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3,8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9A3BD0F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6</w:t>
            </w:r>
            <w:r>
              <w:rPr>
                <w:rFonts w:ascii="Fira Sans" w:hAnsi="Fira Sans" w:cs="Arial"/>
                <w:bCs/>
                <w:sz w:val="18"/>
                <w:szCs w:val="18"/>
              </w:rPr>
              <w:t>3</w:t>
            </w: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,</w:t>
            </w:r>
            <w:r>
              <w:rPr>
                <w:rFonts w:ascii="Fira Sans" w:hAnsi="Fira Sans" w:cs="Arial"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98AF54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</w:t>
            </w:r>
            <w:r>
              <w:rPr>
                <w:rFonts w:ascii="Fira Sans" w:hAnsi="Fira Sans" w:cs="Arial"/>
                <w:bCs/>
                <w:sz w:val="18"/>
                <w:szCs w:val="18"/>
              </w:rPr>
              <w:t>3</w:t>
            </w: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,</w:t>
            </w:r>
            <w:r>
              <w:rPr>
                <w:rFonts w:ascii="Fira Sans" w:hAnsi="Fira Sans" w:cs="Arial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18B2347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-</w:t>
            </w:r>
            <w:r>
              <w:rPr>
                <w:rFonts w:ascii="Fira Sans" w:hAnsi="Fira Sans" w:cs="Arial"/>
                <w:bCs/>
                <w:sz w:val="18"/>
                <w:szCs w:val="18"/>
              </w:rPr>
              <w:t>29,8</w:t>
            </w:r>
          </w:p>
        </w:tc>
      </w:tr>
      <w:tr w:rsidR="00E606A7" w:rsidRPr="00103966" w14:paraId="2F97217C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8593C0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01-06 2021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D81DAD5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4,1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9B4EC0E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D0A449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29,5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B3B5E21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-25,4</w:t>
            </w:r>
          </w:p>
        </w:tc>
      </w:tr>
      <w:tr w:rsidR="00E606A7" w:rsidRPr="00103966" w14:paraId="19248B18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EC5183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07-12  2021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FFE2A9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3,9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2A73F98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67,1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53F67A9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29,0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C789622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-25,1</w:t>
            </w:r>
          </w:p>
        </w:tc>
      </w:tr>
      <w:tr w:rsidR="00E606A7" w:rsidRPr="00103966" w14:paraId="2B18447B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9F8CB0C" w14:textId="77777777" w:rsidR="00E606A7" w:rsidRPr="00103966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01-06 2022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8924F18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3,3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FF12D5A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103966">
              <w:rPr>
                <w:rFonts w:ascii="Fira Sans" w:hAnsi="Fira Sans" w:cs="Arial"/>
                <w:bCs/>
                <w:sz w:val="18"/>
                <w:szCs w:val="18"/>
              </w:rPr>
              <w:t>65,6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265A32C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>
              <w:rPr>
                <w:rFonts w:ascii="Fira Sans" w:hAnsi="Fira Sans" w:cs="Arial"/>
                <w:bCs/>
                <w:sz w:val="18"/>
                <w:szCs w:val="18"/>
              </w:rPr>
              <w:t>31,1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031A1C8" w14:textId="77777777" w:rsidR="00E606A7" w:rsidRPr="00103966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C5230F">
              <w:rPr>
                <w:rFonts w:ascii="Fira Sans" w:hAnsi="Fira Sans" w:cs="Arial"/>
                <w:bCs/>
                <w:sz w:val="18"/>
                <w:szCs w:val="18"/>
              </w:rPr>
              <w:t>-27,8</w:t>
            </w:r>
          </w:p>
        </w:tc>
      </w:tr>
      <w:tr w:rsidR="00E606A7" w:rsidRPr="00103966" w14:paraId="75DAA4F1" w14:textId="77777777" w:rsidTr="00097D95">
        <w:trPr>
          <w:trHeight w:hRule="exact" w:val="397"/>
        </w:trPr>
        <w:tc>
          <w:tcPr>
            <w:tcW w:w="164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</w:tcPr>
          <w:p w14:paraId="5D07FFD1" w14:textId="77777777" w:rsidR="00E606A7" w:rsidRPr="000A5E67" w:rsidRDefault="00E606A7" w:rsidP="00991C8D">
            <w:pPr>
              <w:spacing w:before="120" w:after="120"/>
              <w:rPr>
                <w:rFonts w:ascii="Fira Sans" w:hAnsi="Fira Sans"/>
                <w:bCs/>
                <w:sz w:val="18"/>
                <w:szCs w:val="18"/>
              </w:rPr>
            </w:pPr>
            <w:r w:rsidRPr="000A5E67">
              <w:rPr>
                <w:rFonts w:ascii="Fira Sans" w:hAnsi="Fira Sans"/>
                <w:sz w:val="18"/>
                <w:szCs w:val="18"/>
              </w:rPr>
              <w:t>07-12 2022 r.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6EDECAA" w14:textId="77777777" w:rsidR="00E606A7" w:rsidRPr="000A5E67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>
              <w:rPr>
                <w:rFonts w:ascii="Fira Sans" w:hAnsi="Fira Sans" w:cs="Arial"/>
                <w:bCs/>
                <w:sz w:val="18"/>
                <w:szCs w:val="18"/>
              </w:rPr>
              <w:t>1,9</w:t>
            </w:r>
          </w:p>
        </w:tc>
        <w:tc>
          <w:tcPr>
            <w:tcW w:w="1843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409CF346" w14:textId="77777777" w:rsidR="00E606A7" w:rsidRPr="000A5E67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>
              <w:rPr>
                <w:rFonts w:ascii="Fira Sans" w:hAnsi="Fira Sans" w:cs="Arial"/>
                <w:bCs/>
                <w:sz w:val="18"/>
                <w:szCs w:val="18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602DA323" w14:textId="77777777" w:rsidR="00E606A7" w:rsidRPr="000A5E67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>
              <w:rPr>
                <w:rFonts w:ascii="Fira Sans" w:hAnsi="Fira Sans" w:cs="Arial"/>
                <w:bCs/>
                <w:sz w:val="18"/>
                <w:szCs w:val="18"/>
              </w:rPr>
              <w:t>38,8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</w:tcBorders>
          </w:tcPr>
          <w:p w14:paraId="51D86655" w14:textId="77777777" w:rsidR="00E606A7" w:rsidRPr="000A5E67" w:rsidRDefault="00E606A7" w:rsidP="00991C8D">
            <w:pPr>
              <w:spacing w:before="120" w:after="120"/>
              <w:jc w:val="right"/>
              <w:rPr>
                <w:rFonts w:ascii="Fira Sans" w:hAnsi="Fira Sans" w:cs="Arial"/>
                <w:bCs/>
                <w:sz w:val="18"/>
                <w:szCs w:val="18"/>
              </w:rPr>
            </w:pPr>
            <w:r w:rsidRPr="000A5E67">
              <w:rPr>
                <w:rFonts w:ascii="Fira Sans" w:hAnsi="Fira Sans" w:cs="Arial"/>
                <w:bCs/>
                <w:sz w:val="18"/>
                <w:szCs w:val="18"/>
              </w:rPr>
              <w:t>-36,9</w:t>
            </w:r>
          </w:p>
        </w:tc>
      </w:tr>
    </w:tbl>
    <w:p w14:paraId="5FF69820" w14:textId="77777777" w:rsidR="00E606A7" w:rsidRDefault="00E606A7" w:rsidP="002E3019">
      <w:pPr>
        <w:spacing w:before="240" w:after="120"/>
        <w:rPr>
          <w:rFonts w:ascii="Fira Sans" w:hAnsi="Fira Sans"/>
          <w:b/>
          <w:spacing w:val="-2"/>
          <w:sz w:val="18"/>
        </w:rPr>
      </w:pPr>
    </w:p>
    <w:p w14:paraId="1236F718" w14:textId="77777777" w:rsidR="00765532" w:rsidRPr="000F03E5" w:rsidRDefault="00765532" w:rsidP="000F03E5">
      <w:pPr>
        <w:spacing w:before="120" w:after="120"/>
        <w:rPr>
          <w:rFonts w:ascii="Fira Sans" w:hAnsi="Fira Sans"/>
          <w:b/>
          <w:spacing w:val="-2"/>
          <w:sz w:val="19"/>
          <w:szCs w:val="19"/>
        </w:rPr>
      </w:pPr>
      <w:r w:rsidRPr="000F03E5">
        <w:rPr>
          <w:rFonts w:ascii="Fira Sans" w:hAnsi="Fira Sans"/>
          <w:b/>
          <w:spacing w:val="-2"/>
          <w:sz w:val="19"/>
          <w:szCs w:val="19"/>
        </w:rPr>
        <w:t>Prognoza  sytuacji gospodarstw rolnych</w:t>
      </w:r>
    </w:p>
    <w:p w14:paraId="61B203AC" w14:textId="049669B0" w:rsidR="000B4470" w:rsidRDefault="000B4470" w:rsidP="000F03E5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0B4470">
        <w:rPr>
          <w:rFonts w:ascii="Fira Sans" w:hAnsi="Fira Sans"/>
          <w:spacing w:val="-2"/>
          <w:sz w:val="19"/>
          <w:szCs w:val="19"/>
        </w:rPr>
        <w:t>W grudniu 2022 r. prognozy dotyczące zarówno ogólnej sytuacji gospodarstw, jak i</w:t>
      </w:r>
      <w:r w:rsidR="004D453A">
        <w:rPr>
          <w:rFonts w:ascii="Fira Sans" w:hAnsi="Fira Sans"/>
          <w:spacing w:val="-2"/>
          <w:sz w:val="19"/>
          <w:szCs w:val="19"/>
        </w:rPr>
        <w:t xml:space="preserve"> opłacalności produkcji rolnej na I półrocze</w:t>
      </w:r>
      <w:r w:rsidRPr="000B4470">
        <w:rPr>
          <w:rFonts w:ascii="Fira Sans" w:hAnsi="Fira Sans"/>
          <w:spacing w:val="-2"/>
          <w:sz w:val="19"/>
          <w:szCs w:val="19"/>
        </w:rPr>
        <w:t xml:space="preserve"> 2023 r. były niekorzystne, ale lepsze w porównaniu z dwoma poprzednimi edycjami badania. Bardziej pesymistyczne, w stosunku do I półrocza 2022 r., były opinie rolników na temat przewidywanego popytu na wytwarzane przez nich produkty – spadek wartości salda odpowiedzi o 6,7 p. proc. </w:t>
      </w:r>
      <w:r w:rsidR="00980223">
        <w:rPr>
          <w:rFonts w:ascii="Fira Sans" w:hAnsi="Fira Sans"/>
          <w:spacing w:val="-2"/>
          <w:sz w:val="19"/>
          <w:szCs w:val="19"/>
        </w:rPr>
        <w:t>Niespełna</w:t>
      </w:r>
      <w:r w:rsidR="00006D8E">
        <w:rPr>
          <w:rFonts w:ascii="Fira Sans" w:hAnsi="Fira Sans"/>
          <w:spacing w:val="-2"/>
          <w:sz w:val="19"/>
          <w:szCs w:val="19"/>
        </w:rPr>
        <w:t xml:space="preserve"> 67% rolników uznało</w:t>
      </w:r>
      <w:r w:rsidR="00346794">
        <w:rPr>
          <w:rFonts w:ascii="Fira Sans" w:hAnsi="Fira Sans"/>
          <w:spacing w:val="-2"/>
          <w:sz w:val="19"/>
          <w:szCs w:val="19"/>
        </w:rPr>
        <w:t>, że popyt pozostanie bez zmian</w:t>
      </w:r>
      <w:r w:rsidRPr="000B4470">
        <w:rPr>
          <w:rFonts w:ascii="Fira Sans" w:hAnsi="Fira Sans"/>
          <w:spacing w:val="-2"/>
          <w:sz w:val="19"/>
          <w:szCs w:val="19"/>
        </w:rPr>
        <w:t xml:space="preserve">, </w:t>
      </w:r>
      <w:r w:rsidR="00980223">
        <w:rPr>
          <w:rFonts w:ascii="Fira Sans" w:hAnsi="Fira Sans"/>
          <w:spacing w:val="-2"/>
          <w:sz w:val="19"/>
          <w:szCs w:val="19"/>
        </w:rPr>
        <w:t>a blisko</w:t>
      </w:r>
      <w:r w:rsidRPr="000B4470">
        <w:rPr>
          <w:rFonts w:ascii="Fira Sans" w:hAnsi="Fira Sans"/>
          <w:spacing w:val="-2"/>
          <w:sz w:val="19"/>
          <w:szCs w:val="19"/>
        </w:rPr>
        <w:t xml:space="preserve"> 5,0</w:t>
      </w:r>
      <w:r w:rsidR="00980223">
        <w:rPr>
          <w:rFonts w:ascii="Fira Sans" w:hAnsi="Fira Sans"/>
          <w:spacing w:val="-2"/>
          <w:sz w:val="19"/>
          <w:szCs w:val="19"/>
        </w:rPr>
        <w:t>% zasygnalizowało</w:t>
      </w:r>
      <w:r>
        <w:rPr>
          <w:rFonts w:ascii="Fira Sans" w:hAnsi="Fira Sans"/>
          <w:spacing w:val="-2"/>
          <w:sz w:val="19"/>
          <w:szCs w:val="19"/>
        </w:rPr>
        <w:t>, że się zwiększy.</w:t>
      </w:r>
    </w:p>
    <w:p w14:paraId="0543C0EB" w14:textId="6114B8C2" w:rsidR="00E5604E" w:rsidRPr="000F03E5" w:rsidRDefault="006364C0" w:rsidP="002E3019">
      <w:pPr>
        <w:spacing w:before="240" w:after="120"/>
        <w:rPr>
          <w:rFonts w:ascii="Fira Sans" w:hAnsi="Fira Sans"/>
          <w:b/>
          <w:spacing w:val="-2"/>
          <w:sz w:val="19"/>
          <w:szCs w:val="19"/>
        </w:rPr>
      </w:pPr>
      <w:r w:rsidRPr="000F03E5">
        <w:rPr>
          <w:rFonts w:ascii="Fira Sans" w:hAnsi="Fira Sans"/>
          <w:b/>
          <w:spacing w:val="-2"/>
          <w:sz w:val="19"/>
          <w:szCs w:val="19"/>
        </w:rPr>
        <w:t>Wykres 5</w:t>
      </w:r>
      <w:r w:rsidR="00E5604E" w:rsidRPr="000F03E5">
        <w:rPr>
          <w:rFonts w:ascii="Fira Sans" w:hAnsi="Fira Sans"/>
          <w:b/>
          <w:spacing w:val="-2"/>
          <w:sz w:val="19"/>
          <w:szCs w:val="19"/>
        </w:rPr>
        <w:t>. Salda odpowiedzi dla prognoz</w:t>
      </w:r>
      <w:r w:rsidR="00AC13AF" w:rsidRPr="000F03E5">
        <w:rPr>
          <w:rFonts w:ascii="Fira Sans" w:hAnsi="Fira Sans"/>
          <w:b/>
          <w:spacing w:val="-2"/>
          <w:sz w:val="19"/>
          <w:szCs w:val="19"/>
        </w:rPr>
        <w:t>y</w:t>
      </w:r>
      <w:r w:rsidR="00E5604E" w:rsidRPr="000F03E5">
        <w:rPr>
          <w:rFonts w:ascii="Fira Sans" w:hAnsi="Fira Sans"/>
          <w:b/>
          <w:spacing w:val="-2"/>
          <w:sz w:val="19"/>
          <w:szCs w:val="19"/>
        </w:rPr>
        <w:t xml:space="preserve"> sytuacji ogólnej gospodarstw rolnych, opłacalności produkcji rolniczej i popytu na produkty rolne</w:t>
      </w:r>
    </w:p>
    <w:p w14:paraId="134CAC46" w14:textId="4482E72F" w:rsidR="006F7FA8" w:rsidRDefault="00E5604E" w:rsidP="001E5D72">
      <w:pPr>
        <w:spacing w:line="259" w:lineRule="auto"/>
        <w:rPr>
          <w:rFonts w:ascii="Fira Sans" w:hAnsi="Fira Sans"/>
          <w:sz w:val="18"/>
          <w:szCs w:val="18"/>
        </w:rPr>
      </w:pPr>
      <w:r>
        <w:rPr>
          <w:noProof/>
          <w:lang w:eastAsia="pl-PL"/>
        </w:rPr>
        <w:drawing>
          <wp:inline distT="0" distB="0" distL="0" distR="0" wp14:anchorId="4F187B0D" wp14:editId="17BBB0D6">
            <wp:extent cx="4838700" cy="2611120"/>
            <wp:effectExtent l="0" t="0" r="0" b="0"/>
            <wp:docPr id="3" name="Wykres 3" descr="Salda odpowiedzi dla prognozy sytuacji ogólnej gospodarstw rolnych, opłacalności produkcji rolniczej i popytu na produkty roln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7A7C8D7" w14:textId="77777777" w:rsidR="0076662C" w:rsidRDefault="0076662C" w:rsidP="00DB0C17">
      <w:pPr>
        <w:spacing w:before="120" w:after="120"/>
        <w:rPr>
          <w:rFonts w:ascii="Fira Sans" w:hAnsi="Fira Sans"/>
          <w:sz w:val="19"/>
          <w:szCs w:val="19"/>
        </w:rPr>
      </w:pPr>
    </w:p>
    <w:p w14:paraId="4AD0839F" w14:textId="77777777" w:rsidR="0076662C" w:rsidRDefault="0076662C" w:rsidP="00DB0C17">
      <w:pPr>
        <w:spacing w:before="120" w:after="120"/>
        <w:rPr>
          <w:rFonts w:ascii="Fira Sans" w:hAnsi="Fira Sans"/>
          <w:sz w:val="19"/>
          <w:szCs w:val="19"/>
        </w:rPr>
      </w:pPr>
    </w:p>
    <w:p w14:paraId="3C564859" w14:textId="77777777" w:rsidR="0076662C" w:rsidRDefault="0076662C" w:rsidP="00DB0C17">
      <w:pPr>
        <w:spacing w:before="120" w:after="120"/>
        <w:rPr>
          <w:rFonts w:ascii="Fira Sans" w:hAnsi="Fira Sans"/>
          <w:sz w:val="19"/>
          <w:szCs w:val="19"/>
        </w:rPr>
      </w:pPr>
    </w:p>
    <w:p w14:paraId="55225326" w14:textId="77777777" w:rsidR="0076662C" w:rsidRDefault="0076662C" w:rsidP="00DB0C17">
      <w:pPr>
        <w:spacing w:before="120" w:after="120"/>
        <w:rPr>
          <w:rFonts w:ascii="Fira Sans" w:hAnsi="Fira Sans"/>
          <w:sz w:val="19"/>
          <w:szCs w:val="19"/>
        </w:rPr>
      </w:pPr>
    </w:p>
    <w:p w14:paraId="7F79B60B" w14:textId="77777777" w:rsidR="00DB0C17" w:rsidRPr="00DB0C17" w:rsidRDefault="00DB0C17" w:rsidP="00DB0C17">
      <w:pPr>
        <w:spacing w:before="120" w:after="120"/>
        <w:rPr>
          <w:rFonts w:ascii="Fira Sans" w:hAnsi="Fira Sans"/>
          <w:sz w:val="19"/>
          <w:szCs w:val="19"/>
        </w:rPr>
      </w:pPr>
      <w:r w:rsidRPr="00DB0C17">
        <w:rPr>
          <w:rFonts w:ascii="Fira Sans" w:hAnsi="Fira Sans"/>
          <w:sz w:val="19"/>
          <w:szCs w:val="19"/>
        </w:rPr>
        <w:lastRenderedPageBreak/>
        <w:t>Znaczną przewagę negatywnych opinii nad pozytywnymi odnośnie prognozowanej sytuacji ogólnej w gospodarstwie rolnym, popytu na produkty rolne i opłacalności produkcji rolniczej odnotowano wśród rolników prowadzących uprawy buraków cukrowych i uprawy pod osłonami. Pesymist</w:t>
      </w:r>
      <w:r w:rsidR="002E3019">
        <w:rPr>
          <w:rFonts w:ascii="Fira Sans" w:hAnsi="Fira Sans"/>
          <w:sz w:val="19"/>
          <w:szCs w:val="19"/>
        </w:rPr>
        <w:t>yczne oceny prognozowanej</w:t>
      </w:r>
      <w:r w:rsidRPr="00DB0C17">
        <w:rPr>
          <w:rFonts w:ascii="Fira Sans" w:hAnsi="Fira Sans"/>
          <w:sz w:val="19"/>
          <w:szCs w:val="19"/>
        </w:rPr>
        <w:t xml:space="preserve"> ogólnej sytuacji w gospodarstwie rolnym, jak i opłaca</w:t>
      </w:r>
      <w:r w:rsidR="004D453A">
        <w:rPr>
          <w:rFonts w:ascii="Fira Sans" w:hAnsi="Fira Sans"/>
          <w:sz w:val="19"/>
          <w:szCs w:val="19"/>
        </w:rPr>
        <w:t xml:space="preserve">lności ich produkcji rolniczej </w:t>
      </w:r>
      <w:r w:rsidRPr="00DB0C17">
        <w:rPr>
          <w:rFonts w:ascii="Fira Sans" w:hAnsi="Fira Sans"/>
          <w:sz w:val="19"/>
          <w:szCs w:val="19"/>
        </w:rPr>
        <w:t>wyrażali kierujący gospodarstwami ukierunkowanymi na hodowlę bydła rzeźnego, bydła mlecznego oraz trzody chlewnej.</w:t>
      </w:r>
    </w:p>
    <w:p w14:paraId="7B49C22C" w14:textId="68B95C0A" w:rsidR="00E5604E" w:rsidRPr="002E3019" w:rsidRDefault="006364C0" w:rsidP="002E3019">
      <w:pPr>
        <w:spacing w:before="240" w:after="240"/>
        <w:rPr>
          <w:rFonts w:ascii="Fira Sans" w:hAnsi="Fira Sans"/>
          <w:b/>
          <w:spacing w:val="-2"/>
          <w:sz w:val="19"/>
          <w:szCs w:val="19"/>
        </w:rPr>
      </w:pPr>
      <w:r w:rsidRPr="009021D3">
        <w:rPr>
          <w:rFonts w:ascii="Fira Sans" w:hAnsi="Fira Sans"/>
          <w:b/>
          <w:spacing w:val="-2"/>
          <w:sz w:val="19"/>
          <w:szCs w:val="19"/>
        </w:rPr>
        <w:t>Wykres 6</w:t>
      </w:r>
      <w:r w:rsidR="001E5D72" w:rsidRPr="009021D3">
        <w:rPr>
          <w:rFonts w:ascii="Fira Sans" w:hAnsi="Fira Sans"/>
          <w:b/>
          <w:spacing w:val="-2"/>
          <w:sz w:val="19"/>
          <w:szCs w:val="19"/>
        </w:rPr>
        <w:t xml:space="preserve">. </w:t>
      </w:r>
      <w:r w:rsidR="001E5D72" w:rsidRPr="00885760">
        <w:rPr>
          <w:rFonts w:ascii="Fira Sans" w:hAnsi="Fira Sans"/>
          <w:b/>
          <w:spacing w:val="-2"/>
          <w:sz w:val="19"/>
          <w:szCs w:val="19"/>
        </w:rPr>
        <w:t>Salda odpowie</w:t>
      </w:r>
      <w:r w:rsidR="00E14756" w:rsidRPr="00885760">
        <w:rPr>
          <w:rFonts w:ascii="Fira Sans" w:hAnsi="Fira Sans"/>
          <w:b/>
          <w:spacing w:val="-2"/>
          <w:sz w:val="19"/>
          <w:szCs w:val="19"/>
        </w:rPr>
        <w:t>dzi dotyczące prognozowanej w II</w:t>
      </w:r>
      <w:r w:rsidR="001E5D72" w:rsidRPr="00885760">
        <w:rPr>
          <w:rFonts w:ascii="Fira Sans" w:hAnsi="Fira Sans"/>
          <w:b/>
          <w:spacing w:val="-2"/>
          <w:sz w:val="19"/>
          <w:szCs w:val="19"/>
        </w:rPr>
        <w:t xml:space="preserve"> półroczu sytuacji</w:t>
      </w:r>
      <w:r w:rsidR="001E5D72" w:rsidRPr="009021D3">
        <w:rPr>
          <w:rFonts w:ascii="Fira Sans" w:hAnsi="Fira Sans"/>
          <w:b/>
          <w:spacing w:val="-2"/>
          <w:sz w:val="19"/>
          <w:szCs w:val="19"/>
        </w:rPr>
        <w:t xml:space="preserve"> ogólnej gospodarstw rolnych, opłacalności produkcji rolniczej i popytu na produkty rolne</w:t>
      </w:r>
    </w:p>
    <w:p w14:paraId="57AB0DB1" w14:textId="77777777" w:rsidR="00224302" w:rsidRDefault="001E5D72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16E8916C" wp14:editId="7905A622">
            <wp:extent cx="4914900" cy="2895600"/>
            <wp:effectExtent l="0" t="0" r="0" b="0"/>
            <wp:docPr id="5" name="Wykres 5" descr="Salda odpowiedzi dotyczące prognozowanej w &#10;II półroczu sytuacji ogólnej gospodarstw rolnych, opłacalności produkcji rolniczej i popytu na produkty rolne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583914F1" w14:textId="77777777" w:rsidR="00765532" w:rsidRPr="009021D3" w:rsidRDefault="00765532" w:rsidP="002E3019">
      <w:pPr>
        <w:spacing w:before="240" w:after="240"/>
        <w:rPr>
          <w:rFonts w:ascii="Fira Sans" w:hAnsi="Fira Sans"/>
          <w:b/>
          <w:spacing w:val="-2"/>
          <w:sz w:val="19"/>
          <w:szCs w:val="19"/>
        </w:rPr>
      </w:pPr>
      <w:r w:rsidRPr="009021D3">
        <w:rPr>
          <w:rFonts w:ascii="Fira Sans" w:hAnsi="Fira Sans"/>
          <w:b/>
          <w:spacing w:val="-2"/>
          <w:sz w:val="19"/>
          <w:szCs w:val="19"/>
        </w:rPr>
        <w:t>Źródła finansowania</w:t>
      </w:r>
      <w:r w:rsidR="0027088D" w:rsidRPr="009021D3">
        <w:rPr>
          <w:rFonts w:ascii="Fira Sans" w:hAnsi="Fira Sans"/>
          <w:b/>
          <w:spacing w:val="-2"/>
          <w:sz w:val="19"/>
          <w:szCs w:val="19"/>
        </w:rPr>
        <w:t xml:space="preserve"> i inwestycje</w:t>
      </w:r>
    </w:p>
    <w:p w14:paraId="20E552FF" w14:textId="77777777" w:rsidR="00732401" w:rsidRPr="009021D3" w:rsidRDefault="004545FA" w:rsidP="009021D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9021D3">
        <w:rPr>
          <w:rFonts w:ascii="Fira Sans" w:hAnsi="Fira Sans"/>
          <w:spacing w:val="-2"/>
          <w:sz w:val="19"/>
          <w:szCs w:val="19"/>
        </w:rPr>
        <w:t>W 2022 r</w:t>
      </w:r>
      <w:r w:rsidR="00507D32" w:rsidRPr="009021D3">
        <w:rPr>
          <w:rFonts w:ascii="Fira Sans" w:hAnsi="Fira Sans"/>
          <w:spacing w:val="-2"/>
          <w:sz w:val="19"/>
          <w:szCs w:val="19"/>
        </w:rPr>
        <w:t>.</w:t>
      </w:r>
      <w:r w:rsidR="00EC5FFD" w:rsidRPr="009021D3">
        <w:rPr>
          <w:rFonts w:ascii="Fira Sans" w:hAnsi="Fira Sans"/>
          <w:spacing w:val="-2"/>
          <w:sz w:val="19"/>
          <w:szCs w:val="19"/>
        </w:rPr>
        <w:t xml:space="preserve"> </w:t>
      </w:r>
      <w:r w:rsidRPr="009021D3">
        <w:rPr>
          <w:rFonts w:ascii="Fira Sans" w:hAnsi="Fira Sans"/>
          <w:spacing w:val="-2"/>
          <w:sz w:val="19"/>
          <w:szCs w:val="19"/>
        </w:rPr>
        <w:t>ponad 5</w:t>
      </w:r>
      <w:r w:rsidR="00CE69C6" w:rsidRPr="009021D3">
        <w:rPr>
          <w:rFonts w:ascii="Fira Sans" w:hAnsi="Fira Sans"/>
          <w:spacing w:val="-2"/>
          <w:sz w:val="19"/>
          <w:szCs w:val="19"/>
        </w:rPr>
        <w:t>5</w:t>
      </w:r>
      <w:r w:rsidRPr="009021D3">
        <w:rPr>
          <w:rFonts w:ascii="Fira Sans" w:hAnsi="Fira Sans"/>
          <w:spacing w:val="-2"/>
          <w:sz w:val="19"/>
          <w:szCs w:val="19"/>
        </w:rPr>
        <w:t xml:space="preserve">% </w:t>
      </w:r>
      <w:r w:rsidR="00732401" w:rsidRPr="009021D3">
        <w:rPr>
          <w:rFonts w:ascii="Fira Sans" w:hAnsi="Fira Sans"/>
          <w:spacing w:val="-2"/>
          <w:sz w:val="19"/>
          <w:szCs w:val="19"/>
        </w:rPr>
        <w:t xml:space="preserve">ogółu </w:t>
      </w:r>
      <w:r w:rsidRPr="009021D3">
        <w:rPr>
          <w:rFonts w:ascii="Fira Sans" w:hAnsi="Fira Sans"/>
          <w:spacing w:val="-2"/>
          <w:sz w:val="19"/>
          <w:szCs w:val="19"/>
        </w:rPr>
        <w:t>gospodarstw rolnych, biorących udział w badaniu wskazało środki własne jako źródło finansowania wykorzystywane przy prowadzeniu gospodarstwa rolnego.</w:t>
      </w:r>
      <w:r w:rsidR="00732401" w:rsidRPr="009021D3">
        <w:rPr>
          <w:rFonts w:ascii="Fira Sans" w:hAnsi="Fira Sans"/>
          <w:spacing w:val="-2"/>
          <w:sz w:val="19"/>
          <w:szCs w:val="19"/>
        </w:rPr>
        <w:t xml:space="preserve"> </w:t>
      </w:r>
    </w:p>
    <w:p w14:paraId="18ADB444" w14:textId="061BE719" w:rsidR="004545FA" w:rsidRPr="009021D3" w:rsidRDefault="00732401" w:rsidP="009021D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9021D3">
        <w:rPr>
          <w:rFonts w:ascii="Fira Sans" w:hAnsi="Fira Sans"/>
          <w:spacing w:val="-2"/>
          <w:sz w:val="19"/>
          <w:szCs w:val="19"/>
        </w:rPr>
        <w:t>Wśród ogółu gospodarstw</w:t>
      </w:r>
      <w:r w:rsidR="00CE69C6" w:rsidRPr="009021D3">
        <w:rPr>
          <w:rFonts w:ascii="Fira Sans" w:hAnsi="Fira Sans"/>
          <w:spacing w:val="-2"/>
          <w:sz w:val="19"/>
          <w:szCs w:val="19"/>
        </w:rPr>
        <w:t xml:space="preserve"> </w:t>
      </w:r>
      <w:r w:rsidRPr="009021D3">
        <w:rPr>
          <w:rFonts w:ascii="Fira Sans" w:hAnsi="Fira Sans"/>
          <w:spacing w:val="-2"/>
          <w:sz w:val="19"/>
          <w:szCs w:val="19"/>
        </w:rPr>
        <w:t>pomoc unijną</w:t>
      </w:r>
      <w:r w:rsidR="00CE69C6" w:rsidRPr="009021D3">
        <w:rPr>
          <w:rFonts w:ascii="Fira Sans" w:hAnsi="Fira Sans"/>
          <w:spacing w:val="-2"/>
          <w:sz w:val="19"/>
          <w:szCs w:val="19"/>
        </w:rPr>
        <w:t xml:space="preserve"> wskazało około 40% gospodarstw</w:t>
      </w:r>
      <w:r w:rsidRPr="009021D3">
        <w:rPr>
          <w:rFonts w:ascii="Fira Sans" w:hAnsi="Fira Sans"/>
          <w:spacing w:val="-2"/>
          <w:sz w:val="19"/>
          <w:szCs w:val="19"/>
        </w:rPr>
        <w:t xml:space="preserve"> jako źródło finansowania. </w:t>
      </w:r>
      <w:r w:rsidR="00B145E2">
        <w:rPr>
          <w:rFonts w:ascii="Fira Sans" w:hAnsi="Fira Sans"/>
          <w:spacing w:val="-2"/>
          <w:sz w:val="19"/>
          <w:szCs w:val="19"/>
        </w:rPr>
        <w:t>Jednocześnie</w:t>
      </w:r>
      <w:r w:rsidR="00CE69C6" w:rsidRPr="009021D3">
        <w:rPr>
          <w:rFonts w:ascii="Fira Sans" w:hAnsi="Fira Sans"/>
          <w:spacing w:val="-2"/>
          <w:sz w:val="19"/>
          <w:szCs w:val="19"/>
        </w:rPr>
        <w:t xml:space="preserve"> około 5</w:t>
      </w:r>
      <w:r w:rsidR="00507D32" w:rsidRPr="009021D3">
        <w:rPr>
          <w:rFonts w:ascii="Fira Sans" w:hAnsi="Fira Sans"/>
          <w:spacing w:val="-2"/>
          <w:sz w:val="19"/>
          <w:szCs w:val="19"/>
        </w:rPr>
        <w:t>% gospodarstw</w:t>
      </w:r>
      <w:r w:rsidR="00CE69C6" w:rsidRPr="009021D3">
        <w:rPr>
          <w:rFonts w:ascii="Fira Sans" w:hAnsi="Fira Sans"/>
          <w:spacing w:val="-2"/>
          <w:sz w:val="19"/>
          <w:szCs w:val="19"/>
        </w:rPr>
        <w:t xml:space="preserve"> korzystało z kredytów.</w:t>
      </w:r>
      <w:r w:rsidRPr="009021D3">
        <w:rPr>
          <w:rFonts w:ascii="Fira Sans" w:hAnsi="Fira Sans"/>
          <w:spacing w:val="-2"/>
          <w:sz w:val="19"/>
          <w:szCs w:val="19"/>
        </w:rPr>
        <w:t xml:space="preserve"> </w:t>
      </w:r>
    </w:p>
    <w:p w14:paraId="5AE94DF2" w14:textId="6DA7F1D9" w:rsidR="00C13BC5" w:rsidRPr="009021D3" w:rsidRDefault="00C13BC5" w:rsidP="009021D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9021D3">
        <w:rPr>
          <w:rFonts w:ascii="Fira Sans" w:hAnsi="Fira Sans"/>
          <w:spacing w:val="-2"/>
          <w:sz w:val="19"/>
          <w:szCs w:val="19"/>
        </w:rPr>
        <w:t>Najczęściej ze środków własnych i pomocy unijnej przy prowadzeniu działalności rolniczej korzystały gospodarstwa o powierzchni poniżej 5 ha</w:t>
      </w:r>
      <w:r w:rsidRPr="00A811F0">
        <w:rPr>
          <w:rFonts w:ascii="Fira Sans" w:hAnsi="Fira Sans"/>
          <w:spacing w:val="-2"/>
          <w:sz w:val="19"/>
          <w:szCs w:val="19"/>
        </w:rPr>
        <w:t xml:space="preserve">. W przypadku kredytów najwięcej </w:t>
      </w:r>
      <w:r w:rsidR="00C70AFF" w:rsidRPr="00A811F0">
        <w:rPr>
          <w:rFonts w:ascii="Fira Sans" w:hAnsi="Fira Sans"/>
          <w:spacing w:val="-2"/>
          <w:sz w:val="19"/>
          <w:szCs w:val="19"/>
        </w:rPr>
        <w:t>z tej formy finansowania korzystało</w:t>
      </w:r>
      <w:r w:rsidR="00732401" w:rsidRPr="00A811F0">
        <w:rPr>
          <w:rFonts w:ascii="Fira Sans" w:hAnsi="Fira Sans"/>
          <w:spacing w:val="-2"/>
          <w:sz w:val="19"/>
          <w:szCs w:val="19"/>
        </w:rPr>
        <w:t xml:space="preserve"> </w:t>
      </w:r>
      <w:r w:rsidR="00C70AFF" w:rsidRPr="00A811F0">
        <w:rPr>
          <w:rFonts w:ascii="Fira Sans" w:hAnsi="Fira Sans"/>
          <w:spacing w:val="-2"/>
          <w:sz w:val="19"/>
          <w:szCs w:val="19"/>
        </w:rPr>
        <w:t>gospodarstw</w:t>
      </w:r>
      <w:r w:rsidRPr="00A811F0">
        <w:rPr>
          <w:rFonts w:ascii="Fira Sans" w:hAnsi="Fira Sans"/>
          <w:spacing w:val="-2"/>
          <w:sz w:val="19"/>
          <w:szCs w:val="19"/>
        </w:rPr>
        <w:t xml:space="preserve"> o powierzchni powyżej 50 ha.</w:t>
      </w:r>
      <w:r w:rsidRPr="009021D3">
        <w:rPr>
          <w:rFonts w:ascii="Fira Sans" w:hAnsi="Fira Sans"/>
          <w:spacing w:val="-2"/>
          <w:sz w:val="19"/>
          <w:szCs w:val="19"/>
        </w:rPr>
        <w:t xml:space="preserve"> </w:t>
      </w:r>
    </w:p>
    <w:p w14:paraId="4360346D" w14:textId="77777777" w:rsidR="00316B47" w:rsidRPr="004545FA" w:rsidRDefault="00C13BC5" w:rsidP="009021D3">
      <w:pPr>
        <w:spacing w:before="120" w:after="120"/>
        <w:rPr>
          <w:rFonts w:ascii="Fira Sans" w:hAnsi="Fira Sans"/>
          <w:spacing w:val="-2"/>
          <w:sz w:val="18"/>
        </w:rPr>
      </w:pPr>
      <w:r w:rsidRPr="009021D3">
        <w:rPr>
          <w:rFonts w:ascii="Fira Sans" w:hAnsi="Fira Sans"/>
          <w:spacing w:val="-2"/>
          <w:sz w:val="19"/>
          <w:szCs w:val="19"/>
        </w:rPr>
        <w:t>Syt</w:t>
      </w:r>
      <w:r w:rsidR="0079127B" w:rsidRPr="009021D3">
        <w:rPr>
          <w:rFonts w:ascii="Fira Sans" w:hAnsi="Fira Sans"/>
          <w:spacing w:val="-2"/>
          <w:sz w:val="19"/>
          <w:szCs w:val="19"/>
        </w:rPr>
        <w:t>u</w:t>
      </w:r>
      <w:r w:rsidRPr="009021D3">
        <w:rPr>
          <w:rFonts w:ascii="Fira Sans" w:hAnsi="Fira Sans"/>
          <w:spacing w:val="-2"/>
          <w:sz w:val="19"/>
          <w:szCs w:val="19"/>
        </w:rPr>
        <w:t>acja dotycząca źródeł finansow</w:t>
      </w:r>
      <w:r w:rsidR="0079127B" w:rsidRPr="009021D3">
        <w:rPr>
          <w:rFonts w:ascii="Fira Sans" w:hAnsi="Fira Sans"/>
          <w:spacing w:val="-2"/>
          <w:sz w:val="19"/>
          <w:szCs w:val="19"/>
        </w:rPr>
        <w:t>a</w:t>
      </w:r>
      <w:r w:rsidRPr="009021D3">
        <w:rPr>
          <w:rFonts w:ascii="Fira Sans" w:hAnsi="Fira Sans"/>
          <w:spacing w:val="-2"/>
          <w:sz w:val="19"/>
          <w:szCs w:val="19"/>
        </w:rPr>
        <w:t>nia</w:t>
      </w:r>
      <w:r w:rsidR="0079127B" w:rsidRPr="009021D3">
        <w:rPr>
          <w:rFonts w:ascii="Fira Sans" w:hAnsi="Fira Sans"/>
          <w:spacing w:val="-2"/>
          <w:sz w:val="19"/>
          <w:szCs w:val="19"/>
        </w:rPr>
        <w:t xml:space="preserve"> w analizowanym okresie była podobna do analogicznego okresu roku poprzedniego</w:t>
      </w:r>
      <w:r w:rsidR="0079127B">
        <w:rPr>
          <w:rFonts w:ascii="Fira Sans" w:hAnsi="Fira Sans"/>
          <w:spacing w:val="-2"/>
          <w:sz w:val="18"/>
        </w:rPr>
        <w:t>.</w:t>
      </w:r>
    </w:p>
    <w:p w14:paraId="5CC80892" w14:textId="03DDA3C0" w:rsidR="004545FA" w:rsidRPr="009021D3" w:rsidRDefault="00A2281C" w:rsidP="009021D3">
      <w:pPr>
        <w:spacing w:before="120" w:after="120"/>
        <w:rPr>
          <w:rFonts w:ascii="Fira Sans" w:hAnsi="Fira Sans"/>
          <w:b/>
          <w:spacing w:val="-2"/>
          <w:sz w:val="19"/>
          <w:szCs w:val="19"/>
        </w:rPr>
      </w:pPr>
      <w:r w:rsidRPr="009021D3">
        <w:rPr>
          <w:rFonts w:ascii="Fira Sans" w:hAnsi="Fira Sans"/>
          <w:b/>
          <w:spacing w:val="-2"/>
          <w:sz w:val="19"/>
          <w:szCs w:val="19"/>
        </w:rPr>
        <w:t>Wykres 7</w:t>
      </w:r>
      <w:r w:rsidR="00316B47" w:rsidRPr="009021D3">
        <w:rPr>
          <w:rFonts w:ascii="Fira Sans" w:hAnsi="Fira Sans"/>
          <w:b/>
          <w:spacing w:val="-2"/>
          <w:sz w:val="19"/>
          <w:szCs w:val="19"/>
        </w:rPr>
        <w:t>.</w:t>
      </w:r>
      <w:r w:rsidR="00316B47" w:rsidRPr="009021D3">
        <w:rPr>
          <w:sz w:val="19"/>
          <w:szCs w:val="19"/>
        </w:rPr>
        <w:t xml:space="preserve"> </w:t>
      </w:r>
      <w:r w:rsidR="00316B47" w:rsidRPr="009021D3">
        <w:rPr>
          <w:rFonts w:ascii="Fira Sans" w:hAnsi="Fira Sans"/>
          <w:b/>
          <w:spacing w:val="-2"/>
          <w:sz w:val="19"/>
          <w:szCs w:val="19"/>
        </w:rPr>
        <w:t>Źródła finansowania</w:t>
      </w:r>
      <w:r w:rsidR="00425512">
        <w:rPr>
          <w:rFonts w:ascii="Fira Sans" w:hAnsi="Fira Sans"/>
          <w:b/>
          <w:spacing w:val="-2"/>
          <w:sz w:val="19"/>
          <w:szCs w:val="19"/>
        </w:rPr>
        <w:t xml:space="preserve"> w II półroczu 2022 r.</w:t>
      </w:r>
      <w:r w:rsidR="00316B47" w:rsidRPr="009021D3">
        <w:rPr>
          <w:rFonts w:ascii="Fira Sans" w:hAnsi="Fira Sans"/>
          <w:b/>
          <w:spacing w:val="-2"/>
          <w:sz w:val="19"/>
          <w:szCs w:val="19"/>
        </w:rPr>
        <w:t xml:space="preserve"> według grup obszarow</w:t>
      </w:r>
      <w:r w:rsidR="00425512">
        <w:rPr>
          <w:rFonts w:ascii="Fira Sans" w:hAnsi="Fira Sans"/>
          <w:b/>
          <w:spacing w:val="-2"/>
          <w:sz w:val="19"/>
          <w:szCs w:val="19"/>
        </w:rPr>
        <w:t xml:space="preserve">ych użytków rolnych </w:t>
      </w:r>
    </w:p>
    <w:p w14:paraId="56C98A5E" w14:textId="6CEBCF9C" w:rsidR="002E3019" w:rsidRPr="00A07FB6" w:rsidRDefault="004545FA" w:rsidP="00A07FB6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1F6E2D0C" wp14:editId="41983608">
            <wp:extent cx="4865370" cy="2581275"/>
            <wp:effectExtent l="0" t="0" r="0" b="0"/>
            <wp:docPr id="8" name="Wykres 8" descr="Źródła finansowania w II półroczu 2022 r. według grup obszarowych użytków rolnych 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8DFBADD" w14:textId="77777777" w:rsidR="00425512" w:rsidRDefault="00425512" w:rsidP="009021D3">
      <w:pPr>
        <w:pStyle w:val="LID"/>
        <w:spacing w:after="120"/>
        <w:rPr>
          <w:rFonts w:eastAsia="Times New Roman" w:cs="Calibri"/>
          <w:b w:val="0"/>
          <w:bCs/>
          <w:color w:val="000000"/>
        </w:rPr>
      </w:pPr>
    </w:p>
    <w:p w14:paraId="20DCCA53" w14:textId="6EA100E7" w:rsidR="0076662C" w:rsidRDefault="00316B47" w:rsidP="009021D3">
      <w:pPr>
        <w:pStyle w:val="LID"/>
        <w:spacing w:after="120"/>
        <w:rPr>
          <w:b w:val="0"/>
        </w:rPr>
      </w:pPr>
      <w:r w:rsidRPr="009021D3">
        <w:rPr>
          <w:rFonts w:eastAsia="Times New Roman" w:cs="Calibri"/>
          <w:b w:val="0"/>
          <w:bCs/>
          <w:color w:val="000000"/>
        </w:rPr>
        <w:lastRenderedPageBreak/>
        <w:t xml:space="preserve">Zdecydowana większość użytkowników gospodarstw rolnych w 2022 r. ponosiła wydatki związane </w:t>
      </w:r>
      <w:r w:rsidR="00BE29A1" w:rsidRPr="009021D3">
        <w:rPr>
          <w:rFonts w:eastAsia="Times New Roman" w:cs="Calibri"/>
          <w:b w:val="0"/>
          <w:bCs/>
          <w:color w:val="000000"/>
        </w:rPr>
        <w:t>z prowdzeniem bieżą</w:t>
      </w:r>
      <w:r w:rsidRPr="009021D3">
        <w:rPr>
          <w:rFonts w:eastAsia="Times New Roman" w:cs="Calibri"/>
          <w:b w:val="0"/>
          <w:bCs/>
          <w:color w:val="000000"/>
        </w:rPr>
        <w:t xml:space="preserve">cej działalności rolniczej. </w:t>
      </w:r>
      <w:r w:rsidRPr="009021D3">
        <w:rPr>
          <w:b w:val="0"/>
        </w:rPr>
        <w:t xml:space="preserve">Najrzadziej jako cel wykorzystania posiadanych środków finansowych, respondenci </w:t>
      </w:r>
      <w:r w:rsidR="00B653FD" w:rsidRPr="009021D3">
        <w:rPr>
          <w:b w:val="0"/>
        </w:rPr>
        <w:t>wskazali wydatki na inwestycje – 27,8% ogółu gospodarstw.</w:t>
      </w:r>
    </w:p>
    <w:p w14:paraId="5B9745EC" w14:textId="5B17CB95" w:rsidR="00AC16C5" w:rsidRPr="009021D3" w:rsidRDefault="002C4A43" w:rsidP="009021D3">
      <w:pPr>
        <w:pStyle w:val="LID"/>
        <w:spacing w:after="120"/>
        <w:rPr>
          <w:b w:val="0"/>
        </w:rPr>
      </w:pPr>
      <w:r w:rsidRPr="009021D3">
        <w:rPr>
          <w:b w:val="0"/>
        </w:rPr>
        <w:t>W porównaniu z</w:t>
      </w:r>
      <w:r w:rsidR="00E476A0">
        <w:rPr>
          <w:b w:val="0"/>
        </w:rPr>
        <w:t xml:space="preserve"> </w:t>
      </w:r>
      <w:r w:rsidRPr="009021D3">
        <w:rPr>
          <w:b w:val="0"/>
        </w:rPr>
        <w:t>2021</w:t>
      </w:r>
      <w:r w:rsidR="00E476A0">
        <w:rPr>
          <w:b w:val="0"/>
        </w:rPr>
        <w:t xml:space="preserve"> r.</w:t>
      </w:r>
      <w:r w:rsidRPr="009021D3">
        <w:rPr>
          <w:b w:val="0"/>
        </w:rPr>
        <w:t xml:space="preserve"> wydatki</w:t>
      </w:r>
      <w:r w:rsidR="00507D32" w:rsidRPr="009021D3">
        <w:rPr>
          <w:b w:val="0"/>
        </w:rPr>
        <w:t xml:space="preserve"> in</w:t>
      </w:r>
      <w:r w:rsidRPr="009021D3">
        <w:rPr>
          <w:b w:val="0"/>
        </w:rPr>
        <w:t>w</w:t>
      </w:r>
      <w:r w:rsidR="00507D32" w:rsidRPr="009021D3">
        <w:rPr>
          <w:b w:val="0"/>
        </w:rPr>
        <w:t>e</w:t>
      </w:r>
      <w:r w:rsidRPr="009021D3">
        <w:rPr>
          <w:b w:val="0"/>
        </w:rPr>
        <w:t>stycyjne gospodarstw rolnych wzrosły o 2,6 p.proc</w:t>
      </w:r>
      <w:r w:rsidR="00E476A0">
        <w:rPr>
          <w:b w:val="0"/>
        </w:rPr>
        <w:t>,</w:t>
      </w:r>
      <w:r w:rsidR="004C2C80" w:rsidRPr="009021D3">
        <w:rPr>
          <w:b w:val="0"/>
        </w:rPr>
        <w:t xml:space="preserve"> a</w:t>
      </w:r>
      <w:r w:rsidR="00E476A0">
        <w:rPr>
          <w:b w:val="0"/>
        </w:rPr>
        <w:t xml:space="preserve"> wś</w:t>
      </w:r>
      <w:r w:rsidR="004C2C80" w:rsidRPr="009021D3">
        <w:rPr>
          <w:b w:val="0"/>
        </w:rPr>
        <w:t>ród nich</w:t>
      </w:r>
      <w:r w:rsidRPr="009021D3">
        <w:rPr>
          <w:b w:val="0"/>
        </w:rPr>
        <w:t xml:space="preserve"> </w:t>
      </w:r>
      <w:r w:rsidR="004C2C80" w:rsidRPr="009021D3">
        <w:rPr>
          <w:b w:val="0"/>
        </w:rPr>
        <w:t>przeważały</w:t>
      </w:r>
      <w:r w:rsidRPr="009021D3">
        <w:rPr>
          <w:b w:val="0"/>
        </w:rPr>
        <w:t xml:space="preserve"> </w:t>
      </w:r>
      <w:r w:rsidR="004C2C80" w:rsidRPr="009021D3">
        <w:rPr>
          <w:b w:val="0"/>
        </w:rPr>
        <w:t>wydatki</w:t>
      </w:r>
      <w:r w:rsidRPr="009021D3">
        <w:rPr>
          <w:b w:val="0"/>
        </w:rPr>
        <w:t xml:space="preserve"> związane z zakupem ciągników</w:t>
      </w:r>
      <w:r w:rsidR="004C2C80" w:rsidRPr="009021D3">
        <w:rPr>
          <w:b w:val="0"/>
        </w:rPr>
        <w:t>, urządzeń i maszyn rolniczych</w:t>
      </w:r>
      <w:r w:rsidR="00507D32" w:rsidRPr="009021D3">
        <w:rPr>
          <w:b w:val="0"/>
        </w:rPr>
        <w:t>.</w:t>
      </w:r>
    </w:p>
    <w:p w14:paraId="2D889633" w14:textId="46FE598F" w:rsidR="00A07FB6" w:rsidRPr="00EA2BF4" w:rsidRDefault="00BE29A1" w:rsidP="009021D3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9021D3">
        <w:rPr>
          <w:rFonts w:ascii="Fira Sans" w:hAnsi="Fira Sans"/>
          <w:spacing w:val="-2"/>
          <w:sz w:val="19"/>
          <w:szCs w:val="19"/>
        </w:rPr>
        <w:t>Wzrost wydatków inwestycyjnych w ciągu ostatnich 12 miesięcy wskazało 57,1% ogółu gospodarstw, 33,7% odpowiedziało</w:t>
      </w:r>
      <w:r w:rsidR="00507D32" w:rsidRPr="009021D3">
        <w:rPr>
          <w:rFonts w:ascii="Fira Sans" w:hAnsi="Fira Sans"/>
          <w:spacing w:val="-2"/>
          <w:sz w:val="19"/>
          <w:szCs w:val="19"/>
        </w:rPr>
        <w:t>,</w:t>
      </w:r>
      <w:r w:rsidRPr="009021D3">
        <w:rPr>
          <w:rFonts w:ascii="Fira Sans" w:hAnsi="Fira Sans"/>
          <w:spacing w:val="-2"/>
          <w:sz w:val="19"/>
          <w:szCs w:val="19"/>
        </w:rPr>
        <w:t xml:space="preserve"> że ich inwestycje pozostały bez zmian</w:t>
      </w:r>
      <w:r w:rsidR="00507D32" w:rsidRPr="009021D3">
        <w:rPr>
          <w:rFonts w:ascii="Fira Sans" w:hAnsi="Fira Sans"/>
          <w:spacing w:val="-2"/>
          <w:sz w:val="19"/>
          <w:szCs w:val="19"/>
        </w:rPr>
        <w:t>. N</w:t>
      </w:r>
      <w:r w:rsidRPr="009021D3">
        <w:rPr>
          <w:rFonts w:ascii="Fira Sans" w:hAnsi="Fira Sans"/>
          <w:spacing w:val="-2"/>
          <w:sz w:val="19"/>
          <w:szCs w:val="19"/>
        </w:rPr>
        <w:t xml:space="preserve">atomiast 9,2% uznało, że ich wydatki inwestycyjne uległy zmniejszeniu. </w:t>
      </w:r>
      <w:r w:rsidR="005F3E6C" w:rsidRPr="009021D3">
        <w:rPr>
          <w:rFonts w:ascii="Fira Sans" w:hAnsi="Fira Sans"/>
          <w:spacing w:val="-2"/>
          <w:sz w:val="19"/>
          <w:szCs w:val="19"/>
        </w:rPr>
        <w:t>Zgodnie z deklaracjami tych samych gospodarstw inwestycje w najbliższych 12 miesiącach zmniejszą się o 2,7 p.</w:t>
      </w:r>
      <w:r w:rsidR="00650B67" w:rsidRPr="009021D3">
        <w:rPr>
          <w:rFonts w:ascii="Fira Sans" w:hAnsi="Fira Sans"/>
          <w:spacing w:val="-2"/>
          <w:sz w:val="19"/>
          <w:szCs w:val="19"/>
        </w:rPr>
        <w:t xml:space="preserve"> </w:t>
      </w:r>
      <w:r w:rsidR="005F3E6C" w:rsidRPr="009021D3">
        <w:rPr>
          <w:rFonts w:ascii="Fira Sans" w:hAnsi="Fira Sans"/>
          <w:spacing w:val="-2"/>
          <w:sz w:val="19"/>
          <w:szCs w:val="19"/>
        </w:rPr>
        <w:t>proc.</w:t>
      </w:r>
    </w:p>
    <w:p w14:paraId="37AC33E2" w14:textId="77777777" w:rsidR="0027088D" w:rsidRPr="00832552" w:rsidRDefault="0027088D" w:rsidP="00EA2BF4">
      <w:pPr>
        <w:spacing w:before="240" w:after="120"/>
        <w:rPr>
          <w:rFonts w:ascii="Fira Sans" w:hAnsi="Fira Sans"/>
          <w:b/>
          <w:sz w:val="19"/>
          <w:szCs w:val="19"/>
        </w:rPr>
      </w:pPr>
      <w:r w:rsidRPr="00832552">
        <w:rPr>
          <w:rFonts w:ascii="Fira Sans" w:hAnsi="Fira Sans"/>
          <w:b/>
          <w:sz w:val="19"/>
          <w:szCs w:val="19"/>
        </w:rPr>
        <w:t>Czynniki sprzyjające rozwojowi gospodarstw rolnych</w:t>
      </w:r>
    </w:p>
    <w:p w14:paraId="644F4023" w14:textId="2433CE91" w:rsidR="00563DC2" w:rsidRPr="00832552" w:rsidRDefault="00936692" w:rsidP="00832552">
      <w:pPr>
        <w:spacing w:before="120" w:after="120"/>
        <w:rPr>
          <w:rFonts w:ascii="Fira Sans" w:hAnsi="Fira Sans"/>
          <w:sz w:val="19"/>
          <w:szCs w:val="19"/>
        </w:rPr>
      </w:pPr>
      <w:r w:rsidRPr="00A811F0">
        <w:rPr>
          <w:rFonts w:ascii="Fira Sans" w:hAnsi="Fira Sans"/>
          <w:sz w:val="19"/>
          <w:szCs w:val="19"/>
        </w:rPr>
        <w:t xml:space="preserve">W 2022 r. </w:t>
      </w:r>
      <w:r w:rsidR="00665485" w:rsidRPr="00A811F0">
        <w:rPr>
          <w:rFonts w:ascii="Fira Sans" w:hAnsi="Fira Sans"/>
          <w:sz w:val="19"/>
          <w:szCs w:val="19"/>
        </w:rPr>
        <w:t>około 49% kierujący</w:t>
      </w:r>
      <w:r w:rsidRPr="00A811F0">
        <w:rPr>
          <w:rFonts w:ascii="Fira Sans" w:hAnsi="Fira Sans"/>
          <w:sz w:val="19"/>
          <w:szCs w:val="19"/>
        </w:rPr>
        <w:t xml:space="preserve"> gospodarstw</w:t>
      </w:r>
      <w:r w:rsidR="00665485" w:rsidRPr="00A811F0">
        <w:rPr>
          <w:rFonts w:ascii="Fira Sans" w:hAnsi="Fira Sans"/>
          <w:sz w:val="19"/>
          <w:szCs w:val="19"/>
        </w:rPr>
        <w:t>ami rolnymi wskaza</w:t>
      </w:r>
      <w:r w:rsidRPr="00A811F0">
        <w:rPr>
          <w:rFonts w:ascii="Fira Sans" w:hAnsi="Fira Sans"/>
          <w:sz w:val="19"/>
          <w:szCs w:val="19"/>
        </w:rPr>
        <w:t>li wsparcie unijne, analogicznie jak w latach poprzednich, jako najważniejszy czynnik sprzyjając</w:t>
      </w:r>
      <w:r w:rsidR="004B21A7" w:rsidRPr="00A811F0">
        <w:rPr>
          <w:rFonts w:ascii="Fira Sans" w:hAnsi="Fira Sans"/>
          <w:sz w:val="19"/>
          <w:szCs w:val="19"/>
        </w:rPr>
        <w:t>y rozwojowi gospodarstw rolnych.</w:t>
      </w:r>
      <w:r w:rsidR="00777FA8" w:rsidRPr="00832552">
        <w:rPr>
          <w:rFonts w:ascii="Fira Sans" w:hAnsi="Fira Sans"/>
          <w:sz w:val="19"/>
          <w:szCs w:val="19"/>
        </w:rPr>
        <w:t xml:space="preserve"> </w:t>
      </w:r>
    </w:p>
    <w:p w14:paraId="4F5C7327" w14:textId="77777777" w:rsidR="00BF2AF3" w:rsidRPr="00832552" w:rsidRDefault="00563DC2" w:rsidP="00832552">
      <w:pPr>
        <w:spacing w:before="120" w:after="120"/>
        <w:rPr>
          <w:rFonts w:ascii="Fira Sans" w:hAnsi="Fira Sans"/>
          <w:sz w:val="19"/>
          <w:szCs w:val="19"/>
        </w:rPr>
      </w:pPr>
      <w:r w:rsidRPr="00832552">
        <w:rPr>
          <w:rFonts w:ascii="Fira Sans" w:hAnsi="Fira Sans"/>
          <w:sz w:val="19"/>
          <w:szCs w:val="19"/>
        </w:rPr>
        <w:t xml:space="preserve">W opinii </w:t>
      </w:r>
      <w:r w:rsidR="004B21A7" w:rsidRPr="00832552">
        <w:rPr>
          <w:rFonts w:ascii="Fira Sans" w:hAnsi="Fira Sans"/>
          <w:sz w:val="19"/>
          <w:szCs w:val="19"/>
        </w:rPr>
        <w:t xml:space="preserve">43,1% respondentów </w:t>
      </w:r>
      <w:r w:rsidRPr="00832552">
        <w:rPr>
          <w:rFonts w:ascii="Fira Sans" w:hAnsi="Fira Sans"/>
          <w:sz w:val="19"/>
          <w:szCs w:val="19"/>
        </w:rPr>
        <w:t>nie wystąpiły żadne czynniki sprzyjające rozwojowi gospodarstw rolnych.</w:t>
      </w:r>
    </w:p>
    <w:p w14:paraId="28BA8359" w14:textId="3D9DFB4D" w:rsidR="00936692" w:rsidRPr="00832552" w:rsidRDefault="0027088D" w:rsidP="00832552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bookmarkStart w:id="1" w:name="_Hlk130852414"/>
      <w:r w:rsidRPr="00832552">
        <w:rPr>
          <w:rFonts w:ascii="Fira Sans" w:hAnsi="Fira Sans"/>
          <w:b/>
          <w:spacing w:val="-2"/>
          <w:sz w:val="19"/>
          <w:szCs w:val="19"/>
        </w:rPr>
        <w:t>Wykres 8</w:t>
      </w:r>
      <w:r w:rsidR="00936692" w:rsidRPr="00832552">
        <w:rPr>
          <w:rFonts w:ascii="Fira Sans" w:hAnsi="Fira Sans"/>
          <w:b/>
          <w:spacing w:val="-2"/>
          <w:sz w:val="19"/>
          <w:szCs w:val="19"/>
        </w:rPr>
        <w:t>.</w:t>
      </w:r>
      <w:r w:rsidR="00936692" w:rsidRPr="00832552">
        <w:rPr>
          <w:sz w:val="19"/>
          <w:szCs w:val="19"/>
        </w:rPr>
        <w:t xml:space="preserve"> </w:t>
      </w:r>
      <w:r w:rsidR="00936692" w:rsidRPr="00832552">
        <w:rPr>
          <w:rFonts w:ascii="Fira Sans" w:hAnsi="Fira Sans"/>
          <w:b/>
          <w:spacing w:val="-2"/>
          <w:sz w:val="19"/>
          <w:szCs w:val="19"/>
        </w:rPr>
        <w:t>Czynniki sprzyjające rozwojowi gospodarstwa ro</w:t>
      </w:r>
      <w:r w:rsidR="00BF2AF3" w:rsidRPr="00832552">
        <w:rPr>
          <w:rFonts w:ascii="Fira Sans" w:hAnsi="Fira Sans"/>
          <w:b/>
          <w:spacing w:val="-2"/>
          <w:sz w:val="19"/>
          <w:szCs w:val="19"/>
        </w:rPr>
        <w:t>lnego w</w:t>
      </w:r>
      <w:r w:rsidR="003A0E92">
        <w:rPr>
          <w:rFonts w:ascii="Fira Sans" w:hAnsi="Fira Sans"/>
          <w:b/>
          <w:spacing w:val="-2"/>
          <w:sz w:val="19"/>
          <w:szCs w:val="19"/>
        </w:rPr>
        <w:t xml:space="preserve"> ciągu</w:t>
      </w:r>
      <w:r w:rsidR="00BF2AF3" w:rsidRPr="00832552">
        <w:rPr>
          <w:rFonts w:ascii="Fira Sans" w:hAnsi="Fira Sans"/>
          <w:b/>
          <w:spacing w:val="-2"/>
          <w:sz w:val="19"/>
          <w:szCs w:val="19"/>
        </w:rPr>
        <w:t xml:space="preserve"> ostatnich </w:t>
      </w:r>
      <w:r w:rsidR="003A0E92">
        <w:rPr>
          <w:rFonts w:ascii="Fira Sans" w:hAnsi="Fira Sans"/>
          <w:b/>
          <w:spacing w:val="-2"/>
          <w:sz w:val="19"/>
          <w:szCs w:val="19"/>
        </w:rPr>
        <w:br/>
        <w:t>12 miesięcy</w:t>
      </w:r>
      <w:r w:rsidR="002E5495">
        <w:rPr>
          <w:rFonts w:ascii="Fira Sans" w:hAnsi="Fira Sans"/>
          <w:b/>
          <w:spacing w:val="-2"/>
          <w:sz w:val="19"/>
          <w:szCs w:val="19"/>
        </w:rPr>
        <w:t xml:space="preserve"> 2022 r.</w:t>
      </w:r>
    </w:p>
    <w:bookmarkEnd w:id="1"/>
    <w:p w14:paraId="164DC18E" w14:textId="77777777" w:rsidR="004B7812" w:rsidRPr="00BF2AF3" w:rsidRDefault="00E32C96" w:rsidP="00765532">
      <w:pPr>
        <w:spacing w:line="259" w:lineRule="auto"/>
        <w:rPr>
          <w:rFonts w:ascii="Fira Sans" w:hAnsi="Fira Sans"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2FA348CB" wp14:editId="7A4D9A91">
            <wp:extent cx="4914900" cy="2190750"/>
            <wp:effectExtent l="0" t="0" r="0" b="0"/>
            <wp:docPr id="14" name="Wykres 14" descr="Czynniki sprzyjające rozwojowi gospodarstwa rolnego w ciągu ostatnich 12 miesięcy 2022 r.&#10;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0071E5B" w14:textId="77777777" w:rsidR="0027088D" w:rsidRPr="0027088D" w:rsidRDefault="0027088D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  <w:r w:rsidRPr="0027088D">
        <w:rPr>
          <w:rFonts w:ascii="Fira Sans" w:hAnsi="Fira Sans"/>
          <w:b/>
          <w:spacing w:val="-2"/>
          <w:sz w:val="18"/>
        </w:rPr>
        <w:t xml:space="preserve">Czynniki </w:t>
      </w:r>
      <w:r>
        <w:rPr>
          <w:rFonts w:ascii="Fira Sans" w:hAnsi="Fira Sans"/>
          <w:b/>
          <w:spacing w:val="-2"/>
          <w:sz w:val="18"/>
        </w:rPr>
        <w:t>ograniczające rozwój</w:t>
      </w:r>
      <w:r w:rsidRPr="0027088D">
        <w:rPr>
          <w:rFonts w:ascii="Fira Sans" w:hAnsi="Fira Sans"/>
          <w:b/>
          <w:spacing w:val="-2"/>
          <w:sz w:val="18"/>
        </w:rPr>
        <w:t xml:space="preserve"> gospodarstw rolnych</w:t>
      </w:r>
    </w:p>
    <w:p w14:paraId="6C24649E" w14:textId="22ADFBF6" w:rsidR="00FD635D" w:rsidRPr="0025316F" w:rsidRDefault="00D22F17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A811F0">
        <w:rPr>
          <w:rFonts w:ascii="Fira Sans" w:hAnsi="Fira Sans"/>
          <w:spacing w:val="-2"/>
          <w:sz w:val="19"/>
          <w:szCs w:val="19"/>
        </w:rPr>
        <w:t xml:space="preserve">Bariery ograniczające rozwój gospodarstwa rolnego, z którymi zmagali się rolnicy w 2022 r. to zbyt wysokie koszty produkcji </w:t>
      </w:r>
      <w:r w:rsidR="0076662C" w:rsidRPr="00A811F0">
        <w:rPr>
          <w:rFonts w:ascii="Fira Sans" w:hAnsi="Fira Sans"/>
          <w:spacing w:val="-2"/>
          <w:sz w:val="19"/>
          <w:szCs w:val="19"/>
        </w:rPr>
        <w:t xml:space="preserve">(26,5%) </w:t>
      </w:r>
      <w:r w:rsidRPr="00A811F0">
        <w:rPr>
          <w:rFonts w:ascii="Fira Sans" w:hAnsi="Fira Sans"/>
          <w:spacing w:val="-2"/>
          <w:sz w:val="19"/>
          <w:szCs w:val="19"/>
        </w:rPr>
        <w:t>oraz zbyt niskie ceny zbytu</w:t>
      </w:r>
      <w:r w:rsidR="0076662C" w:rsidRPr="00A811F0">
        <w:rPr>
          <w:rFonts w:ascii="Fira Sans" w:hAnsi="Fira Sans"/>
          <w:spacing w:val="-2"/>
          <w:sz w:val="19"/>
          <w:szCs w:val="19"/>
        </w:rPr>
        <w:t xml:space="preserve"> (18,1%)</w:t>
      </w:r>
      <w:r w:rsidRPr="00A811F0">
        <w:rPr>
          <w:rFonts w:ascii="Fira Sans" w:hAnsi="Fira Sans"/>
          <w:spacing w:val="-2"/>
          <w:sz w:val="19"/>
          <w:szCs w:val="19"/>
        </w:rPr>
        <w:t>.</w:t>
      </w:r>
      <w:r w:rsidRPr="0025316F">
        <w:rPr>
          <w:rFonts w:ascii="Fira Sans" w:hAnsi="Fira Sans"/>
          <w:spacing w:val="-2"/>
          <w:sz w:val="19"/>
          <w:szCs w:val="19"/>
        </w:rPr>
        <w:t xml:space="preserve"> Pozostałe czynniki ograniczające wskazało 37,8% ogółu gospodarstw, w tym najczęściej wskazywane były niekorzystne warunki atmosferyczne.</w:t>
      </w:r>
    </w:p>
    <w:p w14:paraId="4B350040" w14:textId="70BE95CF" w:rsidR="00FD635D" w:rsidRPr="0025316F" w:rsidRDefault="0027088D" w:rsidP="00FD635D">
      <w:pPr>
        <w:spacing w:line="259" w:lineRule="auto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b/>
          <w:spacing w:val="-2"/>
          <w:sz w:val="19"/>
          <w:szCs w:val="19"/>
        </w:rPr>
        <w:t>Wykres 9</w:t>
      </w:r>
      <w:r w:rsidR="00FD635D" w:rsidRPr="0025316F">
        <w:rPr>
          <w:rFonts w:ascii="Fira Sans" w:hAnsi="Fira Sans"/>
          <w:b/>
          <w:spacing w:val="-2"/>
          <w:sz w:val="19"/>
          <w:szCs w:val="19"/>
        </w:rPr>
        <w:t>.</w:t>
      </w:r>
      <w:r w:rsidR="00FD635D" w:rsidRPr="0025316F">
        <w:rPr>
          <w:sz w:val="19"/>
          <w:szCs w:val="19"/>
        </w:rPr>
        <w:t xml:space="preserve"> </w:t>
      </w:r>
      <w:r w:rsidR="00FD635D" w:rsidRPr="0025316F">
        <w:rPr>
          <w:rFonts w:ascii="Fira Sans" w:hAnsi="Fira Sans"/>
          <w:b/>
          <w:spacing w:val="-2"/>
          <w:sz w:val="19"/>
          <w:szCs w:val="19"/>
        </w:rPr>
        <w:t xml:space="preserve">Czynniki ograniczające rozwój gospodarstwa rolnego w </w:t>
      </w:r>
      <w:r w:rsidR="003A0E92">
        <w:rPr>
          <w:rFonts w:ascii="Fira Sans" w:hAnsi="Fira Sans"/>
          <w:b/>
          <w:spacing w:val="-2"/>
          <w:sz w:val="19"/>
          <w:szCs w:val="19"/>
        </w:rPr>
        <w:t xml:space="preserve">ciągu </w:t>
      </w:r>
      <w:r w:rsidR="00FD635D" w:rsidRPr="0025316F">
        <w:rPr>
          <w:rFonts w:ascii="Fira Sans" w:hAnsi="Fira Sans"/>
          <w:b/>
          <w:spacing w:val="-2"/>
          <w:sz w:val="19"/>
          <w:szCs w:val="19"/>
        </w:rPr>
        <w:t xml:space="preserve">ostatnich </w:t>
      </w:r>
      <w:r w:rsidR="003A0E92">
        <w:rPr>
          <w:rFonts w:ascii="Fira Sans" w:hAnsi="Fira Sans"/>
          <w:b/>
          <w:spacing w:val="-2"/>
          <w:sz w:val="19"/>
          <w:szCs w:val="19"/>
        </w:rPr>
        <w:br/>
        <w:t>12 miesięcy</w:t>
      </w:r>
      <w:r w:rsidR="00885760">
        <w:rPr>
          <w:rFonts w:ascii="Fira Sans" w:hAnsi="Fira Sans"/>
          <w:b/>
          <w:spacing w:val="-2"/>
          <w:sz w:val="19"/>
          <w:szCs w:val="19"/>
        </w:rPr>
        <w:t xml:space="preserve"> 2022 r.</w:t>
      </w:r>
    </w:p>
    <w:p w14:paraId="204CE8B4" w14:textId="7B9A29C9" w:rsidR="003F102C" w:rsidRDefault="00E32C96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0EB1C4FB" wp14:editId="0E2F9DE5">
            <wp:extent cx="4867275" cy="2536825"/>
            <wp:effectExtent l="0" t="0" r="0" b="0"/>
            <wp:docPr id="11" name="Wykres 11" descr="Czynniki ograniczające rozwój gospodarstwa rolnego w ciągu ostatnich 12 miesięcy 2022 r&#10;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67CBF0F" w14:textId="77777777" w:rsidR="00765532" w:rsidRPr="0025316F" w:rsidRDefault="00765532" w:rsidP="00765532">
      <w:pPr>
        <w:spacing w:line="259" w:lineRule="auto"/>
        <w:rPr>
          <w:rFonts w:ascii="Fira Sans" w:hAnsi="Fira Sans"/>
          <w:b/>
          <w:spacing w:val="-2"/>
          <w:sz w:val="19"/>
          <w:szCs w:val="19"/>
        </w:rPr>
      </w:pPr>
      <w:r w:rsidRPr="0025316F">
        <w:rPr>
          <w:rFonts w:ascii="Fira Sans" w:hAnsi="Fira Sans"/>
          <w:b/>
          <w:spacing w:val="-2"/>
          <w:sz w:val="19"/>
          <w:szCs w:val="19"/>
        </w:rPr>
        <w:lastRenderedPageBreak/>
        <w:t>Wojna w Ukrainie</w:t>
      </w:r>
    </w:p>
    <w:p w14:paraId="0ABA8B94" w14:textId="77777777" w:rsidR="00765532" w:rsidRPr="0025316F" w:rsidRDefault="00C74257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spacing w:val="-2"/>
          <w:sz w:val="19"/>
          <w:szCs w:val="19"/>
        </w:rPr>
        <w:t xml:space="preserve">W </w:t>
      </w:r>
      <w:r w:rsidR="00B200FA" w:rsidRPr="0025316F">
        <w:rPr>
          <w:rFonts w:ascii="Fira Sans" w:hAnsi="Fira Sans"/>
          <w:spacing w:val="-2"/>
          <w:sz w:val="19"/>
          <w:szCs w:val="19"/>
        </w:rPr>
        <w:t>II półroczu</w:t>
      </w:r>
      <w:r w:rsidRPr="0025316F">
        <w:rPr>
          <w:rFonts w:ascii="Fira Sans" w:hAnsi="Fira Sans"/>
          <w:spacing w:val="-2"/>
          <w:sz w:val="19"/>
          <w:szCs w:val="19"/>
        </w:rPr>
        <w:t xml:space="preserve"> 2022 r. do ankiety badania koniunktury</w:t>
      </w:r>
      <w:r w:rsidR="006B708F" w:rsidRPr="0025316F">
        <w:rPr>
          <w:rFonts w:ascii="Fira Sans" w:hAnsi="Fira Sans"/>
          <w:spacing w:val="-2"/>
          <w:sz w:val="19"/>
          <w:szCs w:val="19"/>
        </w:rPr>
        <w:t xml:space="preserve"> w gospodarstwach rolnych dodano </w:t>
      </w:r>
      <w:r w:rsidRPr="0025316F">
        <w:rPr>
          <w:rFonts w:ascii="Fira Sans" w:hAnsi="Fira Sans"/>
          <w:spacing w:val="-2"/>
          <w:sz w:val="19"/>
          <w:szCs w:val="19"/>
        </w:rPr>
        <w:t>pytanie dotyczące wpływu wojny w Uk</w:t>
      </w:r>
      <w:r w:rsidR="00F76BFB" w:rsidRPr="0025316F">
        <w:rPr>
          <w:rFonts w:ascii="Fira Sans" w:hAnsi="Fira Sans"/>
          <w:spacing w:val="-2"/>
          <w:sz w:val="19"/>
          <w:szCs w:val="19"/>
        </w:rPr>
        <w:t>rainie na sytuację gospodarstw.</w:t>
      </w:r>
    </w:p>
    <w:p w14:paraId="6874BA6A" w14:textId="4759FFA8" w:rsidR="008B4591" w:rsidRPr="0025316F" w:rsidRDefault="00731E67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spacing w:val="-2"/>
          <w:sz w:val="19"/>
          <w:szCs w:val="19"/>
        </w:rPr>
        <w:t>Z przeprowadzonego badania</w:t>
      </w:r>
      <w:r w:rsidR="00BA6475" w:rsidRPr="0025316F">
        <w:rPr>
          <w:rFonts w:ascii="Fira Sans" w:hAnsi="Fira Sans"/>
          <w:spacing w:val="-2"/>
          <w:sz w:val="19"/>
          <w:szCs w:val="19"/>
        </w:rPr>
        <w:t xml:space="preserve"> wynikło</w:t>
      </w:r>
      <w:r w:rsidR="00F76BFB" w:rsidRPr="0025316F">
        <w:rPr>
          <w:rFonts w:ascii="Fira Sans" w:hAnsi="Fira Sans"/>
          <w:spacing w:val="-2"/>
          <w:sz w:val="19"/>
          <w:szCs w:val="19"/>
        </w:rPr>
        <w:t xml:space="preserve">, że </w:t>
      </w:r>
      <w:r w:rsidRPr="0025316F">
        <w:rPr>
          <w:rFonts w:ascii="Fira Sans" w:hAnsi="Fira Sans"/>
          <w:spacing w:val="-2"/>
          <w:sz w:val="19"/>
          <w:szCs w:val="19"/>
        </w:rPr>
        <w:t>ponad 24</w:t>
      </w:r>
      <w:r w:rsidR="00F76BFB" w:rsidRPr="0025316F">
        <w:rPr>
          <w:rFonts w:ascii="Fira Sans" w:hAnsi="Fira Sans"/>
          <w:spacing w:val="-2"/>
          <w:sz w:val="19"/>
          <w:szCs w:val="19"/>
        </w:rPr>
        <w:t xml:space="preserve">% </w:t>
      </w:r>
      <w:r w:rsidR="00BA6475" w:rsidRPr="0025316F">
        <w:rPr>
          <w:rFonts w:ascii="Fira Sans" w:hAnsi="Fira Sans"/>
          <w:spacing w:val="-2"/>
          <w:sz w:val="19"/>
          <w:szCs w:val="19"/>
        </w:rPr>
        <w:t>użytkowników gospodarstw rolnych</w:t>
      </w:r>
      <w:r w:rsidR="00F76BFB" w:rsidRPr="0025316F">
        <w:rPr>
          <w:rFonts w:ascii="Fira Sans" w:hAnsi="Fira Sans"/>
          <w:spacing w:val="-2"/>
          <w:sz w:val="19"/>
          <w:szCs w:val="19"/>
        </w:rPr>
        <w:t xml:space="preserve"> wskazało wojnę w Ukrainie jako czynnik mający poważny wpływ na</w:t>
      </w:r>
      <w:r w:rsidR="008B4591" w:rsidRPr="0025316F">
        <w:rPr>
          <w:rFonts w:ascii="Fira Sans" w:hAnsi="Fira Sans"/>
          <w:spacing w:val="-2"/>
          <w:sz w:val="19"/>
          <w:szCs w:val="19"/>
        </w:rPr>
        <w:t xml:space="preserve"> funkcjonowanie ich gospodarstw, natomiast około 17% jako czynnik zagrażający stabilności gospodarstw rolnych.</w:t>
      </w:r>
    </w:p>
    <w:p w14:paraId="6085DAB2" w14:textId="58C4DDD5" w:rsidR="00B35DDE" w:rsidRPr="0025316F" w:rsidRDefault="00B35DDE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spacing w:val="-2"/>
          <w:sz w:val="19"/>
          <w:szCs w:val="19"/>
        </w:rPr>
        <w:t xml:space="preserve">Około 32% kierujących gospodarstwami rolnymi powyżej 30 ha uznało, że wojna </w:t>
      </w:r>
      <w:r w:rsidR="00B350A0" w:rsidRPr="0025316F">
        <w:rPr>
          <w:rFonts w:ascii="Fira Sans" w:hAnsi="Fira Sans"/>
          <w:spacing w:val="-2"/>
          <w:sz w:val="19"/>
          <w:szCs w:val="19"/>
        </w:rPr>
        <w:t xml:space="preserve">w Ukrainie </w:t>
      </w:r>
      <w:r w:rsidRPr="0025316F">
        <w:rPr>
          <w:rFonts w:ascii="Fira Sans" w:hAnsi="Fira Sans"/>
          <w:spacing w:val="-2"/>
          <w:sz w:val="19"/>
          <w:szCs w:val="19"/>
        </w:rPr>
        <w:t>ma poważny wpływ</w:t>
      </w:r>
      <w:r w:rsidR="00B350A0" w:rsidRPr="0025316F">
        <w:rPr>
          <w:rFonts w:ascii="Fira Sans" w:hAnsi="Fira Sans"/>
          <w:spacing w:val="-2"/>
          <w:sz w:val="19"/>
          <w:szCs w:val="19"/>
        </w:rPr>
        <w:t xml:space="preserve"> na funkcjonowanie gospodarstw rolnych</w:t>
      </w:r>
      <w:r w:rsidR="00E815DD" w:rsidRPr="0025316F">
        <w:rPr>
          <w:rFonts w:ascii="Fira Sans" w:hAnsi="Fira Sans"/>
          <w:spacing w:val="-2"/>
          <w:sz w:val="19"/>
          <w:szCs w:val="19"/>
        </w:rPr>
        <w:t>,</w:t>
      </w:r>
      <w:r w:rsidR="00B350A0" w:rsidRPr="0025316F">
        <w:rPr>
          <w:rFonts w:ascii="Fira Sans" w:hAnsi="Fira Sans"/>
          <w:spacing w:val="-2"/>
          <w:sz w:val="19"/>
          <w:szCs w:val="19"/>
        </w:rPr>
        <w:t xml:space="preserve"> </w:t>
      </w:r>
      <w:r w:rsidR="00E815DD" w:rsidRPr="0025316F">
        <w:rPr>
          <w:rFonts w:ascii="Fira Sans" w:hAnsi="Fira Sans"/>
          <w:spacing w:val="-2"/>
          <w:sz w:val="19"/>
          <w:szCs w:val="19"/>
        </w:rPr>
        <w:t>n</w:t>
      </w:r>
      <w:r w:rsidRPr="0025316F">
        <w:rPr>
          <w:rFonts w:ascii="Fira Sans" w:hAnsi="Fira Sans"/>
          <w:spacing w:val="-2"/>
          <w:sz w:val="19"/>
          <w:szCs w:val="19"/>
        </w:rPr>
        <w:t>atomiast około 24% wskazało</w:t>
      </w:r>
      <w:r w:rsidR="00B350A0" w:rsidRPr="0025316F">
        <w:rPr>
          <w:rFonts w:ascii="Fira Sans" w:hAnsi="Fira Sans"/>
          <w:spacing w:val="-2"/>
          <w:sz w:val="19"/>
          <w:szCs w:val="19"/>
        </w:rPr>
        <w:t>,</w:t>
      </w:r>
      <w:r w:rsidRPr="0025316F">
        <w:rPr>
          <w:rFonts w:ascii="Fira Sans" w:hAnsi="Fira Sans"/>
          <w:spacing w:val="-2"/>
          <w:sz w:val="19"/>
          <w:szCs w:val="19"/>
        </w:rPr>
        <w:t xml:space="preserve"> że zagraża stabilności.</w:t>
      </w:r>
    </w:p>
    <w:p w14:paraId="7D5526AB" w14:textId="77777777" w:rsidR="004B7812" w:rsidRPr="0025316F" w:rsidRDefault="00650B67" w:rsidP="0025316F">
      <w:pPr>
        <w:spacing w:before="120" w:after="120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spacing w:val="-2"/>
          <w:sz w:val="19"/>
          <w:szCs w:val="19"/>
        </w:rPr>
        <w:t>B</w:t>
      </w:r>
      <w:r w:rsidR="004B7812" w:rsidRPr="0025316F">
        <w:rPr>
          <w:rFonts w:ascii="Fira Sans" w:hAnsi="Fira Sans"/>
          <w:spacing w:val="-2"/>
          <w:sz w:val="19"/>
          <w:szCs w:val="19"/>
        </w:rPr>
        <w:t xml:space="preserve">rak negatywnych skutków wojny w Ukrainie </w:t>
      </w:r>
      <w:r w:rsidRPr="0025316F">
        <w:rPr>
          <w:rFonts w:ascii="Fira Sans" w:hAnsi="Fira Sans"/>
          <w:spacing w:val="-2"/>
          <w:sz w:val="19"/>
          <w:szCs w:val="19"/>
        </w:rPr>
        <w:t>(o</w:t>
      </w:r>
      <w:r w:rsidR="00D43133" w:rsidRPr="0025316F">
        <w:rPr>
          <w:rFonts w:ascii="Fira Sans" w:hAnsi="Fira Sans"/>
          <w:spacing w:val="-2"/>
          <w:sz w:val="19"/>
          <w:szCs w:val="19"/>
        </w:rPr>
        <w:t>koło 35%) najczęściej wskazali rolnicy posiadający gospodarstwa</w:t>
      </w:r>
      <w:r w:rsidRPr="0025316F">
        <w:rPr>
          <w:rFonts w:ascii="Fira Sans" w:hAnsi="Fira Sans"/>
          <w:spacing w:val="-2"/>
          <w:sz w:val="19"/>
          <w:szCs w:val="19"/>
        </w:rPr>
        <w:t xml:space="preserve"> o powierzchni poniżej 5 ha.</w:t>
      </w:r>
    </w:p>
    <w:p w14:paraId="46B96269" w14:textId="7F58860E" w:rsidR="00664332" w:rsidRPr="0025316F" w:rsidRDefault="00891A64" w:rsidP="00765532">
      <w:pPr>
        <w:spacing w:line="259" w:lineRule="auto"/>
        <w:rPr>
          <w:rFonts w:ascii="Fira Sans" w:hAnsi="Fira Sans"/>
          <w:spacing w:val="-2"/>
          <w:sz w:val="19"/>
          <w:szCs w:val="19"/>
        </w:rPr>
      </w:pPr>
      <w:r w:rsidRPr="0025316F">
        <w:rPr>
          <w:rFonts w:ascii="Fira Sans" w:hAnsi="Fira Sans"/>
          <w:b/>
          <w:spacing w:val="-2"/>
          <w:sz w:val="19"/>
          <w:szCs w:val="19"/>
        </w:rPr>
        <w:t>Wykres 10</w:t>
      </w:r>
      <w:r w:rsidR="00664332" w:rsidRPr="0025316F">
        <w:rPr>
          <w:rFonts w:ascii="Fira Sans" w:hAnsi="Fira Sans"/>
          <w:b/>
          <w:spacing w:val="-2"/>
          <w:sz w:val="19"/>
          <w:szCs w:val="19"/>
        </w:rPr>
        <w:t>.</w:t>
      </w:r>
      <w:r w:rsidR="00664332" w:rsidRPr="0025316F">
        <w:rPr>
          <w:sz w:val="19"/>
          <w:szCs w:val="19"/>
        </w:rPr>
        <w:t xml:space="preserve"> </w:t>
      </w:r>
      <w:r w:rsidR="00664332" w:rsidRPr="0025316F">
        <w:rPr>
          <w:rFonts w:ascii="Fira Sans" w:hAnsi="Fira Sans"/>
          <w:b/>
          <w:spacing w:val="-2"/>
          <w:sz w:val="19"/>
          <w:szCs w:val="19"/>
        </w:rPr>
        <w:t>Wpływ wojny w Ukrainie na gospodar</w:t>
      </w:r>
      <w:r w:rsidR="00BF2AF3" w:rsidRPr="0025316F">
        <w:rPr>
          <w:rFonts w:ascii="Fira Sans" w:hAnsi="Fira Sans"/>
          <w:b/>
          <w:spacing w:val="-2"/>
          <w:sz w:val="19"/>
          <w:szCs w:val="19"/>
        </w:rPr>
        <w:t>stwa rolne w II półroczu 2022 r</w:t>
      </w:r>
      <w:r w:rsidR="001A784D">
        <w:rPr>
          <w:rFonts w:ascii="Fira Sans" w:hAnsi="Fira Sans"/>
          <w:b/>
          <w:spacing w:val="-2"/>
          <w:sz w:val="19"/>
          <w:szCs w:val="19"/>
        </w:rPr>
        <w:t>. według grup obszarowych użytków rolnych</w:t>
      </w:r>
    </w:p>
    <w:p w14:paraId="51012C63" w14:textId="77777777" w:rsidR="00765532" w:rsidRDefault="00A2281C" w:rsidP="00765532">
      <w:pPr>
        <w:spacing w:line="259" w:lineRule="auto"/>
        <w:rPr>
          <w:rFonts w:ascii="Fira Sans" w:hAnsi="Fira Sans"/>
          <w:b/>
          <w:spacing w:val="-2"/>
          <w:sz w:val="18"/>
        </w:rPr>
      </w:pPr>
      <w:r>
        <w:rPr>
          <w:noProof/>
          <w:lang w:eastAsia="pl-PL"/>
        </w:rPr>
        <w:drawing>
          <wp:inline distT="0" distB="0" distL="0" distR="0" wp14:anchorId="79F57DA5" wp14:editId="71A24C14">
            <wp:extent cx="4952365" cy="2686050"/>
            <wp:effectExtent l="0" t="0" r="635" b="0"/>
            <wp:docPr id="19" name="Wykres 19" descr="Wpływ wojny w Ukrainie na gospodarstwa rolne &#10;w II półroczu 2022 r. według grup obszarowych użytków rolnych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7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510AE6D" w14:textId="77777777" w:rsidR="007A59DF" w:rsidRPr="008E7EDE" w:rsidRDefault="00A0171D" w:rsidP="008E7EDE">
      <w:pPr>
        <w:spacing w:line="259" w:lineRule="auto"/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sectPr w:rsidR="007A59DF" w:rsidRPr="008E7EDE" w:rsidSect="00E637E4">
          <w:type w:val="continuous"/>
          <w:pgSz w:w="11906" w:h="16838" w:code="9"/>
          <w:pgMar w:top="720" w:right="3119" w:bottom="142" w:left="720" w:header="284" w:footer="284" w:gutter="0"/>
          <w:cols w:space="708"/>
          <w:titlePg/>
          <w:docGrid w:linePitch="360"/>
        </w:sectPr>
      </w:pPr>
      <w: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br w:type="page"/>
      </w:r>
    </w:p>
    <w:tbl>
      <w:tblPr>
        <w:tblStyle w:val="Tabela-Siatka1"/>
        <w:tblW w:w="992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5001"/>
      </w:tblGrid>
      <w:tr w:rsidR="00FF0DFB" w:rsidRPr="00E31060" w14:paraId="7EAB7CE6" w14:textId="77777777" w:rsidTr="003B6FFA">
        <w:trPr>
          <w:trHeight w:val="1626"/>
        </w:trPr>
        <w:tc>
          <w:tcPr>
            <w:tcW w:w="4926" w:type="dxa"/>
          </w:tcPr>
          <w:p w14:paraId="5C006AFB" w14:textId="77777777" w:rsidR="00FF0DFB" w:rsidRPr="00E31060" w:rsidRDefault="00FF0DFB" w:rsidP="003B6FFA">
            <w:pPr>
              <w:spacing w:line="276" w:lineRule="auto"/>
              <w:rPr>
                <w:rFonts w:ascii="Fira Sans" w:eastAsia="Calibri" w:hAnsi="Fira Sans" w:cs="Arial"/>
                <w:sz w:val="20"/>
              </w:rPr>
            </w:pPr>
            <w:r w:rsidRPr="00E31060">
              <w:rPr>
                <w:rFonts w:ascii="Fira Sans" w:eastAsia="Calibri" w:hAnsi="Fira Sans" w:cs="Arial"/>
                <w:sz w:val="20"/>
              </w:rPr>
              <w:lastRenderedPageBreak/>
              <w:t>Opracowanie merytoryczne:</w:t>
            </w:r>
          </w:p>
          <w:p w14:paraId="171501CB" w14:textId="77777777" w:rsidR="00FF0DFB" w:rsidRPr="00E31060" w:rsidRDefault="00FF0DFB" w:rsidP="003B6FFA">
            <w:pPr>
              <w:spacing w:after="120" w:line="276" w:lineRule="auto"/>
              <w:rPr>
                <w:rFonts w:ascii="Fira Sans" w:eastAsia="Calibri" w:hAnsi="Fira Sans" w:cs="Arial"/>
                <w:b/>
                <w:color w:val="000000"/>
                <w:sz w:val="20"/>
              </w:rPr>
            </w:pPr>
            <w:r w:rsidRPr="00E31060">
              <w:rPr>
                <w:rFonts w:ascii="Fira Sans" w:eastAsia="Calibri" w:hAnsi="Fira Sans" w:cs="Arial"/>
                <w:b/>
                <w:sz w:val="20"/>
              </w:rPr>
              <w:t>Urząd Statystyczny w Zielonej Górze</w:t>
            </w:r>
          </w:p>
          <w:p w14:paraId="1BF27DB9" w14:textId="77777777" w:rsidR="00FF0DFB" w:rsidRPr="00E31060" w:rsidRDefault="00FF0DFB" w:rsidP="003B6FFA">
            <w:pPr>
              <w:spacing w:line="276" w:lineRule="auto"/>
              <w:rPr>
                <w:rFonts w:ascii="Fira Sans" w:eastAsia="Calibri" w:hAnsi="Fira Sans" w:cs="Times New Roman"/>
                <w:b/>
                <w:sz w:val="19"/>
                <w:lang w:val="fi-FI"/>
              </w:rPr>
            </w:pPr>
            <w:r w:rsidRPr="00E31060">
              <w:rPr>
                <w:rFonts w:ascii="Fira Sans" w:eastAsia="Calibri" w:hAnsi="Fira Sans" w:cs="Times New Roman"/>
                <w:b/>
                <w:sz w:val="19"/>
                <w:lang w:val="fi-FI"/>
              </w:rPr>
              <w:t>Dyrektor Roman Fedak</w:t>
            </w:r>
          </w:p>
          <w:p w14:paraId="40CDE5CB" w14:textId="77777777" w:rsidR="00FF0DFB" w:rsidRPr="00E31060" w:rsidRDefault="00FF0DFB" w:rsidP="003B6FFA">
            <w:pPr>
              <w:keepNext/>
              <w:keepLines/>
              <w:spacing w:after="120" w:line="240" w:lineRule="auto"/>
              <w:outlineLvl w:val="2"/>
              <w:rPr>
                <w:rFonts w:ascii="Fira Sans" w:eastAsia="Times New Roman" w:hAnsi="Fira Sans" w:cs="Arial"/>
                <w:color w:val="000000"/>
                <w:sz w:val="20"/>
                <w:szCs w:val="24"/>
                <w:lang w:val="fi-FI"/>
              </w:rPr>
            </w:pPr>
            <w:r w:rsidRPr="00E31060">
              <w:rPr>
                <w:rFonts w:ascii="Fira Sans" w:eastAsia="Times New Roman" w:hAnsi="Fira Sans" w:cs="Arial"/>
                <w:color w:val="000000"/>
                <w:sz w:val="20"/>
                <w:szCs w:val="24"/>
                <w:lang w:val="fi-FI"/>
              </w:rPr>
              <w:t>Tel: 68 322 31 12</w:t>
            </w:r>
          </w:p>
        </w:tc>
        <w:tc>
          <w:tcPr>
            <w:tcW w:w="5001" w:type="dxa"/>
          </w:tcPr>
          <w:p w14:paraId="35F57071" w14:textId="77777777" w:rsidR="00FF0DFB" w:rsidRPr="00E31060" w:rsidRDefault="00FF0DFB" w:rsidP="003B6FFA">
            <w:pPr>
              <w:spacing w:after="120" w:line="276" w:lineRule="auto"/>
              <w:rPr>
                <w:rFonts w:ascii="Fira Sans" w:eastAsia="Calibri" w:hAnsi="Fira Sans" w:cs="Arial"/>
                <w:b/>
                <w:sz w:val="20"/>
              </w:rPr>
            </w:pPr>
            <w:r w:rsidRPr="00E31060">
              <w:rPr>
                <w:rFonts w:ascii="Fira Sans" w:eastAsia="Calibri" w:hAnsi="Fira Sans" w:cs="Arial"/>
                <w:sz w:val="20"/>
              </w:rPr>
              <w:t>Rozpowszechnianie:</w:t>
            </w:r>
            <w:r w:rsidRPr="00E31060">
              <w:rPr>
                <w:rFonts w:ascii="Fira Sans" w:eastAsia="Calibri" w:hAnsi="Fira Sans" w:cs="Arial"/>
                <w:sz w:val="20"/>
              </w:rPr>
              <w:br/>
            </w:r>
            <w:r w:rsidRPr="00E31060">
              <w:rPr>
                <w:rFonts w:ascii="Fira Sans" w:eastAsia="Calibri" w:hAnsi="Fira Sans" w:cs="Arial"/>
                <w:b/>
                <w:sz w:val="20"/>
              </w:rPr>
              <w:t>Rzecznik Prasowy Prezesa GUS</w:t>
            </w:r>
          </w:p>
          <w:p w14:paraId="23E774C5" w14:textId="77777777" w:rsidR="00FF0DFB" w:rsidRPr="00E31060" w:rsidRDefault="00FF0DFB" w:rsidP="003B6FFA">
            <w:pPr>
              <w:keepNext/>
              <w:keepLines/>
              <w:spacing w:line="240" w:lineRule="auto"/>
              <w:outlineLvl w:val="2"/>
              <w:rPr>
                <w:rFonts w:ascii="Fira Sans" w:eastAsia="Times New Roman" w:hAnsi="Fira Sans" w:cs="Arial"/>
                <w:b/>
                <w:sz w:val="20"/>
                <w:szCs w:val="28"/>
              </w:rPr>
            </w:pPr>
            <w:r w:rsidRPr="00E31060">
              <w:rPr>
                <w:rFonts w:ascii="Fira Sans" w:eastAsia="Times New Roman" w:hAnsi="Fira Sans" w:cs="Arial"/>
                <w:b/>
                <w:sz w:val="20"/>
                <w:szCs w:val="28"/>
              </w:rPr>
              <w:t>Karolina Banaszek</w:t>
            </w:r>
          </w:p>
          <w:p w14:paraId="01777B9E" w14:textId="77777777" w:rsidR="00FF0DFB" w:rsidRPr="00E31060" w:rsidRDefault="00FF0DFB" w:rsidP="003B6FFA">
            <w:pPr>
              <w:keepNext/>
              <w:keepLines/>
              <w:spacing w:line="240" w:lineRule="auto"/>
              <w:outlineLvl w:val="2"/>
              <w:rPr>
                <w:rFonts w:ascii="Fira Sans" w:eastAsia="Times New Roman" w:hAnsi="Fira Sans" w:cs="Arial"/>
                <w:sz w:val="20"/>
                <w:szCs w:val="24"/>
                <w:lang w:val="fi-FI"/>
              </w:rPr>
            </w:pPr>
            <w:r w:rsidRPr="00E31060">
              <w:rPr>
                <w:rFonts w:ascii="Fira Sans" w:eastAsia="Times New Roman" w:hAnsi="Fira Sans" w:cs="Arial"/>
                <w:sz w:val="20"/>
                <w:szCs w:val="24"/>
                <w:lang w:val="fi-FI"/>
              </w:rPr>
              <w:t>Tel: 695 255 011</w:t>
            </w:r>
          </w:p>
          <w:p w14:paraId="5FCE0BE7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sz w:val="18"/>
              </w:rPr>
            </w:pPr>
          </w:p>
        </w:tc>
      </w:tr>
      <w:tr w:rsidR="00FF0DFB" w:rsidRPr="00E31060" w14:paraId="3159D498" w14:textId="77777777" w:rsidTr="003B6FFA">
        <w:trPr>
          <w:trHeight w:val="418"/>
        </w:trPr>
        <w:tc>
          <w:tcPr>
            <w:tcW w:w="4926" w:type="dxa"/>
            <w:vMerge w:val="restart"/>
          </w:tcPr>
          <w:p w14:paraId="13E38303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  <w:r w:rsidRPr="00E31060">
              <w:rPr>
                <w:rFonts w:ascii="Fira Sans" w:eastAsia="Calibri" w:hAnsi="Fira Sans" w:cs="Times New Roman"/>
                <w:b/>
                <w:sz w:val="20"/>
              </w:rPr>
              <w:t xml:space="preserve">Wydział Współpracy z Mediami </w:t>
            </w:r>
          </w:p>
          <w:p w14:paraId="1A25BC85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sz w:val="20"/>
              </w:rPr>
              <w:t xml:space="preserve">Tel: 22 608 38 04 </w:t>
            </w:r>
          </w:p>
          <w:p w14:paraId="34BDF729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sz w:val="18"/>
                <w:lang w:val="en-US"/>
              </w:rPr>
            </w:pPr>
            <w:r w:rsidRPr="00E31060">
              <w:rPr>
                <w:rFonts w:ascii="Fira Sans" w:eastAsia="Calibri" w:hAnsi="Fira Sans" w:cs="Times New Roman"/>
                <w:b/>
                <w:sz w:val="20"/>
                <w:lang w:val="en-GB"/>
              </w:rPr>
              <w:t>e-mail:</w:t>
            </w:r>
            <w:r w:rsidRPr="00E31060">
              <w:rPr>
                <w:rFonts w:ascii="Fira Sans" w:eastAsia="Calibri" w:hAnsi="Fira Sans" w:cs="Times New Roman"/>
                <w:sz w:val="20"/>
                <w:lang w:val="en-GB"/>
              </w:rPr>
              <w:t xml:space="preserve"> </w:t>
            </w:r>
            <w:hyperlink r:id="rId22" w:history="1">
              <w:r w:rsidRPr="00E31060">
                <w:rPr>
                  <w:rFonts w:ascii="Fira Sans" w:eastAsia="Times New Roman" w:hAnsi="Fira Sans" w:cs="Arial"/>
                  <w:b/>
                  <w:sz w:val="20"/>
                  <w:szCs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5001" w:type="dxa"/>
            <w:vAlign w:val="center"/>
          </w:tcPr>
          <w:p w14:paraId="76BFA640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18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0000" behindDoc="0" locked="0" layoutInCell="1" allowOverlap="1" wp14:anchorId="54A745F6" wp14:editId="3033D5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www.stat.gov.pl</w:t>
            </w:r>
          </w:p>
        </w:tc>
      </w:tr>
      <w:tr w:rsidR="00FF0DFB" w:rsidRPr="00E31060" w14:paraId="0D47AD07" w14:textId="77777777" w:rsidTr="003B6FFA">
        <w:trPr>
          <w:trHeight w:val="418"/>
        </w:trPr>
        <w:tc>
          <w:tcPr>
            <w:tcW w:w="4926" w:type="dxa"/>
            <w:vMerge/>
          </w:tcPr>
          <w:p w14:paraId="5E3DA20F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  <w:vAlign w:val="center"/>
          </w:tcPr>
          <w:p w14:paraId="7D7F074A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18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1024" behindDoc="0" locked="0" layoutInCell="1" allowOverlap="1" wp14:anchorId="4F9CB384" wp14:editId="499FBD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@GUS_STAT</w:t>
            </w:r>
          </w:p>
        </w:tc>
      </w:tr>
      <w:tr w:rsidR="00FF0DFB" w:rsidRPr="00E31060" w14:paraId="7F22BD85" w14:textId="77777777" w:rsidTr="003B6FFA">
        <w:trPr>
          <w:trHeight w:val="476"/>
        </w:trPr>
        <w:tc>
          <w:tcPr>
            <w:tcW w:w="4926" w:type="dxa"/>
            <w:vMerge/>
          </w:tcPr>
          <w:p w14:paraId="11C5A4DC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6652520E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18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2048" behindDoc="0" locked="0" layoutInCell="1" allowOverlap="1" wp14:anchorId="103D4157" wp14:editId="19005AC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@GlownyUrzadStatystyczny</w:t>
            </w:r>
          </w:p>
        </w:tc>
      </w:tr>
      <w:tr w:rsidR="00FF0DFB" w:rsidRPr="00E31060" w14:paraId="633355AA" w14:textId="77777777" w:rsidTr="003B6FFA">
        <w:trPr>
          <w:trHeight w:val="476"/>
        </w:trPr>
        <w:tc>
          <w:tcPr>
            <w:tcW w:w="4926" w:type="dxa"/>
          </w:tcPr>
          <w:p w14:paraId="72CDA0BB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559C2B3B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3072" behindDoc="0" locked="0" layoutInCell="1" allowOverlap="1" wp14:anchorId="3DA68823" wp14:editId="38C1816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gus_stat</w:t>
            </w:r>
          </w:p>
        </w:tc>
      </w:tr>
      <w:tr w:rsidR="00FF0DFB" w:rsidRPr="00E31060" w14:paraId="3C0D0B91" w14:textId="77777777" w:rsidTr="003B6FFA">
        <w:trPr>
          <w:trHeight w:val="476"/>
        </w:trPr>
        <w:tc>
          <w:tcPr>
            <w:tcW w:w="4926" w:type="dxa"/>
          </w:tcPr>
          <w:p w14:paraId="436A55CA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616A09F6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4096" behindDoc="0" locked="0" layoutInCell="1" allowOverlap="1" wp14:anchorId="728D37D5" wp14:editId="2EA3DF2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" name="Obraz 2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31060">
              <w:rPr>
                <w:rFonts w:ascii="Fira Sans" w:eastAsia="Calibri" w:hAnsi="Fira Sans" w:cs="Times New Roman"/>
                <w:sz w:val="20"/>
              </w:rPr>
              <w:t>glownyurzadstatystycznygus</w:t>
            </w:r>
          </w:p>
        </w:tc>
      </w:tr>
      <w:tr w:rsidR="00FF0DFB" w:rsidRPr="00E31060" w14:paraId="2742CA34" w14:textId="77777777" w:rsidTr="003B6FFA">
        <w:trPr>
          <w:trHeight w:val="953"/>
        </w:trPr>
        <w:tc>
          <w:tcPr>
            <w:tcW w:w="4926" w:type="dxa"/>
          </w:tcPr>
          <w:p w14:paraId="5B81946A" w14:textId="77777777" w:rsidR="00FF0DFB" w:rsidRPr="00E31060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sz w:val="20"/>
              </w:rPr>
            </w:pPr>
          </w:p>
        </w:tc>
        <w:tc>
          <w:tcPr>
            <w:tcW w:w="5001" w:type="dxa"/>
          </w:tcPr>
          <w:p w14:paraId="15277F13" w14:textId="77777777" w:rsidR="00FF0DFB" w:rsidRPr="00E31060" w:rsidRDefault="00FF0DFB" w:rsidP="003B6FFA">
            <w:pPr>
              <w:spacing w:before="120" w:after="120"/>
              <w:ind w:firstLine="680"/>
              <w:rPr>
                <w:rFonts w:ascii="Fira Sans" w:eastAsia="Calibri" w:hAnsi="Fira Sans" w:cs="Times New Roman"/>
                <w:sz w:val="20"/>
              </w:rPr>
            </w:pP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t>glownyurzadstatystyczny</w:t>
            </w:r>
            <w:r w:rsidRPr="00E31060">
              <w:rPr>
                <w:rFonts w:ascii="Fira Sans" w:eastAsia="Calibri" w:hAnsi="Fira Sans" w:cs="Times New Roman"/>
                <w:noProof/>
                <w:sz w:val="20"/>
                <w:lang w:eastAsia="pl-PL"/>
              </w:rPr>
              <w:drawing>
                <wp:anchor distT="0" distB="0" distL="114300" distR="114300" simplePos="0" relativeHeight="252805120" behindDoc="0" locked="0" layoutInCell="1" allowOverlap="1" wp14:anchorId="5FB5209A" wp14:editId="42B0A5B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7" name="Obraz 1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F0DFB" w:rsidRPr="00E31060" w14:paraId="697786F3" w14:textId="77777777" w:rsidTr="003B6FFA">
        <w:trPr>
          <w:trHeight w:val="4114"/>
        </w:trPr>
        <w:tc>
          <w:tcPr>
            <w:tcW w:w="9927" w:type="dxa"/>
            <w:gridSpan w:val="2"/>
            <w:shd w:val="clear" w:color="auto" w:fill="D9D9D9"/>
          </w:tcPr>
          <w:p w14:paraId="4853FF9C" w14:textId="77777777" w:rsidR="00FF0DFB" w:rsidRPr="00E31060" w:rsidRDefault="00FF0DFB" w:rsidP="003B6FFA">
            <w:pPr>
              <w:shd w:val="clear" w:color="auto" w:fill="D9D9D9"/>
              <w:spacing w:before="120" w:after="120"/>
              <w:rPr>
                <w:rFonts w:ascii="Fira Sans" w:eastAsia="Calibri" w:hAnsi="Fira Sans" w:cs="Times New Roman"/>
                <w:b/>
                <w:sz w:val="19"/>
              </w:rPr>
            </w:pPr>
            <w:r w:rsidRPr="00E31060">
              <w:rPr>
                <w:rFonts w:ascii="Fira Sans" w:eastAsia="Calibri" w:hAnsi="Fira Sans" w:cs="Times New Roman"/>
                <w:b/>
                <w:sz w:val="19"/>
              </w:rPr>
              <w:t>Powiązane opracowania</w:t>
            </w:r>
          </w:p>
          <w:p w14:paraId="5981F1E4" w14:textId="77777777" w:rsidR="007C046A" w:rsidRPr="009E67BF" w:rsidRDefault="00901BC7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9"/>
                <w:szCs w:val="19"/>
              </w:rPr>
            </w:pPr>
            <w:hyperlink r:id="rId29" w:history="1">
              <w:r w:rsidR="007C046A" w:rsidRPr="009E67BF">
                <w:rPr>
                  <w:rFonts w:ascii="Fira Sans" w:eastAsia="Fira Sans Light" w:hAnsi="Fira Sans" w:cs="Times New Roman"/>
                  <w:color w:val="0000FF"/>
                  <w:sz w:val="19"/>
                  <w:szCs w:val="19"/>
                  <w:u w:val="single"/>
                </w:rPr>
                <w:t>Rolnictwo</w:t>
              </w:r>
            </w:hyperlink>
            <w:r w:rsidR="007C046A" w:rsidRPr="009E67BF">
              <w:rPr>
                <w:rFonts w:ascii="Fira Sans" w:eastAsia="Fira Sans Light" w:hAnsi="Fira Sans" w:cs="Times New Roman"/>
                <w:color w:val="001D77"/>
                <w:sz w:val="19"/>
                <w:szCs w:val="19"/>
              </w:rPr>
              <w:t xml:space="preserve"> </w:t>
            </w:r>
          </w:p>
          <w:p w14:paraId="69299915" w14:textId="77777777" w:rsidR="007C046A" w:rsidRPr="007C046A" w:rsidRDefault="00901BC7" w:rsidP="007C046A">
            <w:pPr>
              <w:spacing w:before="120" w:after="120"/>
              <w:rPr>
                <w:rFonts w:ascii="Fira Sans" w:eastAsia="Calibri" w:hAnsi="Fira Sans" w:cs="Times New Roman"/>
                <w:sz w:val="19"/>
              </w:rPr>
            </w:pPr>
            <w:hyperlink r:id="rId30" w:history="1">
              <w:r w:rsidR="007C046A" w:rsidRPr="007C046A">
                <w:rPr>
                  <w:rFonts w:ascii="Fira Sans" w:eastAsia="Calibri" w:hAnsi="Fira Sans" w:cs="Times New Roman"/>
                  <w:color w:val="0000FF"/>
                  <w:sz w:val="19"/>
                  <w:u w:val="single"/>
                </w:rPr>
                <w:t>Koniunktura</w:t>
              </w:r>
            </w:hyperlink>
          </w:p>
          <w:p w14:paraId="7BE2B1FD" w14:textId="77777777" w:rsidR="007C046A" w:rsidRPr="007C046A" w:rsidRDefault="007C046A" w:rsidP="007C046A">
            <w:pPr>
              <w:spacing w:before="120" w:after="120"/>
              <w:rPr>
                <w:rFonts w:ascii="Fira Sans" w:eastAsia="Calibri" w:hAnsi="Fira Sans" w:cs="Times New Roman"/>
                <w:sz w:val="19"/>
              </w:rPr>
            </w:pPr>
            <w:r w:rsidRPr="007C046A">
              <w:rPr>
                <w:rFonts w:ascii="Fira Sans" w:eastAsia="Calibri" w:hAnsi="Fira Sans" w:cs="Times New Roman"/>
                <w:sz w:val="19"/>
              </w:rPr>
              <w:t>Informacja sygnalna – opinie formułowane przez użytkowników gospodarstw indywidualnych oraz jednostki prawne i niemające osobowości prawnej</w:t>
            </w:r>
          </w:p>
          <w:p w14:paraId="42D31E50" w14:textId="77777777" w:rsidR="007C046A" w:rsidRPr="007C046A" w:rsidRDefault="007C046A" w:rsidP="007C046A">
            <w:pPr>
              <w:shd w:val="clear" w:color="auto" w:fill="D9D9D9"/>
              <w:spacing w:before="360" w:after="120"/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</w:pPr>
            <w:r w:rsidRPr="007C046A"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  <w:t>Ważniejsze pojęcia dostępne w słowniku</w:t>
            </w:r>
          </w:p>
          <w:p w14:paraId="383EB004" w14:textId="77777777" w:rsidR="007C046A" w:rsidRPr="007C046A" w:rsidRDefault="00901BC7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31" w:history="1">
              <w:r w:rsidR="007C046A"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Gospodarstwo rolne</w:t>
              </w:r>
            </w:hyperlink>
          </w:p>
          <w:p w14:paraId="57F351D5" w14:textId="77777777" w:rsidR="007C046A" w:rsidRPr="007C046A" w:rsidRDefault="00901BC7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32" w:history="1">
              <w:r w:rsidR="007C046A"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Działalność rolnicza</w:t>
              </w:r>
            </w:hyperlink>
          </w:p>
          <w:p w14:paraId="2C97440D" w14:textId="77777777" w:rsidR="007C046A" w:rsidRPr="007C046A" w:rsidRDefault="00901BC7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33" w:history="1">
              <w:r w:rsidR="007C046A"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Koniunktura</w:t>
              </w:r>
            </w:hyperlink>
          </w:p>
          <w:p w14:paraId="421A813C" w14:textId="77777777" w:rsidR="007C046A" w:rsidRPr="007C046A" w:rsidRDefault="00901BC7" w:rsidP="007C046A">
            <w:pPr>
              <w:spacing w:before="120" w:after="120"/>
              <w:rPr>
                <w:rFonts w:ascii="Fira Sans" w:eastAsia="Fira Sans Light" w:hAnsi="Fira Sans" w:cs="Times New Roman"/>
                <w:color w:val="001D77"/>
                <w:sz w:val="18"/>
                <w:szCs w:val="18"/>
              </w:rPr>
            </w:pPr>
            <w:hyperlink r:id="rId34" w:history="1">
              <w:r w:rsidR="007C046A" w:rsidRPr="007C046A">
                <w:rPr>
                  <w:rFonts w:ascii="Fira Sans" w:eastAsia="Fira Sans Light" w:hAnsi="Fira Sans" w:cs="Times New Roman"/>
                  <w:color w:val="001D77"/>
                  <w:sz w:val="18"/>
                  <w:szCs w:val="18"/>
                  <w:u w:val="single"/>
                </w:rPr>
                <w:t>Popyt</w:t>
              </w:r>
            </w:hyperlink>
          </w:p>
          <w:p w14:paraId="0DDCC4D3" w14:textId="77777777" w:rsidR="00FF0DFB" w:rsidRPr="00114ADF" w:rsidRDefault="00FF0DFB" w:rsidP="003B6FFA">
            <w:pPr>
              <w:spacing w:before="120" w:after="120"/>
              <w:rPr>
                <w:rFonts w:ascii="Fira Sans" w:eastAsia="Calibri" w:hAnsi="Fira Sans" w:cs="Times New Roman"/>
                <w:b/>
                <w:color w:val="000000"/>
                <w:sz w:val="19"/>
                <w:szCs w:val="24"/>
              </w:rPr>
            </w:pPr>
          </w:p>
        </w:tc>
      </w:tr>
    </w:tbl>
    <w:p w14:paraId="2981103D" w14:textId="77777777" w:rsidR="00FF0DFB" w:rsidRPr="00E31060" w:rsidRDefault="00FF0DFB" w:rsidP="00FF0DFB">
      <w:pPr>
        <w:spacing w:before="120" w:after="320"/>
        <w:rPr>
          <w:rFonts w:ascii="Fira Sans" w:eastAsia="Calibri" w:hAnsi="Fira Sans" w:cs="Times New Roman"/>
          <w:sz w:val="18"/>
        </w:rPr>
      </w:pPr>
    </w:p>
    <w:sectPr w:rsidR="00FF0DFB" w:rsidRPr="00E31060" w:rsidSect="003B6FFA">
      <w:headerReference w:type="default" r:id="rId35"/>
      <w:footerReference w:type="default" r:id="rId36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83E256" w14:textId="77777777" w:rsidR="00B1200C" w:rsidRDefault="00B1200C" w:rsidP="000662E2">
      <w:pPr>
        <w:spacing w:after="0" w:line="240" w:lineRule="auto"/>
      </w:pPr>
      <w:r>
        <w:separator/>
      </w:r>
    </w:p>
  </w:endnote>
  <w:endnote w:type="continuationSeparator" w:id="0">
    <w:p w14:paraId="750BB949" w14:textId="77777777" w:rsidR="00B1200C" w:rsidRDefault="00B1200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220409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7A112C30" w14:textId="77777777" w:rsidR="00BC30E5" w:rsidRPr="00B7359B" w:rsidRDefault="00BC30E5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 w:rsidR="00901BC7">
          <w:rPr>
            <w:rFonts w:ascii="Fira Sans" w:hAnsi="Fira Sans"/>
            <w:noProof/>
            <w:sz w:val="19"/>
            <w:szCs w:val="19"/>
          </w:rPr>
          <w:t>8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7788554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10A10144" w14:textId="77777777" w:rsidR="00BC30E5" w:rsidRPr="002B1A65" w:rsidRDefault="00BC30E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 w:rsidR="00901BC7"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A6696C5" w14:textId="77777777" w:rsidR="00BC30E5" w:rsidRDefault="00BC30E5" w:rsidP="003B6FF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BC7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3AEE1" w14:textId="77777777" w:rsidR="00B1200C" w:rsidRDefault="00B1200C" w:rsidP="000662E2">
      <w:pPr>
        <w:spacing w:after="0" w:line="240" w:lineRule="auto"/>
      </w:pPr>
      <w:r>
        <w:separator/>
      </w:r>
    </w:p>
  </w:footnote>
  <w:footnote w:type="continuationSeparator" w:id="0">
    <w:p w14:paraId="215C06F7" w14:textId="77777777" w:rsidR="00B1200C" w:rsidRDefault="00B1200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0DAC4" w14:textId="77777777" w:rsidR="00BC30E5" w:rsidRDefault="00BC30E5" w:rsidP="00BD3AD3">
    <w:pPr>
      <w:pStyle w:val="Nagwek"/>
      <w:spacing w:before="120" w:after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B25D678" wp14:editId="15A187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60" name="Prostokąt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8893A44" id="Prostokąt 60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z0/Ib6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F4B63" w14:textId="77777777" w:rsidR="00BC30E5" w:rsidRDefault="00BC30E5" w:rsidP="00D34814">
    <w:pPr>
      <w:pStyle w:val="Nagwek"/>
      <w:tabs>
        <w:tab w:val="clear" w:pos="4536"/>
        <w:tab w:val="clear" w:pos="9072"/>
        <w:tab w:val="center" w:pos="2611"/>
      </w:tabs>
      <w:spacing w:before="120" w:after="1080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5648" behindDoc="1" locked="0" layoutInCell="1" allowOverlap="1" wp14:anchorId="70EA0EC8" wp14:editId="5E45F8C1">
          <wp:simplePos x="0" y="0"/>
          <wp:positionH relativeFrom="column">
            <wp:posOffset>0</wp:posOffset>
          </wp:positionH>
          <wp:positionV relativeFrom="paragraph">
            <wp:posOffset>76835</wp:posOffset>
          </wp:positionV>
          <wp:extent cx="1114425" cy="619171"/>
          <wp:effectExtent l="0" t="0" r="0" b="9525"/>
          <wp:wrapTight wrapText="bothSides">
            <wp:wrapPolygon edited="0">
              <wp:start x="0" y="0"/>
              <wp:lineTo x="0" y="21268"/>
              <wp:lineTo x="21046" y="21268"/>
              <wp:lineTo x="21046" y="0"/>
              <wp:lineTo x="0" y="0"/>
            </wp:wrapPolygon>
          </wp:wrapTight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19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3D64E5BF" wp14:editId="62CE9DDC">
              <wp:simplePos x="0" y="0"/>
              <wp:positionH relativeFrom="column">
                <wp:posOffset>5266690</wp:posOffset>
              </wp:positionH>
              <wp:positionV relativeFrom="paragraph">
                <wp:posOffset>197485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2" name="Prostokąt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1ABECD2" id="Prostokąt 62" o:spid="_x0000_s1026" style="position:absolute;margin-left:414.7pt;margin-top:15.55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" fillcolor="#f2f2f2 [3052]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2B8AFA15" wp14:editId="0DA8C675">
              <wp:simplePos x="0" y="0"/>
              <wp:positionH relativeFrom="column">
                <wp:posOffset>5219395</wp:posOffset>
              </wp:positionH>
              <wp:positionV relativeFrom="paragraph">
                <wp:posOffset>953516</wp:posOffset>
              </wp:positionV>
              <wp:extent cx="1682115" cy="336550"/>
              <wp:effectExtent l="0" t="0" r="0" b="6350"/>
              <wp:wrapNone/>
              <wp:docPr id="63" name="Pole tekstowe 2" descr="28.02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115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FC92E" w14:textId="77777777" w:rsidR="00BC30E5" w:rsidRPr="001123E0" w:rsidRDefault="00BC30E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31</w:t>
                          </w:r>
                          <w:r w:rsidRPr="00392074"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.0</w:t>
                          </w:r>
                          <w:r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3</w:t>
                          </w:r>
                          <w:r w:rsidRPr="00392074">
                            <w:rPr>
                              <w:rFonts w:ascii="Fira Sans SemiBold" w:eastAsiaTheme="minorEastAsia" w:hAnsi="Fira Sans SemiBold" w:cs="Fira Sans SemiBold"/>
                              <w:color w:val="000080"/>
                              <w:sz w:val="20"/>
                              <w:szCs w:val="20"/>
                              <w:lang w:eastAsia="pl-PL"/>
                            </w:rPr>
                            <w:t>.2023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B8AFA1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8.02.2023 r." style="position:absolute;margin-left:411pt;margin-top:75.1pt;width:132.45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" filled="f" stroked="f">
              <v:textbox>
                <w:txbxContent>
                  <w:p w14:paraId="20AFC92E" w14:textId="77777777" w:rsidR="00BC30E5" w:rsidRPr="001123E0" w:rsidRDefault="00BC30E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31</w:t>
                    </w:r>
                    <w:r w:rsidRPr="00392074"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.0</w:t>
                    </w:r>
                    <w:r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3</w:t>
                    </w:r>
                    <w:r w:rsidRPr="00392074">
                      <w:rPr>
                        <w:rFonts w:ascii="Fira Sans SemiBold" w:eastAsiaTheme="minorEastAsia" w:hAnsi="Fira Sans SemiBold" w:cs="Fira Sans SemiBold"/>
                        <w:color w:val="000080"/>
                        <w:sz w:val="20"/>
                        <w:szCs w:val="20"/>
                        <w:lang w:eastAsia="pl-PL"/>
                      </w:rPr>
                      <w:t>.2023 r.</w:t>
                    </w:r>
                  </w:p>
                </w:txbxContent>
              </v:textbox>
            </v:shape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ED22D47" wp14:editId="001FCE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61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A138C4" w14:textId="77777777" w:rsidR="00BC30E5" w:rsidRPr="000201D2" w:rsidRDefault="00BC30E5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D22D47" id="Schemat blokowy: opóźnienie 6" o:spid="_x0000_s1030" alt="Napis &quot;Informacje sygnalne&quot;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6A138C4" w14:textId="77777777" w:rsidR="00BC30E5" w:rsidRPr="000201D2" w:rsidRDefault="00BC30E5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E1006" w14:textId="77777777" w:rsidR="00BC30E5" w:rsidRDefault="00BC30E5" w:rsidP="00106D6D">
    <w:pPr>
      <w:pStyle w:val="Nagwek"/>
      <w:spacing w:after="2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5pt;height:126.15pt;visibility:visible;mso-wrap-style:square" o:bullet="t">
        <v:imagedata r:id="rId1" o:title=""/>
      </v:shape>
    </w:pict>
  </w:numPicBullet>
  <w:numPicBullet w:numPicBulletId="1">
    <w:pict>
      <v:shape id="_x0000_i1027" type="#_x0000_t75" style="width:123.85pt;height:126.1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3EE78CB"/>
    <w:multiLevelType w:val="hybridMultilevel"/>
    <w:tmpl w:val="9280A9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DA0"/>
    <w:rsid w:val="00001C5B"/>
    <w:rsid w:val="00003437"/>
    <w:rsid w:val="00004825"/>
    <w:rsid w:val="000057E5"/>
    <w:rsid w:val="00005CE7"/>
    <w:rsid w:val="000066AA"/>
    <w:rsid w:val="00006D8E"/>
    <w:rsid w:val="0000709F"/>
    <w:rsid w:val="00007D35"/>
    <w:rsid w:val="000108B8"/>
    <w:rsid w:val="000108D5"/>
    <w:rsid w:val="00010CE8"/>
    <w:rsid w:val="00011075"/>
    <w:rsid w:val="00011A11"/>
    <w:rsid w:val="00011C7D"/>
    <w:rsid w:val="000152F5"/>
    <w:rsid w:val="0001690E"/>
    <w:rsid w:val="00016D37"/>
    <w:rsid w:val="00017D23"/>
    <w:rsid w:val="000201D2"/>
    <w:rsid w:val="000207D0"/>
    <w:rsid w:val="00021D5F"/>
    <w:rsid w:val="00022730"/>
    <w:rsid w:val="000239A1"/>
    <w:rsid w:val="0002530B"/>
    <w:rsid w:val="000259F3"/>
    <w:rsid w:val="00026D09"/>
    <w:rsid w:val="000323DB"/>
    <w:rsid w:val="00032432"/>
    <w:rsid w:val="00033B5D"/>
    <w:rsid w:val="00034B19"/>
    <w:rsid w:val="000366E9"/>
    <w:rsid w:val="00043AA8"/>
    <w:rsid w:val="000443F9"/>
    <w:rsid w:val="000444E6"/>
    <w:rsid w:val="00045569"/>
    <w:rsid w:val="0004582E"/>
    <w:rsid w:val="0004594F"/>
    <w:rsid w:val="00046699"/>
    <w:rsid w:val="00047F8D"/>
    <w:rsid w:val="00051244"/>
    <w:rsid w:val="00051931"/>
    <w:rsid w:val="00051981"/>
    <w:rsid w:val="00052861"/>
    <w:rsid w:val="00052A2C"/>
    <w:rsid w:val="000534A5"/>
    <w:rsid w:val="00056277"/>
    <w:rsid w:val="000564BC"/>
    <w:rsid w:val="0005714F"/>
    <w:rsid w:val="0005758E"/>
    <w:rsid w:val="00057B5C"/>
    <w:rsid w:val="00057BCF"/>
    <w:rsid w:val="00057CA1"/>
    <w:rsid w:val="00060C40"/>
    <w:rsid w:val="00060C4D"/>
    <w:rsid w:val="00061635"/>
    <w:rsid w:val="00062C3F"/>
    <w:rsid w:val="00064D21"/>
    <w:rsid w:val="000662E2"/>
    <w:rsid w:val="00066883"/>
    <w:rsid w:val="00071636"/>
    <w:rsid w:val="00072A38"/>
    <w:rsid w:val="00074600"/>
    <w:rsid w:val="00075359"/>
    <w:rsid w:val="00076C1A"/>
    <w:rsid w:val="00076EB8"/>
    <w:rsid w:val="0008045F"/>
    <w:rsid w:val="000806F7"/>
    <w:rsid w:val="00083125"/>
    <w:rsid w:val="000834E9"/>
    <w:rsid w:val="00090A07"/>
    <w:rsid w:val="00090DEE"/>
    <w:rsid w:val="00090EF0"/>
    <w:rsid w:val="000934FB"/>
    <w:rsid w:val="0009359E"/>
    <w:rsid w:val="0009439B"/>
    <w:rsid w:val="0009541F"/>
    <w:rsid w:val="00096BB4"/>
    <w:rsid w:val="00097D95"/>
    <w:rsid w:val="000A00C6"/>
    <w:rsid w:val="000A0C17"/>
    <w:rsid w:val="000A388D"/>
    <w:rsid w:val="000A3B1F"/>
    <w:rsid w:val="000A46CA"/>
    <w:rsid w:val="000A4B95"/>
    <w:rsid w:val="000A5E67"/>
    <w:rsid w:val="000A6754"/>
    <w:rsid w:val="000A7811"/>
    <w:rsid w:val="000B0727"/>
    <w:rsid w:val="000B1421"/>
    <w:rsid w:val="000B373B"/>
    <w:rsid w:val="000B4470"/>
    <w:rsid w:val="000B6929"/>
    <w:rsid w:val="000C0479"/>
    <w:rsid w:val="000C135D"/>
    <w:rsid w:val="000C1F8B"/>
    <w:rsid w:val="000C2B9D"/>
    <w:rsid w:val="000C362F"/>
    <w:rsid w:val="000C411C"/>
    <w:rsid w:val="000C4534"/>
    <w:rsid w:val="000C5ECF"/>
    <w:rsid w:val="000C6CC4"/>
    <w:rsid w:val="000D1D43"/>
    <w:rsid w:val="000D225C"/>
    <w:rsid w:val="000D51F5"/>
    <w:rsid w:val="000D6482"/>
    <w:rsid w:val="000D72BC"/>
    <w:rsid w:val="000D743F"/>
    <w:rsid w:val="000D7E3C"/>
    <w:rsid w:val="000D7E90"/>
    <w:rsid w:val="000E0052"/>
    <w:rsid w:val="000E0918"/>
    <w:rsid w:val="000E1B71"/>
    <w:rsid w:val="000E1DEF"/>
    <w:rsid w:val="000E2E85"/>
    <w:rsid w:val="000E3DA6"/>
    <w:rsid w:val="000E724D"/>
    <w:rsid w:val="000E747C"/>
    <w:rsid w:val="000E7ED0"/>
    <w:rsid w:val="000F03E5"/>
    <w:rsid w:val="000F074D"/>
    <w:rsid w:val="000F13F5"/>
    <w:rsid w:val="000F24CD"/>
    <w:rsid w:val="000F2613"/>
    <w:rsid w:val="000F2902"/>
    <w:rsid w:val="000F2904"/>
    <w:rsid w:val="000F3461"/>
    <w:rsid w:val="000F3662"/>
    <w:rsid w:val="000F42CD"/>
    <w:rsid w:val="000F4581"/>
    <w:rsid w:val="000F55B1"/>
    <w:rsid w:val="001005D5"/>
    <w:rsid w:val="001011C3"/>
    <w:rsid w:val="00101BB6"/>
    <w:rsid w:val="001027F5"/>
    <w:rsid w:val="00103966"/>
    <w:rsid w:val="00106A01"/>
    <w:rsid w:val="00106D6D"/>
    <w:rsid w:val="00107915"/>
    <w:rsid w:val="00110D87"/>
    <w:rsid w:val="00110DEB"/>
    <w:rsid w:val="00111CDB"/>
    <w:rsid w:val="00111D88"/>
    <w:rsid w:val="001123E0"/>
    <w:rsid w:val="00112B83"/>
    <w:rsid w:val="00112E06"/>
    <w:rsid w:val="00112E88"/>
    <w:rsid w:val="00114ADF"/>
    <w:rsid w:val="00114D3F"/>
    <w:rsid w:val="00114DB9"/>
    <w:rsid w:val="00114E77"/>
    <w:rsid w:val="00114F89"/>
    <w:rsid w:val="0011518C"/>
    <w:rsid w:val="00116087"/>
    <w:rsid w:val="00116F15"/>
    <w:rsid w:val="0012124A"/>
    <w:rsid w:val="00121976"/>
    <w:rsid w:val="00123319"/>
    <w:rsid w:val="001244A5"/>
    <w:rsid w:val="00124665"/>
    <w:rsid w:val="001259F0"/>
    <w:rsid w:val="00130296"/>
    <w:rsid w:val="0013126B"/>
    <w:rsid w:val="001327F1"/>
    <w:rsid w:val="00133B51"/>
    <w:rsid w:val="00134852"/>
    <w:rsid w:val="00134F39"/>
    <w:rsid w:val="00136557"/>
    <w:rsid w:val="00137568"/>
    <w:rsid w:val="001423B6"/>
    <w:rsid w:val="001423DA"/>
    <w:rsid w:val="0014293E"/>
    <w:rsid w:val="001448A7"/>
    <w:rsid w:val="0014508D"/>
    <w:rsid w:val="00145C03"/>
    <w:rsid w:val="00146621"/>
    <w:rsid w:val="00146677"/>
    <w:rsid w:val="001475FF"/>
    <w:rsid w:val="001479AC"/>
    <w:rsid w:val="00150BC6"/>
    <w:rsid w:val="00151172"/>
    <w:rsid w:val="00151FAD"/>
    <w:rsid w:val="001523FD"/>
    <w:rsid w:val="00153768"/>
    <w:rsid w:val="00153ABA"/>
    <w:rsid w:val="0015435A"/>
    <w:rsid w:val="001557B1"/>
    <w:rsid w:val="00155A33"/>
    <w:rsid w:val="00155E45"/>
    <w:rsid w:val="00162325"/>
    <w:rsid w:val="00162D31"/>
    <w:rsid w:val="00163E39"/>
    <w:rsid w:val="0016439D"/>
    <w:rsid w:val="0016451D"/>
    <w:rsid w:val="001645F9"/>
    <w:rsid w:val="00165E66"/>
    <w:rsid w:val="00166FEA"/>
    <w:rsid w:val="001701A7"/>
    <w:rsid w:val="00170980"/>
    <w:rsid w:val="00171293"/>
    <w:rsid w:val="00171A1E"/>
    <w:rsid w:val="00172888"/>
    <w:rsid w:val="00172E2E"/>
    <w:rsid w:val="00173452"/>
    <w:rsid w:val="00174773"/>
    <w:rsid w:val="00175A81"/>
    <w:rsid w:val="001762A6"/>
    <w:rsid w:val="0018029F"/>
    <w:rsid w:val="00180F24"/>
    <w:rsid w:val="001817F8"/>
    <w:rsid w:val="001866DD"/>
    <w:rsid w:val="00186B0A"/>
    <w:rsid w:val="0018748E"/>
    <w:rsid w:val="00187A01"/>
    <w:rsid w:val="00187EC6"/>
    <w:rsid w:val="00191C12"/>
    <w:rsid w:val="00192197"/>
    <w:rsid w:val="0019293D"/>
    <w:rsid w:val="00193BDE"/>
    <w:rsid w:val="001940B0"/>
    <w:rsid w:val="001942CB"/>
    <w:rsid w:val="00194A77"/>
    <w:rsid w:val="001951DA"/>
    <w:rsid w:val="001974CD"/>
    <w:rsid w:val="001A160B"/>
    <w:rsid w:val="001A1B86"/>
    <w:rsid w:val="001A1D09"/>
    <w:rsid w:val="001A2895"/>
    <w:rsid w:val="001A42E2"/>
    <w:rsid w:val="001A784D"/>
    <w:rsid w:val="001B1E1C"/>
    <w:rsid w:val="001B24E0"/>
    <w:rsid w:val="001B286E"/>
    <w:rsid w:val="001B48F9"/>
    <w:rsid w:val="001B4B41"/>
    <w:rsid w:val="001B56B5"/>
    <w:rsid w:val="001B64F3"/>
    <w:rsid w:val="001C015C"/>
    <w:rsid w:val="001C223E"/>
    <w:rsid w:val="001C2AD8"/>
    <w:rsid w:val="001C3269"/>
    <w:rsid w:val="001C3882"/>
    <w:rsid w:val="001C5CA0"/>
    <w:rsid w:val="001C7397"/>
    <w:rsid w:val="001D1DB4"/>
    <w:rsid w:val="001D5205"/>
    <w:rsid w:val="001D5E3D"/>
    <w:rsid w:val="001D68AC"/>
    <w:rsid w:val="001E14AC"/>
    <w:rsid w:val="001E155C"/>
    <w:rsid w:val="001E178B"/>
    <w:rsid w:val="001E3F7F"/>
    <w:rsid w:val="001E4FEB"/>
    <w:rsid w:val="001E5D72"/>
    <w:rsid w:val="001E668B"/>
    <w:rsid w:val="001E6BB9"/>
    <w:rsid w:val="001E7232"/>
    <w:rsid w:val="001F0562"/>
    <w:rsid w:val="001F0737"/>
    <w:rsid w:val="001F0E57"/>
    <w:rsid w:val="001F135A"/>
    <w:rsid w:val="001F1393"/>
    <w:rsid w:val="001F1BE1"/>
    <w:rsid w:val="001F2F57"/>
    <w:rsid w:val="001F33D0"/>
    <w:rsid w:val="001F347B"/>
    <w:rsid w:val="001F3BF9"/>
    <w:rsid w:val="00200529"/>
    <w:rsid w:val="00204467"/>
    <w:rsid w:val="002053BC"/>
    <w:rsid w:val="00205BC2"/>
    <w:rsid w:val="00207ED8"/>
    <w:rsid w:val="002105E1"/>
    <w:rsid w:val="00210632"/>
    <w:rsid w:val="002112C0"/>
    <w:rsid w:val="002124DB"/>
    <w:rsid w:val="002130E1"/>
    <w:rsid w:val="00213F4E"/>
    <w:rsid w:val="002140F5"/>
    <w:rsid w:val="00214581"/>
    <w:rsid w:val="00216024"/>
    <w:rsid w:val="00216388"/>
    <w:rsid w:val="00216397"/>
    <w:rsid w:val="002213DC"/>
    <w:rsid w:val="002216DD"/>
    <w:rsid w:val="00223D5A"/>
    <w:rsid w:val="00224302"/>
    <w:rsid w:val="002248CD"/>
    <w:rsid w:val="00224BF7"/>
    <w:rsid w:val="00224FBD"/>
    <w:rsid w:val="0022695C"/>
    <w:rsid w:val="00226D7A"/>
    <w:rsid w:val="00227AA4"/>
    <w:rsid w:val="00227B18"/>
    <w:rsid w:val="00230A60"/>
    <w:rsid w:val="002317C9"/>
    <w:rsid w:val="0023186B"/>
    <w:rsid w:val="00231AF4"/>
    <w:rsid w:val="00236D7C"/>
    <w:rsid w:val="0023792A"/>
    <w:rsid w:val="00240F98"/>
    <w:rsid w:val="00241A1A"/>
    <w:rsid w:val="0024359D"/>
    <w:rsid w:val="002449D7"/>
    <w:rsid w:val="00244E38"/>
    <w:rsid w:val="0024604E"/>
    <w:rsid w:val="002476AC"/>
    <w:rsid w:val="002514D2"/>
    <w:rsid w:val="0025250A"/>
    <w:rsid w:val="00252628"/>
    <w:rsid w:val="00252B05"/>
    <w:rsid w:val="0025316F"/>
    <w:rsid w:val="0025362D"/>
    <w:rsid w:val="00253E18"/>
    <w:rsid w:val="00255670"/>
    <w:rsid w:val="002574F9"/>
    <w:rsid w:val="00260240"/>
    <w:rsid w:val="00262306"/>
    <w:rsid w:val="0026306F"/>
    <w:rsid w:val="00263742"/>
    <w:rsid w:val="00265D79"/>
    <w:rsid w:val="00266A16"/>
    <w:rsid w:val="00266F8B"/>
    <w:rsid w:val="002676BE"/>
    <w:rsid w:val="0027088D"/>
    <w:rsid w:val="00271DB2"/>
    <w:rsid w:val="00273293"/>
    <w:rsid w:val="0027339B"/>
    <w:rsid w:val="002734DE"/>
    <w:rsid w:val="00275D41"/>
    <w:rsid w:val="00276811"/>
    <w:rsid w:val="0027719C"/>
    <w:rsid w:val="00277ADD"/>
    <w:rsid w:val="002810A2"/>
    <w:rsid w:val="00281218"/>
    <w:rsid w:val="00281BC2"/>
    <w:rsid w:val="00282699"/>
    <w:rsid w:val="00283D06"/>
    <w:rsid w:val="00283E75"/>
    <w:rsid w:val="00287F1F"/>
    <w:rsid w:val="00290346"/>
    <w:rsid w:val="002914A7"/>
    <w:rsid w:val="002914E4"/>
    <w:rsid w:val="0029253E"/>
    <w:rsid w:val="002926DF"/>
    <w:rsid w:val="00293563"/>
    <w:rsid w:val="00293A75"/>
    <w:rsid w:val="002946A4"/>
    <w:rsid w:val="00295B9B"/>
    <w:rsid w:val="00296697"/>
    <w:rsid w:val="002A08DD"/>
    <w:rsid w:val="002A3C8F"/>
    <w:rsid w:val="002A486C"/>
    <w:rsid w:val="002A5E7C"/>
    <w:rsid w:val="002B02E1"/>
    <w:rsid w:val="002B0472"/>
    <w:rsid w:val="002B1A65"/>
    <w:rsid w:val="002B3566"/>
    <w:rsid w:val="002B3BC7"/>
    <w:rsid w:val="002B3EC3"/>
    <w:rsid w:val="002B5972"/>
    <w:rsid w:val="002B6B12"/>
    <w:rsid w:val="002B756E"/>
    <w:rsid w:val="002C01DB"/>
    <w:rsid w:val="002C1672"/>
    <w:rsid w:val="002C22D7"/>
    <w:rsid w:val="002C39DC"/>
    <w:rsid w:val="002C3BAF"/>
    <w:rsid w:val="002C3C87"/>
    <w:rsid w:val="002C420B"/>
    <w:rsid w:val="002C4A43"/>
    <w:rsid w:val="002C4FF0"/>
    <w:rsid w:val="002C6501"/>
    <w:rsid w:val="002C6D90"/>
    <w:rsid w:val="002C7B39"/>
    <w:rsid w:val="002D20A4"/>
    <w:rsid w:val="002D2459"/>
    <w:rsid w:val="002D2D76"/>
    <w:rsid w:val="002D3F81"/>
    <w:rsid w:val="002D492A"/>
    <w:rsid w:val="002D4BB9"/>
    <w:rsid w:val="002D5776"/>
    <w:rsid w:val="002D5A7F"/>
    <w:rsid w:val="002D6F2E"/>
    <w:rsid w:val="002D7C90"/>
    <w:rsid w:val="002D7C97"/>
    <w:rsid w:val="002D7CA2"/>
    <w:rsid w:val="002E198E"/>
    <w:rsid w:val="002E1D54"/>
    <w:rsid w:val="002E3019"/>
    <w:rsid w:val="002E5495"/>
    <w:rsid w:val="002E6068"/>
    <w:rsid w:val="002E6140"/>
    <w:rsid w:val="002E6985"/>
    <w:rsid w:val="002E71B6"/>
    <w:rsid w:val="002F109A"/>
    <w:rsid w:val="002F14FA"/>
    <w:rsid w:val="002F2B58"/>
    <w:rsid w:val="002F2CD6"/>
    <w:rsid w:val="002F4D66"/>
    <w:rsid w:val="002F4E60"/>
    <w:rsid w:val="002F685E"/>
    <w:rsid w:val="002F77C8"/>
    <w:rsid w:val="00300CF4"/>
    <w:rsid w:val="00301633"/>
    <w:rsid w:val="00303D35"/>
    <w:rsid w:val="00303E34"/>
    <w:rsid w:val="003041CB"/>
    <w:rsid w:val="00304F22"/>
    <w:rsid w:val="00305BCC"/>
    <w:rsid w:val="00305CAD"/>
    <w:rsid w:val="003065C9"/>
    <w:rsid w:val="00306C7C"/>
    <w:rsid w:val="00310C8E"/>
    <w:rsid w:val="00311059"/>
    <w:rsid w:val="003113E1"/>
    <w:rsid w:val="00311CE9"/>
    <w:rsid w:val="00313722"/>
    <w:rsid w:val="00313ACB"/>
    <w:rsid w:val="00313AD5"/>
    <w:rsid w:val="00315067"/>
    <w:rsid w:val="00315142"/>
    <w:rsid w:val="003151BF"/>
    <w:rsid w:val="003156B1"/>
    <w:rsid w:val="003165A3"/>
    <w:rsid w:val="003166A4"/>
    <w:rsid w:val="00316B47"/>
    <w:rsid w:val="00321A79"/>
    <w:rsid w:val="00322D35"/>
    <w:rsid w:val="00322EDD"/>
    <w:rsid w:val="00323111"/>
    <w:rsid w:val="003238AD"/>
    <w:rsid w:val="003239A4"/>
    <w:rsid w:val="00330949"/>
    <w:rsid w:val="003313BA"/>
    <w:rsid w:val="00332320"/>
    <w:rsid w:val="003337DC"/>
    <w:rsid w:val="00335366"/>
    <w:rsid w:val="0034052C"/>
    <w:rsid w:val="003407E4"/>
    <w:rsid w:val="003419F3"/>
    <w:rsid w:val="00346794"/>
    <w:rsid w:val="00346D76"/>
    <w:rsid w:val="0034734A"/>
    <w:rsid w:val="00347A0E"/>
    <w:rsid w:val="00347D72"/>
    <w:rsid w:val="003500C3"/>
    <w:rsid w:val="003501BC"/>
    <w:rsid w:val="00351097"/>
    <w:rsid w:val="00352DFD"/>
    <w:rsid w:val="003538AF"/>
    <w:rsid w:val="00354A53"/>
    <w:rsid w:val="00354FA6"/>
    <w:rsid w:val="00356B8E"/>
    <w:rsid w:val="00357F62"/>
    <w:rsid w:val="0036049A"/>
    <w:rsid w:val="0036165F"/>
    <w:rsid w:val="00362A7C"/>
    <w:rsid w:val="00363E95"/>
    <w:rsid w:val="00365A7C"/>
    <w:rsid w:val="00365F62"/>
    <w:rsid w:val="0036698B"/>
    <w:rsid w:val="00367237"/>
    <w:rsid w:val="0036763D"/>
    <w:rsid w:val="003703DC"/>
    <w:rsid w:val="0037077F"/>
    <w:rsid w:val="00371234"/>
    <w:rsid w:val="0037141A"/>
    <w:rsid w:val="00371D1D"/>
    <w:rsid w:val="00373882"/>
    <w:rsid w:val="003740C7"/>
    <w:rsid w:val="00374CAC"/>
    <w:rsid w:val="00374EC8"/>
    <w:rsid w:val="00375B4D"/>
    <w:rsid w:val="003848F9"/>
    <w:rsid w:val="00384A68"/>
    <w:rsid w:val="003858DA"/>
    <w:rsid w:val="003860FF"/>
    <w:rsid w:val="0038792C"/>
    <w:rsid w:val="003904F8"/>
    <w:rsid w:val="00391BE8"/>
    <w:rsid w:val="00391E93"/>
    <w:rsid w:val="00392074"/>
    <w:rsid w:val="00393C8C"/>
    <w:rsid w:val="00393CB1"/>
    <w:rsid w:val="003945BD"/>
    <w:rsid w:val="00395702"/>
    <w:rsid w:val="003972AF"/>
    <w:rsid w:val="00397D18"/>
    <w:rsid w:val="003A0ABA"/>
    <w:rsid w:val="003A0E92"/>
    <w:rsid w:val="003A15A8"/>
    <w:rsid w:val="003A1B36"/>
    <w:rsid w:val="003A2052"/>
    <w:rsid w:val="003A271E"/>
    <w:rsid w:val="003A2905"/>
    <w:rsid w:val="003A2DFB"/>
    <w:rsid w:val="003A311C"/>
    <w:rsid w:val="003A3943"/>
    <w:rsid w:val="003A42AD"/>
    <w:rsid w:val="003A48C2"/>
    <w:rsid w:val="003A5036"/>
    <w:rsid w:val="003A67CE"/>
    <w:rsid w:val="003B1FED"/>
    <w:rsid w:val="003B2B69"/>
    <w:rsid w:val="003B2FE4"/>
    <w:rsid w:val="003B5B72"/>
    <w:rsid w:val="003B635A"/>
    <w:rsid w:val="003B6FDC"/>
    <w:rsid w:val="003B6FFA"/>
    <w:rsid w:val="003C0845"/>
    <w:rsid w:val="003C0978"/>
    <w:rsid w:val="003C15A2"/>
    <w:rsid w:val="003C196E"/>
    <w:rsid w:val="003C1DDE"/>
    <w:rsid w:val="003C4464"/>
    <w:rsid w:val="003C4528"/>
    <w:rsid w:val="003C59E0"/>
    <w:rsid w:val="003C6AEF"/>
    <w:rsid w:val="003C6C8D"/>
    <w:rsid w:val="003C7247"/>
    <w:rsid w:val="003D05D4"/>
    <w:rsid w:val="003D0DE7"/>
    <w:rsid w:val="003D1B0C"/>
    <w:rsid w:val="003D27E4"/>
    <w:rsid w:val="003D2D75"/>
    <w:rsid w:val="003D2F16"/>
    <w:rsid w:val="003D3201"/>
    <w:rsid w:val="003D3E83"/>
    <w:rsid w:val="003D4F95"/>
    <w:rsid w:val="003D5EA6"/>
    <w:rsid w:val="003D5F42"/>
    <w:rsid w:val="003D60A9"/>
    <w:rsid w:val="003D7387"/>
    <w:rsid w:val="003E10D7"/>
    <w:rsid w:val="003E1635"/>
    <w:rsid w:val="003E170B"/>
    <w:rsid w:val="003E1C87"/>
    <w:rsid w:val="003E21F4"/>
    <w:rsid w:val="003E26D7"/>
    <w:rsid w:val="003E4C00"/>
    <w:rsid w:val="003E4F1E"/>
    <w:rsid w:val="003E769F"/>
    <w:rsid w:val="003E781B"/>
    <w:rsid w:val="003E7FF7"/>
    <w:rsid w:val="003F102C"/>
    <w:rsid w:val="003F1DDF"/>
    <w:rsid w:val="003F1ED6"/>
    <w:rsid w:val="003F2B54"/>
    <w:rsid w:val="003F3065"/>
    <w:rsid w:val="003F4C97"/>
    <w:rsid w:val="003F7FE6"/>
    <w:rsid w:val="004002B7"/>
    <w:rsid w:val="0040262C"/>
    <w:rsid w:val="00402B19"/>
    <w:rsid w:val="00403C6B"/>
    <w:rsid w:val="004040CC"/>
    <w:rsid w:val="0040435C"/>
    <w:rsid w:val="00405699"/>
    <w:rsid w:val="00410C2D"/>
    <w:rsid w:val="00411187"/>
    <w:rsid w:val="004118D1"/>
    <w:rsid w:val="0041373E"/>
    <w:rsid w:val="00413AE4"/>
    <w:rsid w:val="00415097"/>
    <w:rsid w:val="004159FA"/>
    <w:rsid w:val="00415B06"/>
    <w:rsid w:val="004204A2"/>
    <w:rsid w:val="00420588"/>
    <w:rsid w:val="00420628"/>
    <w:rsid w:val="0042262E"/>
    <w:rsid w:val="0042323E"/>
    <w:rsid w:val="004232C1"/>
    <w:rsid w:val="00423D86"/>
    <w:rsid w:val="0042406F"/>
    <w:rsid w:val="0042446D"/>
    <w:rsid w:val="00425512"/>
    <w:rsid w:val="00425F6A"/>
    <w:rsid w:val="00427BF8"/>
    <w:rsid w:val="0043075E"/>
    <w:rsid w:val="00431C02"/>
    <w:rsid w:val="00432D84"/>
    <w:rsid w:val="00432E3F"/>
    <w:rsid w:val="004335CF"/>
    <w:rsid w:val="00433A69"/>
    <w:rsid w:val="004366B1"/>
    <w:rsid w:val="00436F11"/>
    <w:rsid w:val="00437395"/>
    <w:rsid w:val="00437734"/>
    <w:rsid w:val="0044037C"/>
    <w:rsid w:val="00441377"/>
    <w:rsid w:val="00445047"/>
    <w:rsid w:val="00445683"/>
    <w:rsid w:val="00445A7C"/>
    <w:rsid w:val="0044644A"/>
    <w:rsid w:val="00447798"/>
    <w:rsid w:val="00447C2F"/>
    <w:rsid w:val="0045269C"/>
    <w:rsid w:val="00452BBB"/>
    <w:rsid w:val="00453495"/>
    <w:rsid w:val="00454346"/>
    <w:rsid w:val="004545FA"/>
    <w:rsid w:val="004546ED"/>
    <w:rsid w:val="00454A5C"/>
    <w:rsid w:val="0045517D"/>
    <w:rsid w:val="004553E8"/>
    <w:rsid w:val="00456CF9"/>
    <w:rsid w:val="00457611"/>
    <w:rsid w:val="00460C64"/>
    <w:rsid w:val="0046145E"/>
    <w:rsid w:val="00461CA9"/>
    <w:rsid w:val="0046200B"/>
    <w:rsid w:val="00462235"/>
    <w:rsid w:val="00463E39"/>
    <w:rsid w:val="00464F48"/>
    <w:rsid w:val="004657FC"/>
    <w:rsid w:val="004662CE"/>
    <w:rsid w:val="00466E49"/>
    <w:rsid w:val="00470A70"/>
    <w:rsid w:val="00471129"/>
    <w:rsid w:val="004716D6"/>
    <w:rsid w:val="00471B7A"/>
    <w:rsid w:val="00472ED6"/>
    <w:rsid w:val="004733F6"/>
    <w:rsid w:val="00473463"/>
    <w:rsid w:val="00474408"/>
    <w:rsid w:val="0047464C"/>
    <w:rsid w:val="00474B44"/>
    <w:rsid w:val="00474E69"/>
    <w:rsid w:val="00480564"/>
    <w:rsid w:val="00482BBE"/>
    <w:rsid w:val="00482E9C"/>
    <w:rsid w:val="00482FAD"/>
    <w:rsid w:val="00483989"/>
    <w:rsid w:val="004845AA"/>
    <w:rsid w:val="004853D3"/>
    <w:rsid w:val="00485D23"/>
    <w:rsid w:val="00486DE1"/>
    <w:rsid w:val="00491909"/>
    <w:rsid w:val="0049479A"/>
    <w:rsid w:val="0049621B"/>
    <w:rsid w:val="004A4DF7"/>
    <w:rsid w:val="004A569A"/>
    <w:rsid w:val="004A592F"/>
    <w:rsid w:val="004A6CC2"/>
    <w:rsid w:val="004B059E"/>
    <w:rsid w:val="004B0752"/>
    <w:rsid w:val="004B1FEA"/>
    <w:rsid w:val="004B21A7"/>
    <w:rsid w:val="004B492B"/>
    <w:rsid w:val="004B5159"/>
    <w:rsid w:val="004B5B15"/>
    <w:rsid w:val="004B5B91"/>
    <w:rsid w:val="004B6A39"/>
    <w:rsid w:val="004B7384"/>
    <w:rsid w:val="004B7812"/>
    <w:rsid w:val="004C0840"/>
    <w:rsid w:val="004C0E8B"/>
    <w:rsid w:val="004C1895"/>
    <w:rsid w:val="004C21B2"/>
    <w:rsid w:val="004C2C80"/>
    <w:rsid w:val="004C2F30"/>
    <w:rsid w:val="004C329D"/>
    <w:rsid w:val="004C3E78"/>
    <w:rsid w:val="004C432F"/>
    <w:rsid w:val="004C4611"/>
    <w:rsid w:val="004C4859"/>
    <w:rsid w:val="004C4D15"/>
    <w:rsid w:val="004C5A76"/>
    <w:rsid w:val="004C5EFD"/>
    <w:rsid w:val="004C6C78"/>
    <w:rsid w:val="004C6D40"/>
    <w:rsid w:val="004C7599"/>
    <w:rsid w:val="004D036F"/>
    <w:rsid w:val="004D211A"/>
    <w:rsid w:val="004D2F26"/>
    <w:rsid w:val="004D303B"/>
    <w:rsid w:val="004D30A4"/>
    <w:rsid w:val="004D453A"/>
    <w:rsid w:val="004D4BCB"/>
    <w:rsid w:val="004E04F8"/>
    <w:rsid w:val="004E070B"/>
    <w:rsid w:val="004E1B1E"/>
    <w:rsid w:val="004E2A40"/>
    <w:rsid w:val="004E4195"/>
    <w:rsid w:val="004E6AB5"/>
    <w:rsid w:val="004E70CF"/>
    <w:rsid w:val="004E7601"/>
    <w:rsid w:val="004E7DEA"/>
    <w:rsid w:val="004F03D7"/>
    <w:rsid w:val="004F096D"/>
    <w:rsid w:val="004F0C3C"/>
    <w:rsid w:val="004F0D71"/>
    <w:rsid w:val="004F23CC"/>
    <w:rsid w:val="004F2AEE"/>
    <w:rsid w:val="004F3AEE"/>
    <w:rsid w:val="004F41C3"/>
    <w:rsid w:val="004F4B2E"/>
    <w:rsid w:val="004F63FC"/>
    <w:rsid w:val="004F68CD"/>
    <w:rsid w:val="004F6A6E"/>
    <w:rsid w:val="00500147"/>
    <w:rsid w:val="00500367"/>
    <w:rsid w:val="0050144E"/>
    <w:rsid w:val="00501AE4"/>
    <w:rsid w:val="0050225F"/>
    <w:rsid w:val="00502BF4"/>
    <w:rsid w:val="005030CC"/>
    <w:rsid w:val="0050403D"/>
    <w:rsid w:val="00505A92"/>
    <w:rsid w:val="00506FD7"/>
    <w:rsid w:val="00507D32"/>
    <w:rsid w:val="005103BA"/>
    <w:rsid w:val="00512936"/>
    <w:rsid w:val="00514735"/>
    <w:rsid w:val="005151B9"/>
    <w:rsid w:val="005167C0"/>
    <w:rsid w:val="005203F1"/>
    <w:rsid w:val="00521BC3"/>
    <w:rsid w:val="00521FD1"/>
    <w:rsid w:val="00522982"/>
    <w:rsid w:val="00526B0F"/>
    <w:rsid w:val="00527A4E"/>
    <w:rsid w:val="00530063"/>
    <w:rsid w:val="00530775"/>
    <w:rsid w:val="00530791"/>
    <w:rsid w:val="00530B2D"/>
    <w:rsid w:val="00532B4D"/>
    <w:rsid w:val="00534D51"/>
    <w:rsid w:val="0054251F"/>
    <w:rsid w:val="00542AA3"/>
    <w:rsid w:val="005436D8"/>
    <w:rsid w:val="005437A8"/>
    <w:rsid w:val="00543869"/>
    <w:rsid w:val="00545724"/>
    <w:rsid w:val="0054593C"/>
    <w:rsid w:val="00546045"/>
    <w:rsid w:val="00546255"/>
    <w:rsid w:val="005462FF"/>
    <w:rsid w:val="005471BB"/>
    <w:rsid w:val="00547318"/>
    <w:rsid w:val="00551389"/>
    <w:rsid w:val="005516BF"/>
    <w:rsid w:val="005520D8"/>
    <w:rsid w:val="00552243"/>
    <w:rsid w:val="0055415A"/>
    <w:rsid w:val="005545A0"/>
    <w:rsid w:val="00555170"/>
    <w:rsid w:val="00555C83"/>
    <w:rsid w:val="005561C0"/>
    <w:rsid w:val="00556CF1"/>
    <w:rsid w:val="005572D1"/>
    <w:rsid w:val="00557D23"/>
    <w:rsid w:val="00560300"/>
    <w:rsid w:val="00560493"/>
    <w:rsid w:val="00561C5A"/>
    <w:rsid w:val="0056319D"/>
    <w:rsid w:val="00563DC2"/>
    <w:rsid w:val="00564FCF"/>
    <w:rsid w:val="00565A3D"/>
    <w:rsid w:val="00566932"/>
    <w:rsid w:val="00570FD5"/>
    <w:rsid w:val="00571CAA"/>
    <w:rsid w:val="005720AE"/>
    <w:rsid w:val="00573323"/>
    <w:rsid w:val="00574EFA"/>
    <w:rsid w:val="005755F9"/>
    <w:rsid w:val="005762A7"/>
    <w:rsid w:val="00576D1F"/>
    <w:rsid w:val="005772AD"/>
    <w:rsid w:val="0057767A"/>
    <w:rsid w:val="00582408"/>
    <w:rsid w:val="005828BF"/>
    <w:rsid w:val="00582988"/>
    <w:rsid w:val="0058585A"/>
    <w:rsid w:val="005859AA"/>
    <w:rsid w:val="005864BA"/>
    <w:rsid w:val="005870C1"/>
    <w:rsid w:val="005916D7"/>
    <w:rsid w:val="00595236"/>
    <w:rsid w:val="0059550D"/>
    <w:rsid w:val="00595B51"/>
    <w:rsid w:val="005965BF"/>
    <w:rsid w:val="005A1C1A"/>
    <w:rsid w:val="005A698C"/>
    <w:rsid w:val="005A6F50"/>
    <w:rsid w:val="005B11DA"/>
    <w:rsid w:val="005B2433"/>
    <w:rsid w:val="005B2442"/>
    <w:rsid w:val="005B2E55"/>
    <w:rsid w:val="005B42C4"/>
    <w:rsid w:val="005B44E2"/>
    <w:rsid w:val="005B5280"/>
    <w:rsid w:val="005B5787"/>
    <w:rsid w:val="005B5FAA"/>
    <w:rsid w:val="005C1573"/>
    <w:rsid w:val="005C2972"/>
    <w:rsid w:val="005C2CF9"/>
    <w:rsid w:val="005C3970"/>
    <w:rsid w:val="005C4F00"/>
    <w:rsid w:val="005C5F96"/>
    <w:rsid w:val="005C7964"/>
    <w:rsid w:val="005C7EEF"/>
    <w:rsid w:val="005D021D"/>
    <w:rsid w:val="005D0FDE"/>
    <w:rsid w:val="005D4217"/>
    <w:rsid w:val="005D46F8"/>
    <w:rsid w:val="005D47AF"/>
    <w:rsid w:val="005D77FB"/>
    <w:rsid w:val="005D7C1F"/>
    <w:rsid w:val="005E0068"/>
    <w:rsid w:val="005E0799"/>
    <w:rsid w:val="005E14A3"/>
    <w:rsid w:val="005E2CB6"/>
    <w:rsid w:val="005E47F5"/>
    <w:rsid w:val="005E4ABD"/>
    <w:rsid w:val="005E5E39"/>
    <w:rsid w:val="005E6FB1"/>
    <w:rsid w:val="005F050E"/>
    <w:rsid w:val="005F0962"/>
    <w:rsid w:val="005F0DD0"/>
    <w:rsid w:val="005F1CBA"/>
    <w:rsid w:val="005F21A5"/>
    <w:rsid w:val="005F3E6C"/>
    <w:rsid w:val="005F4FE0"/>
    <w:rsid w:val="005F504D"/>
    <w:rsid w:val="005F5A80"/>
    <w:rsid w:val="005F6DFA"/>
    <w:rsid w:val="00601033"/>
    <w:rsid w:val="006031BD"/>
    <w:rsid w:val="006044FF"/>
    <w:rsid w:val="00605F33"/>
    <w:rsid w:val="00606660"/>
    <w:rsid w:val="00607CC5"/>
    <w:rsid w:val="00610108"/>
    <w:rsid w:val="006110DF"/>
    <w:rsid w:val="006119CD"/>
    <w:rsid w:val="00611E75"/>
    <w:rsid w:val="0061219D"/>
    <w:rsid w:val="00612941"/>
    <w:rsid w:val="006134B4"/>
    <w:rsid w:val="00613526"/>
    <w:rsid w:val="00613C8E"/>
    <w:rsid w:val="006140C6"/>
    <w:rsid w:val="00614625"/>
    <w:rsid w:val="00615E34"/>
    <w:rsid w:val="00617632"/>
    <w:rsid w:val="00620025"/>
    <w:rsid w:val="00621501"/>
    <w:rsid w:val="006218D3"/>
    <w:rsid w:val="00623AEC"/>
    <w:rsid w:val="00623C8B"/>
    <w:rsid w:val="00624488"/>
    <w:rsid w:val="006274BF"/>
    <w:rsid w:val="00630EC5"/>
    <w:rsid w:val="00632056"/>
    <w:rsid w:val="00633014"/>
    <w:rsid w:val="00633B23"/>
    <w:rsid w:val="0063437B"/>
    <w:rsid w:val="006346E1"/>
    <w:rsid w:val="006364C0"/>
    <w:rsid w:val="006374B3"/>
    <w:rsid w:val="0063792B"/>
    <w:rsid w:val="00640163"/>
    <w:rsid w:val="00640195"/>
    <w:rsid w:val="00640F41"/>
    <w:rsid w:val="006427E0"/>
    <w:rsid w:val="006453C8"/>
    <w:rsid w:val="00646554"/>
    <w:rsid w:val="006467C3"/>
    <w:rsid w:val="00647794"/>
    <w:rsid w:val="00647A17"/>
    <w:rsid w:val="006506FC"/>
    <w:rsid w:val="00650B67"/>
    <w:rsid w:val="006516CF"/>
    <w:rsid w:val="006528E7"/>
    <w:rsid w:val="00652DEE"/>
    <w:rsid w:val="00652FE9"/>
    <w:rsid w:val="006532F8"/>
    <w:rsid w:val="0065356C"/>
    <w:rsid w:val="00655471"/>
    <w:rsid w:val="00655B16"/>
    <w:rsid w:val="00655FB7"/>
    <w:rsid w:val="00655FD9"/>
    <w:rsid w:val="00657F37"/>
    <w:rsid w:val="00661D83"/>
    <w:rsid w:val="00662E47"/>
    <w:rsid w:val="0066358F"/>
    <w:rsid w:val="00664332"/>
    <w:rsid w:val="006650CE"/>
    <w:rsid w:val="00665485"/>
    <w:rsid w:val="006667DB"/>
    <w:rsid w:val="00666ED5"/>
    <w:rsid w:val="00666FE6"/>
    <w:rsid w:val="006673CA"/>
    <w:rsid w:val="00667C4F"/>
    <w:rsid w:val="006715A8"/>
    <w:rsid w:val="00671C72"/>
    <w:rsid w:val="00672548"/>
    <w:rsid w:val="00674918"/>
    <w:rsid w:val="00675304"/>
    <w:rsid w:val="006755A3"/>
    <w:rsid w:val="00676B47"/>
    <w:rsid w:val="00681A0F"/>
    <w:rsid w:val="0068231B"/>
    <w:rsid w:val="00682FF1"/>
    <w:rsid w:val="00683277"/>
    <w:rsid w:val="00684A7C"/>
    <w:rsid w:val="00684CBC"/>
    <w:rsid w:val="00685D3A"/>
    <w:rsid w:val="00690BEE"/>
    <w:rsid w:val="00691A4B"/>
    <w:rsid w:val="0069208C"/>
    <w:rsid w:val="00692138"/>
    <w:rsid w:val="006932A5"/>
    <w:rsid w:val="00694612"/>
    <w:rsid w:val="00694994"/>
    <w:rsid w:val="00695688"/>
    <w:rsid w:val="00695709"/>
    <w:rsid w:val="00695D66"/>
    <w:rsid w:val="006966AD"/>
    <w:rsid w:val="006A13F4"/>
    <w:rsid w:val="006A16B5"/>
    <w:rsid w:val="006A1BDC"/>
    <w:rsid w:val="006A22F2"/>
    <w:rsid w:val="006A41E2"/>
    <w:rsid w:val="006B05FA"/>
    <w:rsid w:val="006B0E9E"/>
    <w:rsid w:val="006B1F35"/>
    <w:rsid w:val="006B2D75"/>
    <w:rsid w:val="006B3239"/>
    <w:rsid w:val="006B3857"/>
    <w:rsid w:val="006B5AE4"/>
    <w:rsid w:val="006B6DF1"/>
    <w:rsid w:val="006B708F"/>
    <w:rsid w:val="006C2464"/>
    <w:rsid w:val="006C2E11"/>
    <w:rsid w:val="006D09B4"/>
    <w:rsid w:val="006D109B"/>
    <w:rsid w:val="006D4054"/>
    <w:rsid w:val="006D4318"/>
    <w:rsid w:val="006D51B4"/>
    <w:rsid w:val="006D54CC"/>
    <w:rsid w:val="006D55D8"/>
    <w:rsid w:val="006D6347"/>
    <w:rsid w:val="006D7274"/>
    <w:rsid w:val="006D7758"/>
    <w:rsid w:val="006D7DBC"/>
    <w:rsid w:val="006E02EC"/>
    <w:rsid w:val="006E1123"/>
    <w:rsid w:val="006E1245"/>
    <w:rsid w:val="006E2869"/>
    <w:rsid w:val="006E4ACA"/>
    <w:rsid w:val="006E4BB4"/>
    <w:rsid w:val="006E560A"/>
    <w:rsid w:val="006E5F14"/>
    <w:rsid w:val="006E6D76"/>
    <w:rsid w:val="006E7789"/>
    <w:rsid w:val="006F04D4"/>
    <w:rsid w:val="006F2D52"/>
    <w:rsid w:val="006F57E5"/>
    <w:rsid w:val="006F5DEB"/>
    <w:rsid w:val="006F7FA8"/>
    <w:rsid w:val="0070166B"/>
    <w:rsid w:val="00702737"/>
    <w:rsid w:val="00703444"/>
    <w:rsid w:val="00706806"/>
    <w:rsid w:val="00706CF3"/>
    <w:rsid w:val="007108A9"/>
    <w:rsid w:val="00710960"/>
    <w:rsid w:val="00710966"/>
    <w:rsid w:val="00710A47"/>
    <w:rsid w:val="00710E4C"/>
    <w:rsid w:val="00711297"/>
    <w:rsid w:val="00711571"/>
    <w:rsid w:val="007119AF"/>
    <w:rsid w:val="00712025"/>
    <w:rsid w:val="00714DE1"/>
    <w:rsid w:val="00714E46"/>
    <w:rsid w:val="00715357"/>
    <w:rsid w:val="007175B5"/>
    <w:rsid w:val="007205CE"/>
    <w:rsid w:val="007209E1"/>
    <w:rsid w:val="007211B1"/>
    <w:rsid w:val="007227F3"/>
    <w:rsid w:val="007243F0"/>
    <w:rsid w:val="00725216"/>
    <w:rsid w:val="007265CE"/>
    <w:rsid w:val="00726B70"/>
    <w:rsid w:val="00730184"/>
    <w:rsid w:val="00731918"/>
    <w:rsid w:val="00731E67"/>
    <w:rsid w:val="00732401"/>
    <w:rsid w:val="00732809"/>
    <w:rsid w:val="0073602C"/>
    <w:rsid w:val="007368D2"/>
    <w:rsid w:val="00737ADD"/>
    <w:rsid w:val="007402CD"/>
    <w:rsid w:val="007408B3"/>
    <w:rsid w:val="00742C35"/>
    <w:rsid w:val="00743F79"/>
    <w:rsid w:val="00745912"/>
    <w:rsid w:val="00746187"/>
    <w:rsid w:val="00747F84"/>
    <w:rsid w:val="007518B2"/>
    <w:rsid w:val="00752B07"/>
    <w:rsid w:val="00752D31"/>
    <w:rsid w:val="00754106"/>
    <w:rsid w:val="007543F5"/>
    <w:rsid w:val="00754C63"/>
    <w:rsid w:val="007577F0"/>
    <w:rsid w:val="007600A2"/>
    <w:rsid w:val="00760876"/>
    <w:rsid w:val="007615BC"/>
    <w:rsid w:val="007623ED"/>
    <w:rsid w:val="00762403"/>
    <w:rsid w:val="0076254F"/>
    <w:rsid w:val="00765532"/>
    <w:rsid w:val="007658F6"/>
    <w:rsid w:val="0076662C"/>
    <w:rsid w:val="007667F6"/>
    <w:rsid w:val="00767F9C"/>
    <w:rsid w:val="007700E4"/>
    <w:rsid w:val="00770B99"/>
    <w:rsid w:val="0077196D"/>
    <w:rsid w:val="00773E86"/>
    <w:rsid w:val="00774C6B"/>
    <w:rsid w:val="007774DE"/>
    <w:rsid w:val="0077775C"/>
    <w:rsid w:val="00777923"/>
    <w:rsid w:val="00777F21"/>
    <w:rsid w:val="00777FA8"/>
    <w:rsid w:val="007801F5"/>
    <w:rsid w:val="007812FB"/>
    <w:rsid w:val="00781FDA"/>
    <w:rsid w:val="00782381"/>
    <w:rsid w:val="007824EE"/>
    <w:rsid w:val="00782EB3"/>
    <w:rsid w:val="00783CA4"/>
    <w:rsid w:val="007842FB"/>
    <w:rsid w:val="00784B79"/>
    <w:rsid w:val="00784CC1"/>
    <w:rsid w:val="00785725"/>
    <w:rsid w:val="00785BBB"/>
    <w:rsid w:val="00786124"/>
    <w:rsid w:val="0079127B"/>
    <w:rsid w:val="00791FC6"/>
    <w:rsid w:val="00792ACE"/>
    <w:rsid w:val="007930BF"/>
    <w:rsid w:val="007946BC"/>
    <w:rsid w:val="00794932"/>
    <w:rsid w:val="0079514B"/>
    <w:rsid w:val="00796583"/>
    <w:rsid w:val="00796C70"/>
    <w:rsid w:val="00797A2B"/>
    <w:rsid w:val="00797A85"/>
    <w:rsid w:val="007A140D"/>
    <w:rsid w:val="007A1F66"/>
    <w:rsid w:val="007A207B"/>
    <w:rsid w:val="007A2DC1"/>
    <w:rsid w:val="007A3438"/>
    <w:rsid w:val="007A3C6F"/>
    <w:rsid w:val="007A58FE"/>
    <w:rsid w:val="007A59DF"/>
    <w:rsid w:val="007A7173"/>
    <w:rsid w:val="007A7C0E"/>
    <w:rsid w:val="007B1B50"/>
    <w:rsid w:val="007B2651"/>
    <w:rsid w:val="007B2945"/>
    <w:rsid w:val="007B5805"/>
    <w:rsid w:val="007B68A4"/>
    <w:rsid w:val="007B7014"/>
    <w:rsid w:val="007C046A"/>
    <w:rsid w:val="007C14FB"/>
    <w:rsid w:val="007C366B"/>
    <w:rsid w:val="007C3926"/>
    <w:rsid w:val="007D2B8D"/>
    <w:rsid w:val="007D3319"/>
    <w:rsid w:val="007D335D"/>
    <w:rsid w:val="007D5635"/>
    <w:rsid w:val="007D5ACA"/>
    <w:rsid w:val="007D5EF3"/>
    <w:rsid w:val="007D624B"/>
    <w:rsid w:val="007D7311"/>
    <w:rsid w:val="007D7898"/>
    <w:rsid w:val="007E20C5"/>
    <w:rsid w:val="007E2821"/>
    <w:rsid w:val="007E3301"/>
    <w:rsid w:val="007E3314"/>
    <w:rsid w:val="007E4196"/>
    <w:rsid w:val="007E4204"/>
    <w:rsid w:val="007E4B03"/>
    <w:rsid w:val="007E55DE"/>
    <w:rsid w:val="007E6B4A"/>
    <w:rsid w:val="007F0FAF"/>
    <w:rsid w:val="007F164C"/>
    <w:rsid w:val="007F1F58"/>
    <w:rsid w:val="007F2321"/>
    <w:rsid w:val="007F324B"/>
    <w:rsid w:val="007F3482"/>
    <w:rsid w:val="007F4BF3"/>
    <w:rsid w:val="007F5697"/>
    <w:rsid w:val="00800C23"/>
    <w:rsid w:val="00801CF4"/>
    <w:rsid w:val="00802737"/>
    <w:rsid w:val="00803E09"/>
    <w:rsid w:val="0080476C"/>
    <w:rsid w:val="00804892"/>
    <w:rsid w:val="0080553C"/>
    <w:rsid w:val="00805B46"/>
    <w:rsid w:val="00806439"/>
    <w:rsid w:val="008106B9"/>
    <w:rsid w:val="0081118B"/>
    <w:rsid w:val="008114CF"/>
    <w:rsid w:val="008119BD"/>
    <w:rsid w:val="0081603F"/>
    <w:rsid w:val="00821A4C"/>
    <w:rsid w:val="00822513"/>
    <w:rsid w:val="00823DDF"/>
    <w:rsid w:val="008252FD"/>
    <w:rsid w:val="0082557D"/>
    <w:rsid w:val="00825977"/>
    <w:rsid w:val="00825DC2"/>
    <w:rsid w:val="008278E4"/>
    <w:rsid w:val="00827A31"/>
    <w:rsid w:val="00830BF5"/>
    <w:rsid w:val="00831364"/>
    <w:rsid w:val="00832552"/>
    <w:rsid w:val="008325FD"/>
    <w:rsid w:val="008340F1"/>
    <w:rsid w:val="00834AD3"/>
    <w:rsid w:val="00834C1D"/>
    <w:rsid w:val="00834FFD"/>
    <w:rsid w:val="0083594E"/>
    <w:rsid w:val="00835F27"/>
    <w:rsid w:val="00840437"/>
    <w:rsid w:val="00843795"/>
    <w:rsid w:val="008468C4"/>
    <w:rsid w:val="00846BFF"/>
    <w:rsid w:val="00847F0F"/>
    <w:rsid w:val="0085032D"/>
    <w:rsid w:val="00850344"/>
    <w:rsid w:val="0085047B"/>
    <w:rsid w:val="00852448"/>
    <w:rsid w:val="0085293A"/>
    <w:rsid w:val="00852FE6"/>
    <w:rsid w:val="00854334"/>
    <w:rsid w:val="008602E5"/>
    <w:rsid w:val="00860354"/>
    <w:rsid w:val="00860EEA"/>
    <w:rsid w:val="0086492B"/>
    <w:rsid w:val="008659BE"/>
    <w:rsid w:val="008665DB"/>
    <w:rsid w:val="008672E8"/>
    <w:rsid w:val="0087165C"/>
    <w:rsid w:val="00871AEC"/>
    <w:rsid w:val="008720E4"/>
    <w:rsid w:val="00872B57"/>
    <w:rsid w:val="00875D1F"/>
    <w:rsid w:val="00876B3A"/>
    <w:rsid w:val="00877A02"/>
    <w:rsid w:val="00880870"/>
    <w:rsid w:val="00880CBC"/>
    <w:rsid w:val="00880F1C"/>
    <w:rsid w:val="0088188F"/>
    <w:rsid w:val="0088258A"/>
    <w:rsid w:val="00883AA9"/>
    <w:rsid w:val="00884717"/>
    <w:rsid w:val="00884F51"/>
    <w:rsid w:val="00884FF1"/>
    <w:rsid w:val="00885760"/>
    <w:rsid w:val="00885A66"/>
    <w:rsid w:val="00886332"/>
    <w:rsid w:val="0088650F"/>
    <w:rsid w:val="00886696"/>
    <w:rsid w:val="0088706B"/>
    <w:rsid w:val="00887885"/>
    <w:rsid w:val="008913C4"/>
    <w:rsid w:val="00891A64"/>
    <w:rsid w:val="0089266D"/>
    <w:rsid w:val="00892C69"/>
    <w:rsid w:val="008952D3"/>
    <w:rsid w:val="008A0DA3"/>
    <w:rsid w:val="008A2570"/>
    <w:rsid w:val="008A26D9"/>
    <w:rsid w:val="008A2ABD"/>
    <w:rsid w:val="008A5991"/>
    <w:rsid w:val="008A6991"/>
    <w:rsid w:val="008A781A"/>
    <w:rsid w:val="008B0BE6"/>
    <w:rsid w:val="008B1DDC"/>
    <w:rsid w:val="008B1EC9"/>
    <w:rsid w:val="008B28BA"/>
    <w:rsid w:val="008B330C"/>
    <w:rsid w:val="008B4591"/>
    <w:rsid w:val="008B5923"/>
    <w:rsid w:val="008B6A1F"/>
    <w:rsid w:val="008B6C73"/>
    <w:rsid w:val="008B6FE1"/>
    <w:rsid w:val="008C0242"/>
    <w:rsid w:val="008C1100"/>
    <w:rsid w:val="008C27D0"/>
    <w:rsid w:val="008C37FF"/>
    <w:rsid w:val="008C530A"/>
    <w:rsid w:val="008C7013"/>
    <w:rsid w:val="008D1C94"/>
    <w:rsid w:val="008D361F"/>
    <w:rsid w:val="008E01F5"/>
    <w:rsid w:val="008E0426"/>
    <w:rsid w:val="008E18E9"/>
    <w:rsid w:val="008E2157"/>
    <w:rsid w:val="008E22FA"/>
    <w:rsid w:val="008E3158"/>
    <w:rsid w:val="008E3FD2"/>
    <w:rsid w:val="008E6509"/>
    <w:rsid w:val="008E6907"/>
    <w:rsid w:val="008E6D40"/>
    <w:rsid w:val="008E750B"/>
    <w:rsid w:val="008E7B86"/>
    <w:rsid w:val="008E7DB2"/>
    <w:rsid w:val="008E7EDE"/>
    <w:rsid w:val="008F1AC9"/>
    <w:rsid w:val="008F3638"/>
    <w:rsid w:val="008F3654"/>
    <w:rsid w:val="008F41AD"/>
    <w:rsid w:val="008F423C"/>
    <w:rsid w:val="008F6632"/>
    <w:rsid w:val="008F6CB7"/>
    <w:rsid w:val="008F6F31"/>
    <w:rsid w:val="008F74DF"/>
    <w:rsid w:val="0090026F"/>
    <w:rsid w:val="00900CCE"/>
    <w:rsid w:val="00901BC7"/>
    <w:rsid w:val="009021D3"/>
    <w:rsid w:val="00902896"/>
    <w:rsid w:val="00903EC3"/>
    <w:rsid w:val="009046CB"/>
    <w:rsid w:val="00906936"/>
    <w:rsid w:val="00906D07"/>
    <w:rsid w:val="0090773D"/>
    <w:rsid w:val="009104D1"/>
    <w:rsid w:val="00910C2A"/>
    <w:rsid w:val="00910C4C"/>
    <w:rsid w:val="0091110E"/>
    <w:rsid w:val="00911235"/>
    <w:rsid w:val="009127BA"/>
    <w:rsid w:val="00912F59"/>
    <w:rsid w:val="00913383"/>
    <w:rsid w:val="00914BA8"/>
    <w:rsid w:val="0091509B"/>
    <w:rsid w:val="00915408"/>
    <w:rsid w:val="0091546E"/>
    <w:rsid w:val="009179B6"/>
    <w:rsid w:val="0092031B"/>
    <w:rsid w:val="009203E7"/>
    <w:rsid w:val="009209AA"/>
    <w:rsid w:val="00920B7D"/>
    <w:rsid w:val="009210C8"/>
    <w:rsid w:val="009227A6"/>
    <w:rsid w:val="00922C8A"/>
    <w:rsid w:val="0092366F"/>
    <w:rsid w:val="0092391F"/>
    <w:rsid w:val="00925F89"/>
    <w:rsid w:val="009269E1"/>
    <w:rsid w:val="0092753D"/>
    <w:rsid w:val="00930F17"/>
    <w:rsid w:val="0093218B"/>
    <w:rsid w:val="00932372"/>
    <w:rsid w:val="00933EC1"/>
    <w:rsid w:val="00936692"/>
    <w:rsid w:val="00936B02"/>
    <w:rsid w:val="0093708A"/>
    <w:rsid w:val="0094021A"/>
    <w:rsid w:val="009411B3"/>
    <w:rsid w:val="00941BB9"/>
    <w:rsid w:val="00941C5E"/>
    <w:rsid w:val="00941CF0"/>
    <w:rsid w:val="00941EF9"/>
    <w:rsid w:val="00943F43"/>
    <w:rsid w:val="00945F8B"/>
    <w:rsid w:val="00946EF7"/>
    <w:rsid w:val="00952ABE"/>
    <w:rsid w:val="009530DB"/>
    <w:rsid w:val="00953676"/>
    <w:rsid w:val="00957840"/>
    <w:rsid w:val="00957E41"/>
    <w:rsid w:val="009602FC"/>
    <w:rsid w:val="009603AD"/>
    <w:rsid w:val="0096080A"/>
    <w:rsid w:val="00961A8B"/>
    <w:rsid w:val="00962443"/>
    <w:rsid w:val="009645E7"/>
    <w:rsid w:val="009647C9"/>
    <w:rsid w:val="0096491C"/>
    <w:rsid w:val="00964B83"/>
    <w:rsid w:val="00966C5D"/>
    <w:rsid w:val="00967F99"/>
    <w:rsid w:val="009705EE"/>
    <w:rsid w:val="009762F8"/>
    <w:rsid w:val="00976BDA"/>
    <w:rsid w:val="00977927"/>
    <w:rsid w:val="0098009F"/>
    <w:rsid w:val="00980223"/>
    <w:rsid w:val="0098135C"/>
    <w:rsid w:val="0098156A"/>
    <w:rsid w:val="0098422A"/>
    <w:rsid w:val="00984347"/>
    <w:rsid w:val="00984351"/>
    <w:rsid w:val="0098537F"/>
    <w:rsid w:val="00985B99"/>
    <w:rsid w:val="00985CAD"/>
    <w:rsid w:val="00990182"/>
    <w:rsid w:val="009921EB"/>
    <w:rsid w:val="00996693"/>
    <w:rsid w:val="00997E65"/>
    <w:rsid w:val="009A16AA"/>
    <w:rsid w:val="009A203A"/>
    <w:rsid w:val="009A24B0"/>
    <w:rsid w:val="009A34B2"/>
    <w:rsid w:val="009A40B0"/>
    <w:rsid w:val="009A4C7B"/>
    <w:rsid w:val="009A4E18"/>
    <w:rsid w:val="009A6736"/>
    <w:rsid w:val="009A792E"/>
    <w:rsid w:val="009B068E"/>
    <w:rsid w:val="009B4CC8"/>
    <w:rsid w:val="009B5808"/>
    <w:rsid w:val="009B743A"/>
    <w:rsid w:val="009B75C1"/>
    <w:rsid w:val="009C0165"/>
    <w:rsid w:val="009C0FB5"/>
    <w:rsid w:val="009C1335"/>
    <w:rsid w:val="009C1AB2"/>
    <w:rsid w:val="009C22CC"/>
    <w:rsid w:val="009C3183"/>
    <w:rsid w:val="009C41DE"/>
    <w:rsid w:val="009C55CE"/>
    <w:rsid w:val="009C58E0"/>
    <w:rsid w:val="009C59D5"/>
    <w:rsid w:val="009C5DCB"/>
    <w:rsid w:val="009C7251"/>
    <w:rsid w:val="009D03BD"/>
    <w:rsid w:val="009D0E86"/>
    <w:rsid w:val="009D2AD9"/>
    <w:rsid w:val="009D3868"/>
    <w:rsid w:val="009D48BF"/>
    <w:rsid w:val="009D4EB8"/>
    <w:rsid w:val="009D5A59"/>
    <w:rsid w:val="009D7E71"/>
    <w:rsid w:val="009E085B"/>
    <w:rsid w:val="009E1846"/>
    <w:rsid w:val="009E19E6"/>
    <w:rsid w:val="009E1D0F"/>
    <w:rsid w:val="009E2E91"/>
    <w:rsid w:val="009E5AE7"/>
    <w:rsid w:val="009E60C2"/>
    <w:rsid w:val="009E61CF"/>
    <w:rsid w:val="009E67BF"/>
    <w:rsid w:val="009E6CC1"/>
    <w:rsid w:val="009E708E"/>
    <w:rsid w:val="009F32DF"/>
    <w:rsid w:val="009F46AA"/>
    <w:rsid w:val="009F62B9"/>
    <w:rsid w:val="009F7688"/>
    <w:rsid w:val="009F7BAC"/>
    <w:rsid w:val="00A00D1C"/>
    <w:rsid w:val="00A0171D"/>
    <w:rsid w:val="00A0402E"/>
    <w:rsid w:val="00A051E2"/>
    <w:rsid w:val="00A051F6"/>
    <w:rsid w:val="00A068AA"/>
    <w:rsid w:val="00A06BD8"/>
    <w:rsid w:val="00A07F1D"/>
    <w:rsid w:val="00A07FB6"/>
    <w:rsid w:val="00A11789"/>
    <w:rsid w:val="00A11D43"/>
    <w:rsid w:val="00A13211"/>
    <w:rsid w:val="00A13956"/>
    <w:rsid w:val="00A139F5"/>
    <w:rsid w:val="00A13D15"/>
    <w:rsid w:val="00A1570A"/>
    <w:rsid w:val="00A206F5"/>
    <w:rsid w:val="00A22043"/>
    <w:rsid w:val="00A223E6"/>
    <w:rsid w:val="00A2281C"/>
    <w:rsid w:val="00A231F3"/>
    <w:rsid w:val="00A24EE1"/>
    <w:rsid w:val="00A25A93"/>
    <w:rsid w:val="00A25E14"/>
    <w:rsid w:val="00A266B5"/>
    <w:rsid w:val="00A268F8"/>
    <w:rsid w:val="00A31325"/>
    <w:rsid w:val="00A321E4"/>
    <w:rsid w:val="00A336F9"/>
    <w:rsid w:val="00A33F4A"/>
    <w:rsid w:val="00A341BE"/>
    <w:rsid w:val="00A365F4"/>
    <w:rsid w:val="00A36A5C"/>
    <w:rsid w:val="00A36AF6"/>
    <w:rsid w:val="00A36BA6"/>
    <w:rsid w:val="00A36EB7"/>
    <w:rsid w:val="00A36F79"/>
    <w:rsid w:val="00A3727D"/>
    <w:rsid w:val="00A4019F"/>
    <w:rsid w:val="00A422C5"/>
    <w:rsid w:val="00A44AB4"/>
    <w:rsid w:val="00A47D80"/>
    <w:rsid w:val="00A50D17"/>
    <w:rsid w:val="00A510D2"/>
    <w:rsid w:val="00A521CD"/>
    <w:rsid w:val="00A5294B"/>
    <w:rsid w:val="00A53132"/>
    <w:rsid w:val="00A54FE2"/>
    <w:rsid w:val="00A55245"/>
    <w:rsid w:val="00A563F2"/>
    <w:rsid w:val="00A566E8"/>
    <w:rsid w:val="00A56BA3"/>
    <w:rsid w:val="00A57A69"/>
    <w:rsid w:val="00A62657"/>
    <w:rsid w:val="00A643BB"/>
    <w:rsid w:val="00A66A57"/>
    <w:rsid w:val="00A66C2E"/>
    <w:rsid w:val="00A66EAC"/>
    <w:rsid w:val="00A67A65"/>
    <w:rsid w:val="00A70B9B"/>
    <w:rsid w:val="00A72F76"/>
    <w:rsid w:val="00A7332B"/>
    <w:rsid w:val="00A7341B"/>
    <w:rsid w:val="00A7366D"/>
    <w:rsid w:val="00A73880"/>
    <w:rsid w:val="00A73ABE"/>
    <w:rsid w:val="00A73AE7"/>
    <w:rsid w:val="00A7422C"/>
    <w:rsid w:val="00A74B25"/>
    <w:rsid w:val="00A750E3"/>
    <w:rsid w:val="00A758C8"/>
    <w:rsid w:val="00A75F9D"/>
    <w:rsid w:val="00A76285"/>
    <w:rsid w:val="00A80CFB"/>
    <w:rsid w:val="00A810BB"/>
    <w:rsid w:val="00A811F0"/>
    <w:rsid w:val="00A852B4"/>
    <w:rsid w:val="00A86A42"/>
    <w:rsid w:val="00A86CFA"/>
    <w:rsid w:val="00A86ECC"/>
    <w:rsid w:val="00A86FCC"/>
    <w:rsid w:val="00A87B2A"/>
    <w:rsid w:val="00A92431"/>
    <w:rsid w:val="00A93290"/>
    <w:rsid w:val="00A94A12"/>
    <w:rsid w:val="00A96559"/>
    <w:rsid w:val="00A96926"/>
    <w:rsid w:val="00A97C7D"/>
    <w:rsid w:val="00AA04B6"/>
    <w:rsid w:val="00AA0C5A"/>
    <w:rsid w:val="00AA34FD"/>
    <w:rsid w:val="00AA6722"/>
    <w:rsid w:val="00AA705A"/>
    <w:rsid w:val="00AA710D"/>
    <w:rsid w:val="00AA7560"/>
    <w:rsid w:val="00AB01F1"/>
    <w:rsid w:val="00AB3317"/>
    <w:rsid w:val="00AB37B7"/>
    <w:rsid w:val="00AB4A33"/>
    <w:rsid w:val="00AB5850"/>
    <w:rsid w:val="00AB6B89"/>
    <w:rsid w:val="00AB6D25"/>
    <w:rsid w:val="00AB6D9B"/>
    <w:rsid w:val="00AB72CA"/>
    <w:rsid w:val="00AB7E3B"/>
    <w:rsid w:val="00AC13AF"/>
    <w:rsid w:val="00AC16C5"/>
    <w:rsid w:val="00AC2BAC"/>
    <w:rsid w:val="00AC3527"/>
    <w:rsid w:val="00AC4CDB"/>
    <w:rsid w:val="00AC5106"/>
    <w:rsid w:val="00AC7586"/>
    <w:rsid w:val="00AC7777"/>
    <w:rsid w:val="00AD085B"/>
    <w:rsid w:val="00AD2A26"/>
    <w:rsid w:val="00AD6428"/>
    <w:rsid w:val="00AD699B"/>
    <w:rsid w:val="00AD7219"/>
    <w:rsid w:val="00AE110F"/>
    <w:rsid w:val="00AE14B1"/>
    <w:rsid w:val="00AE269F"/>
    <w:rsid w:val="00AE2D4B"/>
    <w:rsid w:val="00AE464A"/>
    <w:rsid w:val="00AE4822"/>
    <w:rsid w:val="00AE4F99"/>
    <w:rsid w:val="00AE62E6"/>
    <w:rsid w:val="00AF2781"/>
    <w:rsid w:val="00AF4F89"/>
    <w:rsid w:val="00AF6313"/>
    <w:rsid w:val="00B00F58"/>
    <w:rsid w:val="00B01C23"/>
    <w:rsid w:val="00B05A32"/>
    <w:rsid w:val="00B06AC7"/>
    <w:rsid w:val="00B074A1"/>
    <w:rsid w:val="00B0783E"/>
    <w:rsid w:val="00B10D73"/>
    <w:rsid w:val="00B1200C"/>
    <w:rsid w:val="00B126B5"/>
    <w:rsid w:val="00B145E2"/>
    <w:rsid w:val="00B14952"/>
    <w:rsid w:val="00B1514F"/>
    <w:rsid w:val="00B16C73"/>
    <w:rsid w:val="00B16F73"/>
    <w:rsid w:val="00B172DF"/>
    <w:rsid w:val="00B200FA"/>
    <w:rsid w:val="00B210BF"/>
    <w:rsid w:val="00B2134C"/>
    <w:rsid w:val="00B23412"/>
    <w:rsid w:val="00B23D69"/>
    <w:rsid w:val="00B24A8B"/>
    <w:rsid w:val="00B24E62"/>
    <w:rsid w:val="00B25B97"/>
    <w:rsid w:val="00B31E5A"/>
    <w:rsid w:val="00B350A0"/>
    <w:rsid w:val="00B35AB8"/>
    <w:rsid w:val="00B35DDE"/>
    <w:rsid w:val="00B35F4F"/>
    <w:rsid w:val="00B362F8"/>
    <w:rsid w:val="00B366F3"/>
    <w:rsid w:val="00B36FEF"/>
    <w:rsid w:val="00B37483"/>
    <w:rsid w:val="00B41A2C"/>
    <w:rsid w:val="00B447C4"/>
    <w:rsid w:val="00B44F0A"/>
    <w:rsid w:val="00B47305"/>
    <w:rsid w:val="00B4786B"/>
    <w:rsid w:val="00B50344"/>
    <w:rsid w:val="00B511F2"/>
    <w:rsid w:val="00B51E9F"/>
    <w:rsid w:val="00B52CD2"/>
    <w:rsid w:val="00B53BF2"/>
    <w:rsid w:val="00B55F11"/>
    <w:rsid w:val="00B560E4"/>
    <w:rsid w:val="00B562B0"/>
    <w:rsid w:val="00B56BFB"/>
    <w:rsid w:val="00B56C44"/>
    <w:rsid w:val="00B56D99"/>
    <w:rsid w:val="00B6005B"/>
    <w:rsid w:val="00B60A9B"/>
    <w:rsid w:val="00B60C8B"/>
    <w:rsid w:val="00B60CAA"/>
    <w:rsid w:val="00B60CAC"/>
    <w:rsid w:val="00B60EB4"/>
    <w:rsid w:val="00B63913"/>
    <w:rsid w:val="00B653AB"/>
    <w:rsid w:val="00B653BB"/>
    <w:rsid w:val="00B653FD"/>
    <w:rsid w:val="00B65F9E"/>
    <w:rsid w:val="00B66839"/>
    <w:rsid w:val="00B66B19"/>
    <w:rsid w:val="00B70B43"/>
    <w:rsid w:val="00B71535"/>
    <w:rsid w:val="00B7359B"/>
    <w:rsid w:val="00B76EA1"/>
    <w:rsid w:val="00B80DCF"/>
    <w:rsid w:val="00B85801"/>
    <w:rsid w:val="00B86633"/>
    <w:rsid w:val="00B8712B"/>
    <w:rsid w:val="00B87436"/>
    <w:rsid w:val="00B90948"/>
    <w:rsid w:val="00B914E9"/>
    <w:rsid w:val="00B92CDE"/>
    <w:rsid w:val="00B94373"/>
    <w:rsid w:val="00B956EE"/>
    <w:rsid w:val="00B95BFE"/>
    <w:rsid w:val="00B97210"/>
    <w:rsid w:val="00B97DCA"/>
    <w:rsid w:val="00B97E8A"/>
    <w:rsid w:val="00BA0245"/>
    <w:rsid w:val="00BA0895"/>
    <w:rsid w:val="00BA09FF"/>
    <w:rsid w:val="00BA1328"/>
    <w:rsid w:val="00BA2BA1"/>
    <w:rsid w:val="00BA3B38"/>
    <w:rsid w:val="00BA437D"/>
    <w:rsid w:val="00BA6475"/>
    <w:rsid w:val="00BA6E49"/>
    <w:rsid w:val="00BA6E7F"/>
    <w:rsid w:val="00BA73E2"/>
    <w:rsid w:val="00BB0131"/>
    <w:rsid w:val="00BB127F"/>
    <w:rsid w:val="00BB20E3"/>
    <w:rsid w:val="00BB2EB4"/>
    <w:rsid w:val="00BB2F29"/>
    <w:rsid w:val="00BB37E6"/>
    <w:rsid w:val="00BB3FFB"/>
    <w:rsid w:val="00BB4795"/>
    <w:rsid w:val="00BB7783"/>
    <w:rsid w:val="00BB77CB"/>
    <w:rsid w:val="00BB7C37"/>
    <w:rsid w:val="00BC30E5"/>
    <w:rsid w:val="00BC32E1"/>
    <w:rsid w:val="00BC399A"/>
    <w:rsid w:val="00BC4B59"/>
    <w:rsid w:val="00BC4CA6"/>
    <w:rsid w:val="00BC4DE3"/>
    <w:rsid w:val="00BC512B"/>
    <w:rsid w:val="00BC6B1C"/>
    <w:rsid w:val="00BD0AF7"/>
    <w:rsid w:val="00BD26FA"/>
    <w:rsid w:val="00BD3265"/>
    <w:rsid w:val="00BD3AD3"/>
    <w:rsid w:val="00BD4BD5"/>
    <w:rsid w:val="00BD4E33"/>
    <w:rsid w:val="00BD6CBF"/>
    <w:rsid w:val="00BE0358"/>
    <w:rsid w:val="00BE25CD"/>
    <w:rsid w:val="00BE29A1"/>
    <w:rsid w:val="00BE6128"/>
    <w:rsid w:val="00BE6E57"/>
    <w:rsid w:val="00BF1A32"/>
    <w:rsid w:val="00BF21DD"/>
    <w:rsid w:val="00BF2AF3"/>
    <w:rsid w:val="00BF2BE0"/>
    <w:rsid w:val="00BF2F2C"/>
    <w:rsid w:val="00BF5D18"/>
    <w:rsid w:val="00C00040"/>
    <w:rsid w:val="00C030DE"/>
    <w:rsid w:val="00C04116"/>
    <w:rsid w:val="00C045E4"/>
    <w:rsid w:val="00C04CDF"/>
    <w:rsid w:val="00C06507"/>
    <w:rsid w:val="00C116FD"/>
    <w:rsid w:val="00C12DDE"/>
    <w:rsid w:val="00C13BC5"/>
    <w:rsid w:val="00C163BD"/>
    <w:rsid w:val="00C16FE4"/>
    <w:rsid w:val="00C17BB9"/>
    <w:rsid w:val="00C22105"/>
    <w:rsid w:val="00C22830"/>
    <w:rsid w:val="00C2352A"/>
    <w:rsid w:val="00C244B6"/>
    <w:rsid w:val="00C2702E"/>
    <w:rsid w:val="00C27BE6"/>
    <w:rsid w:val="00C3244F"/>
    <w:rsid w:val="00C32A13"/>
    <w:rsid w:val="00C3598D"/>
    <w:rsid w:val="00C35FC8"/>
    <w:rsid w:val="00C372D6"/>
    <w:rsid w:val="00C37609"/>
    <w:rsid w:val="00C40D4F"/>
    <w:rsid w:val="00C41277"/>
    <w:rsid w:val="00C412F7"/>
    <w:rsid w:val="00C42B6B"/>
    <w:rsid w:val="00C42E05"/>
    <w:rsid w:val="00C4481B"/>
    <w:rsid w:val="00C45334"/>
    <w:rsid w:val="00C465CF"/>
    <w:rsid w:val="00C4751D"/>
    <w:rsid w:val="00C4786E"/>
    <w:rsid w:val="00C47FC4"/>
    <w:rsid w:val="00C51A8A"/>
    <w:rsid w:val="00C51F98"/>
    <w:rsid w:val="00C5230F"/>
    <w:rsid w:val="00C537C3"/>
    <w:rsid w:val="00C548B8"/>
    <w:rsid w:val="00C549B0"/>
    <w:rsid w:val="00C5561A"/>
    <w:rsid w:val="00C5773C"/>
    <w:rsid w:val="00C60C4B"/>
    <w:rsid w:val="00C6198C"/>
    <w:rsid w:val="00C648ED"/>
    <w:rsid w:val="00C64A37"/>
    <w:rsid w:val="00C64D56"/>
    <w:rsid w:val="00C652B3"/>
    <w:rsid w:val="00C6574D"/>
    <w:rsid w:val="00C668EA"/>
    <w:rsid w:val="00C70AFF"/>
    <w:rsid w:val="00C7158E"/>
    <w:rsid w:val="00C715FF"/>
    <w:rsid w:val="00C7250B"/>
    <w:rsid w:val="00C7295D"/>
    <w:rsid w:val="00C7346B"/>
    <w:rsid w:val="00C73BAE"/>
    <w:rsid w:val="00C74257"/>
    <w:rsid w:val="00C75437"/>
    <w:rsid w:val="00C75940"/>
    <w:rsid w:val="00C75CAD"/>
    <w:rsid w:val="00C76DB1"/>
    <w:rsid w:val="00C77C0E"/>
    <w:rsid w:val="00C8318C"/>
    <w:rsid w:val="00C850B6"/>
    <w:rsid w:val="00C90344"/>
    <w:rsid w:val="00C90C85"/>
    <w:rsid w:val="00C91687"/>
    <w:rsid w:val="00C924A8"/>
    <w:rsid w:val="00C93EB3"/>
    <w:rsid w:val="00C945FE"/>
    <w:rsid w:val="00C94819"/>
    <w:rsid w:val="00C96473"/>
    <w:rsid w:val="00C96FAA"/>
    <w:rsid w:val="00C97A04"/>
    <w:rsid w:val="00C97D7D"/>
    <w:rsid w:val="00C97E85"/>
    <w:rsid w:val="00CA107B"/>
    <w:rsid w:val="00CA38AE"/>
    <w:rsid w:val="00CA484D"/>
    <w:rsid w:val="00CA4A38"/>
    <w:rsid w:val="00CA6E34"/>
    <w:rsid w:val="00CA6E97"/>
    <w:rsid w:val="00CB047A"/>
    <w:rsid w:val="00CB0DAC"/>
    <w:rsid w:val="00CB3A5F"/>
    <w:rsid w:val="00CB4742"/>
    <w:rsid w:val="00CB5572"/>
    <w:rsid w:val="00CB57DE"/>
    <w:rsid w:val="00CB61AE"/>
    <w:rsid w:val="00CB77D4"/>
    <w:rsid w:val="00CB7B94"/>
    <w:rsid w:val="00CC4B15"/>
    <w:rsid w:val="00CC4D5F"/>
    <w:rsid w:val="00CC4F14"/>
    <w:rsid w:val="00CC5A92"/>
    <w:rsid w:val="00CC6E4A"/>
    <w:rsid w:val="00CC739E"/>
    <w:rsid w:val="00CC7E7A"/>
    <w:rsid w:val="00CD1BB3"/>
    <w:rsid w:val="00CD3020"/>
    <w:rsid w:val="00CD3028"/>
    <w:rsid w:val="00CD3F77"/>
    <w:rsid w:val="00CD58B7"/>
    <w:rsid w:val="00CD6D4C"/>
    <w:rsid w:val="00CD790C"/>
    <w:rsid w:val="00CE06F1"/>
    <w:rsid w:val="00CE104F"/>
    <w:rsid w:val="00CE2BA3"/>
    <w:rsid w:val="00CE479B"/>
    <w:rsid w:val="00CE4B17"/>
    <w:rsid w:val="00CE5AE4"/>
    <w:rsid w:val="00CE69C6"/>
    <w:rsid w:val="00CE6A10"/>
    <w:rsid w:val="00CE6D4A"/>
    <w:rsid w:val="00CE738C"/>
    <w:rsid w:val="00CF0700"/>
    <w:rsid w:val="00CF0EB6"/>
    <w:rsid w:val="00CF1BCC"/>
    <w:rsid w:val="00CF3244"/>
    <w:rsid w:val="00CF354B"/>
    <w:rsid w:val="00CF3739"/>
    <w:rsid w:val="00CF3ABD"/>
    <w:rsid w:val="00CF3FF1"/>
    <w:rsid w:val="00CF4099"/>
    <w:rsid w:val="00CF787A"/>
    <w:rsid w:val="00D0156F"/>
    <w:rsid w:val="00D050BB"/>
    <w:rsid w:val="00D05162"/>
    <w:rsid w:val="00D05C62"/>
    <w:rsid w:val="00D07944"/>
    <w:rsid w:val="00D10570"/>
    <w:rsid w:val="00D10C61"/>
    <w:rsid w:val="00D110BD"/>
    <w:rsid w:val="00D126C5"/>
    <w:rsid w:val="00D13E33"/>
    <w:rsid w:val="00D144D4"/>
    <w:rsid w:val="00D16814"/>
    <w:rsid w:val="00D16B1B"/>
    <w:rsid w:val="00D17D8C"/>
    <w:rsid w:val="00D20D4B"/>
    <w:rsid w:val="00D22A74"/>
    <w:rsid w:val="00D22F17"/>
    <w:rsid w:val="00D22F3C"/>
    <w:rsid w:val="00D23A75"/>
    <w:rsid w:val="00D24DFD"/>
    <w:rsid w:val="00D261A2"/>
    <w:rsid w:val="00D26424"/>
    <w:rsid w:val="00D26EC1"/>
    <w:rsid w:val="00D272B7"/>
    <w:rsid w:val="00D30038"/>
    <w:rsid w:val="00D30667"/>
    <w:rsid w:val="00D30873"/>
    <w:rsid w:val="00D30AB1"/>
    <w:rsid w:val="00D313B7"/>
    <w:rsid w:val="00D31EDD"/>
    <w:rsid w:val="00D32507"/>
    <w:rsid w:val="00D32E28"/>
    <w:rsid w:val="00D33600"/>
    <w:rsid w:val="00D33ADF"/>
    <w:rsid w:val="00D33AF1"/>
    <w:rsid w:val="00D33C0E"/>
    <w:rsid w:val="00D34790"/>
    <w:rsid w:val="00D34814"/>
    <w:rsid w:val="00D34B9C"/>
    <w:rsid w:val="00D350AE"/>
    <w:rsid w:val="00D35CA9"/>
    <w:rsid w:val="00D3676A"/>
    <w:rsid w:val="00D36F49"/>
    <w:rsid w:val="00D377EE"/>
    <w:rsid w:val="00D4076C"/>
    <w:rsid w:val="00D4119F"/>
    <w:rsid w:val="00D41C37"/>
    <w:rsid w:val="00D424E9"/>
    <w:rsid w:val="00D42C69"/>
    <w:rsid w:val="00D43133"/>
    <w:rsid w:val="00D4442D"/>
    <w:rsid w:val="00D45562"/>
    <w:rsid w:val="00D45C50"/>
    <w:rsid w:val="00D46354"/>
    <w:rsid w:val="00D46AAD"/>
    <w:rsid w:val="00D46DAF"/>
    <w:rsid w:val="00D475CA"/>
    <w:rsid w:val="00D477D3"/>
    <w:rsid w:val="00D50F65"/>
    <w:rsid w:val="00D511A5"/>
    <w:rsid w:val="00D527B6"/>
    <w:rsid w:val="00D54E78"/>
    <w:rsid w:val="00D55234"/>
    <w:rsid w:val="00D5712F"/>
    <w:rsid w:val="00D608CF"/>
    <w:rsid w:val="00D61206"/>
    <w:rsid w:val="00D616D2"/>
    <w:rsid w:val="00D635A9"/>
    <w:rsid w:val="00D63B5F"/>
    <w:rsid w:val="00D63F51"/>
    <w:rsid w:val="00D64C6A"/>
    <w:rsid w:val="00D6714E"/>
    <w:rsid w:val="00D67785"/>
    <w:rsid w:val="00D7099F"/>
    <w:rsid w:val="00D70EF7"/>
    <w:rsid w:val="00D715DF"/>
    <w:rsid w:val="00D71B34"/>
    <w:rsid w:val="00D72389"/>
    <w:rsid w:val="00D733F4"/>
    <w:rsid w:val="00D738D3"/>
    <w:rsid w:val="00D742B6"/>
    <w:rsid w:val="00D74A5A"/>
    <w:rsid w:val="00D76E82"/>
    <w:rsid w:val="00D77205"/>
    <w:rsid w:val="00D816EE"/>
    <w:rsid w:val="00D81C58"/>
    <w:rsid w:val="00D8319E"/>
    <w:rsid w:val="00D83308"/>
    <w:rsid w:val="00D83966"/>
    <w:rsid w:val="00D8397C"/>
    <w:rsid w:val="00D90208"/>
    <w:rsid w:val="00D92B60"/>
    <w:rsid w:val="00D93376"/>
    <w:rsid w:val="00D94657"/>
    <w:rsid w:val="00D94BB0"/>
    <w:rsid w:val="00D94CE0"/>
    <w:rsid w:val="00D94EED"/>
    <w:rsid w:val="00D96026"/>
    <w:rsid w:val="00D96083"/>
    <w:rsid w:val="00D9640F"/>
    <w:rsid w:val="00D9643D"/>
    <w:rsid w:val="00D96619"/>
    <w:rsid w:val="00D97655"/>
    <w:rsid w:val="00D97F2A"/>
    <w:rsid w:val="00DA0110"/>
    <w:rsid w:val="00DA0179"/>
    <w:rsid w:val="00DA1044"/>
    <w:rsid w:val="00DA11F9"/>
    <w:rsid w:val="00DA1D07"/>
    <w:rsid w:val="00DA42BA"/>
    <w:rsid w:val="00DA5596"/>
    <w:rsid w:val="00DA5E0F"/>
    <w:rsid w:val="00DA70D1"/>
    <w:rsid w:val="00DB0097"/>
    <w:rsid w:val="00DB0B3F"/>
    <w:rsid w:val="00DB0C17"/>
    <w:rsid w:val="00DB147A"/>
    <w:rsid w:val="00DB159E"/>
    <w:rsid w:val="00DB1B7A"/>
    <w:rsid w:val="00DB5158"/>
    <w:rsid w:val="00DB5613"/>
    <w:rsid w:val="00DB72F4"/>
    <w:rsid w:val="00DB778D"/>
    <w:rsid w:val="00DC09C3"/>
    <w:rsid w:val="00DC10F1"/>
    <w:rsid w:val="00DC1C11"/>
    <w:rsid w:val="00DC1DEC"/>
    <w:rsid w:val="00DC25CD"/>
    <w:rsid w:val="00DC3808"/>
    <w:rsid w:val="00DC5668"/>
    <w:rsid w:val="00DC5762"/>
    <w:rsid w:val="00DC58EC"/>
    <w:rsid w:val="00DC6708"/>
    <w:rsid w:val="00DC6F18"/>
    <w:rsid w:val="00DD0693"/>
    <w:rsid w:val="00DD0C95"/>
    <w:rsid w:val="00DD2439"/>
    <w:rsid w:val="00DD42AD"/>
    <w:rsid w:val="00DD4D9D"/>
    <w:rsid w:val="00DD54A4"/>
    <w:rsid w:val="00DD6C42"/>
    <w:rsid w:val="00DD7469"/>
    <w:rsid w:val="00DE0352"/>
    <w:rsid w:val="00DE0D53"/>
    <w:rsid w:val="00DE2DE3"/>
    <w:rsid w:val="00DE3D79"/>
    <w:rsid w:val="00DE5AB6"/>
    <w:rsid w:val="00DE6052"/>
    <w:rsid w:val="00DE6313"/>
    <w:rsid w:val="00DE78B6"/>
    <w:rsid w:val="00DF013A"/>
    <w:rsid w:val="00DF16C0"/>
    <w:rsid w:val="00DF1D45"/>
    <w:rsid w:val="00DF39C9"/>
    <w:rsid w:val="00DF3B68"/>
    <w:rsid w:val="00DF3BFD"/>
    <w:rsid w:val="00DF4D04"/>
    <w:rsid w:val="00DF50C1"/>
    <w:rsid w:val="00DF543F"/>
    <w:rsid w:val="00E00026"/>
    <w:rsid w:val="00E00298"/>
    <w:rsid w:val="00E00F91"/>
    <w:rsid w:val="00E011CF"/>
    <w:rsid w:val="00E01436"/>
    <w:rsid w:val="00E01BC8"/>
    <w:rsid w:val="00E01EBF"/>
    <w:rsid w:val="00E020FD"/>
    <w:rsid w:val="00E0233B"/>
    <w:rsid w:val="00E03C52"/>
    <w:rsid w:val="00E045BD"/>
    <w:rsid w:val="00E04FF2"/>
    <w:rsid w:val="00E0587B"/>
    <w:rsid w:val="00E06546"/>
    <w:rsid w:val="00E0664E"/>
    <w:rsid w:val="00E06DD1"/>
    <w:rsid w:val="00E10C95"/>
    <w:rsid w:val="00E10FCD"/>
    <w:rsid w:val="00E130B3"/>
    <w:rsid w:val="00E144E4"/>
    <w:rsid w:val="00E14756"/>
    <w:rsid w:val="00E16D71"/>
    <w:rsid w:val="00E17B77"/>
    <w:rsid w:val="00E21369"/>
    <w:rsid w:val="00E22028"/>
    <w:rsid w:val="00E249C3"/>
    <w:rsid w:val="00E26825"/>
    <w:rsid w:val="00E26998"/>
    <w:rsid w:val="00E272AA"/>
    <w:rsid w:val="00E30AAF"/>
    <w:rsid w:val="00E31714"/>
    <w:rsid w:val="00E318F3"/>
    <w:rsid w:val="00E31A42"/>
    <w:rsid w:val="00E31B99"/>
    <w:rsid w:val="00E32061"/>
    <w:rsid w:val="00E32C96"/>
    <w:rsid w:val="00E33ED9"/>
    <w:rsid w:val="00E3508C"/>
    <w:rsid w:val="00E35D77"/>
    <w:rsid w:val="00E36AD5"/>
    <w:rsid w:val="00E36B28"/>
    <w:rsid w:val="00E377B8"/>
    <w:rsid w:val="00E40336"/>
    <w:rsid w:val="00E41760"/>
    <w:rsid w:val="00E42E54"/>
    <w:rsid w:val="00E42FF9"/>
    <w:rsid w:val="00E43B1E"/>
    <w:rsid w:val="00E44307"/>
    <w:rsid w:val="00E454B8"/>
    <w:rsid w:val="00E458E1"/>
    <w:rsid w:val="00E4714C"/>
    <w:rsid w:val="00E476A0"/>
    <w:rsid w:val="00E5190C"/>
    <w:rsid w:val="00E51AD7"/>
    <w:rsid w:val="00E51AEB"/>
    <w:rsid w:val="00E51E90"/>
    <w:rsid w:val="00E522A7"/>
    <w:rsid w:val="00E54452"/>
    <w:rsid w:val="00E5604E"/>
    <w:rsid w:val="00E568B2"/>
    <w:rsid w:val="00E606A7"/>
    <w:rsid w:val="00E62F8C"/>
    <w:rsid w:val="00E637E4"/>
    <w:rsid w:val="00E650CA"/>
    <w:rsid w:val="00E664C5"/>
    <w:rsid w:val="00E671A2"/>
    <w:rsid w:val="00E67F8A"/>
    <w:rsid w:val="00E70683"/>
    <w:rsid w:val="00E7165D"/>
    <w:rsid w:val="00E7180B"/>
    <w:rsid w:val="00E71CE1"/>
    <w:rsid w:val="00E72C42"/>
    <w:rsid w:val="00E7345B"/>
    <w:rsid w:val="00E74945"/>
    <w:rsid w:val="00E74B3C"/>
    <w:rsid w:val="00E761B5"/>
    <w:rsid w:val="00E76D26"/>
    <w:rsid w:val="00E76ECE"/>
    <w:rsid w:val="00E77CC5"/>
    <w:rsid w:val="00E80351"/>
    <w:rsid w:val="00E809A7"/>
    <w:rsid w:val="00E815DD"/>
    <w:rsid w:val="00E83F75"/>
    <w:rsid w:val="00E8543C"/>
    <w:rsid w:val="00E861ED"/>
    <w:rsid w:val="00E86E0C"/>
    <w:rsid w:val="00E86E99"/>
    <w:rsid w:val="00E910CE"/>
    <w:rsid w:val="00E9194D"/>
    <w:rsid w:val="00E91ADB"/>
    <w:rsid w:val="00E94A7F"/>
    <w:rsid w:val="00E95726"/>
    <w:rsid w:val="00E95DE6"/>
    <w:rsid w:val="00E966E0"/>
    <w:rsid w:val="00EA0278"/>
    <w:rsid w:val="00EA1D9A"/>
    <w:rsid w:val="00EA2BF4"/>
    <w:rsid w:val="00EA2E62"/>
    <w:rsid w:val="00EA2FFC"/>
    <w:rsid w:val="00EA3343"/>
    <w:rsid w:val="00EA45BA"/>
    <w:rsid w:val="00EA471D"/>
    <w:rsid w:val="00EA505F"/>
    <w:rsid w:val="00EB1390"/>
    <w:rsid w:val="00EB2818"/>
    <w:rsid w:val="00EB2C71"/>
    <w:rsid w:val="00EB4340"/>
    <w:rsid w:val="00EB7AB1"/>
    <w:rsid w:val="00EB7FF2"/>
    <w:rsid w:val="00EC1598"/>
    <w:rsid w:val="00EC41F8"/>
    <w:rsid w:val="00EC526F"/>
    <w:rsid w:val="00EC5695"/>
    <w:rsid w:val="00EC59AD"/>
    <w:rsid w:val="00EC5FFD"/>
    <w:rsid w:val="00EC6F1B"/>
    <w:rsid w:val="00EC71BC"/>
    <w:rsid w:val="00EC7DBE"/>
    <w:rsid w:val="00ED0A2A"/>
    <w:rsid w:val="00ED19F1"/>
    <w:rsid w:val="00ED55C0"/>
    <w:rsid w:val="00ED682B"/>
    <w:rsid w:val="00ED6FDF"/>
    <w:rsid w:val="00ED710B"/>
    <w:rsid w:val="00ED7F3A"/>
    <w:rsid w:val="00EE0828"/>
    <w:rsid w:val="00EE08D1"/>
    <w:rsid w:val="00EE096A"/>
    <w:rsid w:val="00EE0F10"/>
    <w:rsid w:val="00EE4180"/>
    <w:rsid w:val="00EE41D5"/>
    <w:rsid w:val="00EE4537"/>
    <w:rsid w:val="00EE4A24"/>
    <w:rsid w:val="00EE505A"/>
    <w:rsid w:val="00EE5ABA"/>
    <w:rsid w:val="00EE6647"/>
    <w:rsid w:val="00EF1AD5"/>
    <w:rsid w:val="00EF2A56"/>
    <w:rsid w:val="00EF5861"/>
    <w:rsid w:val="00EF6153"/>
    <w:rsid w:val="00F037A4"/>
    <w:rsid w:val="00F0474B"/>
    <w:rsid w:val="00F070E2"/>
    <w:rsid w:val="00F07A6E"/>
    <w:rsid w:val="00F109B0"/>
    <w:rsid w:val="00F10EB2"/>
    <w:rsid w:val="00F11CDE"/>
    <w:rsid w:val="00F13DFD"/>
    <w:rsid w:val="00F14538"/>
    <w:rsid w:val="00F2593A"/>
    <w:rsid w:val="00F25F27"/>
    <w:rsid w:val="00F27C8F"/>
    <w:rsid w:val="00F31150"/>
    <w:rsid w:val="00F31C42"/>
    <w:rsid w:val="00F32749"/>
    <w:rsid w:val="00F33B6D"/>
    <w:rsid w:val="00F34843"/>
    <w:rsid w:val="00F35B45"/>
    <w:rsid w:val="00F37172"/>
    <w:rsid w:val="00F37483"/>
    <w:rsid w:val="00F37D5F"/>
    <w:rsid w:val="00F4061B"/>
    <w:rsid w:val="00F410E9"/>
    <w:rsid w:val="00F41A30"/>
    <w:rsid w:val="00F439E7"/>
    <w:rsid w:val="00F4477E"/>
    <w:rsid w:val="00F45642"/>
    <w:rsid w:val="00F460CA"/>
    <w:rsid w:val="00F47224"/>
    <w:rsid w:val="00F47508"/>
    <w:rsid w:val="00F5003E"/>
    <w:rsid w:val="00F52D34"/>
    <w:rsid w:val="00F533A8"/>
    <w:rsid w:val="00F579C5"/>
    <w:rsid w:val="00F601A3"/>
    <w:rsid w:val="00F64978"/>
    <w:rsid w:val="00F64AB0"/>
    <w:rsid w:val="00F67B9B"/>
    <w:rsid w:val="00F67D8F"/>
    <w:rsid w:val="00F70A4C"/>
    <w:rsid w:val="00F71749"/>
    <w:rsid w:val="00F731DE"/>
    <w:rsid w:val="00F734CF"/>
    <w:rsid w:val="00F74CAC"/>
    <w:rsid w:val="00F76BAA"/>
    <w:rsid w:val="00F76BFB"/>
    <w:rsid w:val="00F777FE"/>
    <w:rsid w:val="00F7783D"/>
    <w:rsid w:val="00F83140"/>
    <w:rsid w:val="00F8334D"/>
    <w:rsid w:val="00F83A28"/>
    <w:rsid w:val="00F8532E"/>
    <w:rsid w:val="00F86024"/>
    <w:rsid w:val="00F8611A"/>
    <w:rsid w:val="00F865C6"/>
    <w:rsid w:val="00F86708"/>
    <w:rsid w:val="00F8700B"/>
    <w:rsid w:val="00F87F12"/>
    <w:rsid w:val="00F92EF8"/>
    <w:rsid w:val="00F931BE"/>
    <w:rsid w:val="00F93588"/>
    <w:rsid w:val="00F94BC4"/>
    <w:rsid w:val="00F9600A"/>
    <w:rsid w:val="00F97D78"/>
    <w:rsid w:val="00FA05E8"/>
    <w:rsid w:val="00FA0FA3"/>
    <w:rsid w:val="00FA1F50"/>
    <w:rsid w:val="00FA2205"/>
    <w:rsid w:val="00FA2604"/>
    <w:rsid w:val="00FA2EB5"/>
    <w:rsid w:val="00FA3205"/>
    <w:rsid w:val="00FA3557"/>
    <w:rsid w:val="00FA50A8"/>
    <w:rsid w:val="00FA5128"/>
    <w:rsid w:val="00FA6D8E"/>
    <w:rsid w:val="00FA733A"/>
    <w:rsid w:val="00FB267F"/>
    <w:rsid w:val="00FB42D4"/>
    <w:rsid w:val="00FB53C8"/>
    <w:rsid w:val="00FB546C"/>
    <w:rsid w:val="00FB565B"/>
    <w:rsid w:val="00FB5906"/>
    <w:rsid w:val="00FB6886"/>
    <w:rsid w:val="00FB762F"/>
    <w:rsid w:val="00FC1932"/>
    <w:rsid w:val="00FC2562"/>
    <w:rsid w:val="00FC2847"/>
    <w:rsid w:val="00FC2AED"/>
    <w:rsid w:val="00FC4A0F"/>
    <w:rsid w:val="00FC50D1"/>
    <w:rsid w:val="00FC58C4"/>
    <w:rsid w:val="00FC5EA6"/>
    <w:rsid w:val="00FC605A"/>
    <w:rsid w:val="00FD0C73"/>
    <w:rsid w:val="00FD1DD9"/>
    <w:rsid w:val="00FD2760"/>
    <w:rsid w:val="00FD27DF"/>
    <w:rsid w:val="00FD36B3"/>
    <w:rsid w:val="00FD3753"/>
    <w:rsid w:val="00FD3D1E"/>
    <w:rsid w:val="00FD3DD3"/>
    <w:rsid w:val="00FD4C00"/>
    <w:rsid w:val="00FD52C7"/>
    <w:rsid w:val="00FD635D"/>
    <w:rsid w:val="00FE0B7F"/>
    <w:rsid w:val="00FE0C96"/>
    <w:rsid w:val="00FE1393"/>
    <w:rsid w:val="00FE2B04"/>
    <w:rsid w:val="00FE2DD1"/>
    <w:rsid w:val="00FE449D"/>
    <w:rsid w:val="00FE489B"/>
    <w:rsid w:val="00FE7441"/>
    <w:rsid w:val="00FE79AB"/>
    <w:rsid w:val="00FF0B7C"/>
    <w:rsid w:val="00FF0DFB"/>
    <w:rsid w:val="00FF48A8"/>
    <w:rsid w:val="00FF5373"/>
    <w:rsid w:val="00FF57B6"/>
    <w:rsid w:val="00FF5B4F"/>
    <w:rsid w:val="00FF67F0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77DEA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rsid w:val="00633014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customStyle="1" w:styleId="Ikonawskanika">
    <w:name w:val="Ikona wskaźnika"/>
    <w:basedOn w:val="Normalny"/>
    <w:link w:val="IkonawskanikaZnak"/>
    <w:qFormat/>
    <w:rsid w:val="00E761B5"/>
    <w:pPr>
      <w:autoSpaceDE w:val="0"/>
      <w:autoSpaceDN w:val="0"/>
      <w:adjustRightInd w:val="0"/>
      <w:spacing w:before="12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E761B5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E761B5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Normalny"/>
    <w:link w:val="OpiswskanikaZnak"/>
    <w:qFormat/>
    <w:rsid w:val="00E761B5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E761B5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E761B5"/>
    <w:rPr>
      <w:rFonts w:ascii="Fira Sans" w:hAnsi="Fira Sans"/>
      <w:color w:val="FFFFFF" w:themeColor="background1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FF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40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04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0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0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0437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941EF9"/>
  </w:style>
  <w:style w:type="character" w:customStyle="1" w:styleId="LIDZnak">
    <w:name w:val="LID Znak"/>
    <w:basedOn w:val="Domylnaczcionkaakapitu"/>
    <w:link w:val="LID"/>
    <w:rsid w:val="00E70683"/>
    <w:rPr>
      <w:rFonts w:ascii="Fira Sans" w:hAnsi="Fira Sans"/>
      <w:b/>
      <w:noProof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chart" Target="charts/chart7.xml"/><Relationship Id="rId26" Type="http://schemas.openxmlformats.org/officeDocument/2006/relationships/image" Target="media/image7.png"/><Relationship Id="rId39" Type="http://schemas.openxmlformats.org/officeDocument/2006/relationships/customXml" Target="../customXml/item2.xml"/><Relationship Id="rId21" Type="http://schemas.openxmlformats.org/officeDocument/2006/relationships/chart" Target="charts/chart10.xml"/><Relationship Id="rId34" Type="http://schemas.openxmlformats.org/officeDocument/2006/relationships/hyperlink" Target="http://stat.gov.pl/metainformacje/slownik-pojec/pojecia-stosowane-w-statystyce-publicznej/313,pojecie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hart" Target="charts/chart6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2076,pojecie.htm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29" Type="http://schemas.openxmlformats.org/officeDocument/2006/relationships/hyperlink" Target="https://stat.gov.pl/obszary-tematyczne/rolnictwo-lesnictwo/rolnictwo/koniunktura-w-gospodarstwach-rolnych-w-pierwszym-polroczu-2022-roku,10,20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1064,pojecie.html" TargetMode="External"/><Relationship Id="rId37" Type="http://schemas.openxmlformats.org/officeDocument/2006/relationships/fontTable" Target="fontTable.xml"/><Relationship Id="rId40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image" Target="media/image4.png"/><Relationship Id="rId28" Type="http://schemas.openxmlformats.org/officeDocument/2006/relationships/image" Target="media/image9.png"/><Relationship Id="rId36" Type="http://schemas.openxmlformats.org/officeDocument/2006/relationships/footer" Target="footer3.xml"/><Relationship Id="rId10" Type="http://schemas.openxmlformats.org/officeDocument/2006/relationships/chart" Target="charts/chart3.xml"/><Relationship Id="rId19" Type="http://schemas.openxmlformats.org/officeDocument/2006/relationships/chart" Target="charts/chart8.xml"/><Relationship Id="rId31" Type="http://schemas.openxmlformats.org/officeDocument/2006/relationships/hyperlink" Target="http://stat.gov.pl/metainformacje/slownik-pojec/pojecia-stosowane-w-statystyce-publicznej/3137,pojecie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image" Target="media/image8.png"/><Relationship Id="rId30" Type="http://schemas.openxmlformats.org/officeDocument/2006/relationships/hyperlink" Target="https://stat.gov.pl/obszary-tematyczne/koniunktura/" TargetMode="External"/><Relationship Id="rId35" Type="http://schemas.openxmlformats.org/officeDocument/2006/relationships/header" Target="header3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package" Target="../embeddings/Arkusz_programu_Microsoft_Excel8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Arkusz_programu_Microsoft_Excel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Arkusz_programu_Microsoft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vmfzgr01\obkgudzial$\AK-R\2022\Informacja%20sygnalna\Kopia%20czynniki%20akr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package" Target="../embeddings/Arkusz_programu_Microsoft_Excel7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vmfzgr01\obkgudzial$\AK-R\2022\Informacja%20sygnalna\Kopia%20czynniki%20ak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435566695851381E-2"/>
          <c:y val="0.12273036816343903"/>
          <c:w val="0.74949170773511986"/>
          <c:h val="0.754485351493225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wykres_1!$B$3</c:f>
              <c:strCache>
                <c:ptCount val="1"/>
                <c:pt idx="0">
                  <c:v>bieżąca ogólna sytuacja gospodarstw rolnych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wykres_1!$B$4:$B$13</c:f>
              <c:numCache>
                <c:formatCode>0.0</c:formatCode>
                <c:ptCount val="10"/>
                <c:pt idx="0">
                  <c:v>-16.2</c:v>
                </c:pt>
                <c:pt idx="1">
                  <c:v>-21.684053651266765</c:v>
                </c:pt>
                <c:pt idx="2">
                  <c:v>-15.1</c:v>
                </c:pt>
                <c:pt idx="3">
                  <c:v>-16.899999999999999</c:v>
                </c:pt>
                <c:pt idx="4">
                  <c:v>-16.899999999999999</c:v>
                </c:pt>
                <c:pt idx="5">
                  <c:v>-14.4</c:v>
                </c:pt>
                <c:pt idx="6">
                  <c:v>-15.9</c:v>
                </c:pt>
                <c:pt idx="7">
                  <c:v>-12.5</c:v>
                </c:pt>
                <c:pt idx="8">
                  <c:v>-16.899999999999999</c:v>
                </c:pt>
                <c:pt idx="9">
                  <c:v>-18.600000000000001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8EB-43EA-9805-ED28B9253B7F}"/>
            </c:ext>
          </c:extLst>
        </c:ser>
        <c:ser>
          <c:idx val="1"/>
          <c:order val="1"/>
          <c:tx>
            <c:strRef>
              <c:f>wykres_1!$C$3</c:f>
              <c:strCache>
                <c:ptCount val="1"/>
                <c:pt idx="0">
                  <c:v>prognozowana ogólna sytuacja gospodarstw rolnych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wykres_1!$C$4:$C$13</c:f>
              <c:numCache>
                <c:formatCode>0.0</c:formatCode>
                <c:ptCount val="10"/>
                <c:pt idx="0">
                  <c:v>-34.799999999999997</c:v>
                </c:pt>
                <c:pt idx="1">
                  <c:v>-29.8</c:v>
                </c:pt>
                <c:pt idx="2">
                  <c:v>-26.5</c:v>
                </c:pt>
                <c:pt idx="3">
                  <c:v>-33.799999999999997</c:v>
                </c:pt>
                <c:pt idx="4">
                  <c:v>-34.5</c:v>
                </c:pt>
                <c:pt idx="5">
                  <c:v>-38.299999999999997</c:v>
                </c:pt>
                <c:pt idx="6">
                  <c:v>-38.799999999999997</c:v>
                </c:pt>
                <c:pt idx="7">
                  <c:v>-41.2</c:v>
                </c:pt>
                <c:pt idx="8">
                  <c:v>-43.7</c:v>
                </c:pt>
                <c:pt idx="9">
                  <c:v>-45.1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8EB-43EA-9805-ED28B9253B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axId val="-1767063920"/>
        <c:axId val="-1767060112"/>
      </c:barChart>
      <c:catAx>
        <c:axId val="-17670639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low"/>
        <c:txPr>
          <a:bodyPr anchor="ctr" anchorCtr="0"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-1767060112"/>
        <c:crosses val="autoZero"/>
        <c:auto val="1"/>
        <c:lblAlgn val="ctr"/>
        <c:lblOffset val="0"/>
        <c:noMultiLvlLbl val="0"/>
      </c:catAx>
      <c:valAx>
        <c:axId val="-1767060112"/>
        <c:scaling>
          <c:orientation val="minMax"/>
          <c:max val="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 sz="800" b="1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p. proc.</a:t>
                </a:r>
                <a:endParaRPr lang="pl-PL" sz="800" b="1">
                  <a:latin typeface="Fira Sans" pitchFamily="34" charset="0"/>
                  <a:ea typeface="Fira Sans" pitchFamily="34" charset="0"/>
                </a:endParaRPr>
              </a:p>
            </c:rich>
          </c:tx>
          <c:layout>
            <c:manualLayout>
              <c:xMode val="edge"/>
              <c:yMode val="edge"/>
              <c:x val="7.8294455682124311E-3"/>
              <c:y val="2.1895440461594376E-2"/>
            </c:manualLayout>
          </c:layout>
          <c:overlay val="0"/>
        </c:title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-17670639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884707699005066"/>
          <c:y val="0.11004362630346883"/>
          <c:w val="0.18028206682420556"/>
          <c:h val="0.75015996311271882"/>
        </c:manualLayout>
      </c:layout>
      <c:overlay val="0"/>
      <c:txPr>
        <a:bodyPr/>
        <a:lstStyle/>
        <a:p>
          <a:pPr>
            <a:defRPr sz="9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262354450853294E-2"/>
          <c:y val="0.12124266994506727"/>
          <c:w val="0.75690988043086482"/>
          <c:h val="0.66131936110216694"/>
        </c:manualLayout>
      </c:layout>
      <c:barChart>
        <c:barDir val="col"/>
        <c:grouping val="stacked"/>
        <c:varyColors val="0"/>
        <c:ser>
          <c:idx val="3"/>
          <c:order val="0"/>
          <c:tx>
            <c:strRef>
              <c:f>'Ukraina wg_powierzchni'!$F$2</c:f>
              <c:strCache>
                <c:ptCount val="1"/>
                <c:pt idx="0">
                  <c:v>brak negatywnych skutków </c:v>
                </c:pt>
              </c:strCache>
            </c:strRef>
          </c:tx>
          <c:spPr>
            <a:solidFill>
              <a:srgbClr val="001D76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'Ukraina wg_powierzchni'!$B$3:$B$12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'Ukraina wg_powierzchni'!$F$3:$F$12</c:f>
              <c:numCache>
                <c:formatCode>0.0</c:formatCode>
                <c:ptCount val="10"/>
                <c:pt idx="0">
                  <c:v>24.9</c:v>
                </c:pt>
                <c:pt idx="1">
                  <c:v>35.837369597615499</c:v>
                </c:pt>
                <c:pt idx="2">
                  <c:v>34.299999999999997</c:v>
                </c:pt>
                <c:pt idx="3">
                  <c:v>28.4</c:v>
                </c:pt>
                <c:pt idx="4">
                  <c:v>22.4</c:v>
                </c:pt>
                <c:pt idx="5">
                  <c:v>20.3</c:v>
                </c:pt>
                <c:pt idx="6">
                  <c:v>19.2</c:v>
                </c:pt>
                <c:pt idx="7">
                  <c:v>16.7</c:v>
                </c:pt>
                <c:pt idx="8">
                  <c:v>12.8</c:v>
                </c:pt>
                <c:pt idx="9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C2A-4DD9-9624-5C1AD886C266}"/>
            </c:ext>
          </c:extLst>
        </c:ser>
        <c:ser>
          <c:idx val="0"/>
          <c:order val="1"/>
          <c:tx>
            <c:strRef>
              <c:f>'Ukraina wg_powierzchni'!$C$2</c:f>
              <c:strCache>
                <c:ptCount val="1"/>
                <c:pt idx="0">
                  <c:v>nieznaczne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'Ukraina wg_powierzchni'!$B$3:$B$12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'Ukraina wg_powierzchni'!$C$3:$C$12</c:f>
              <c:numCache>
                <c:formatCode>0.0</c:formatCode>
                <c:ptCount val="10"/>
                <c:pt idx="0">
                  <c:v>33.9</c:v>
                </c:pt>
                <c:pt idx="1">
                  <c:v>28.641952309985097</c:v>
                </c:pt>
                <c:pt idx="2">
                  <c:v>33.9</c:v>
                </c:pt>
                <c:pt idx="3">
                  <c:v>36</c:v>
                </c:pt>
                <c:pt idx="4">
                  <c:v>35.4</c:v>
                </c:pt>
                <c:pt idx="5">
                  <c:v>33.299999999999997</c:v>
                </c:pt>
                <c:pt idx="6">
                  <c:v>33.5</c:v>
                </c:pt>
                <c:pt idx="7">
                  <c:v>30.5</c:v>
                </c:pt>
                <c:pt idx="8">
                  <c:v>29.4</c:v>
                </c:pt>
                <c:pt idx="9">
                  <c:v>26.6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C2A-4DD9-9624-5C1AD886C266}"/>
            </c:ext>
          </c:extLst>
        </c:ser>
        <c:ser>
          <c:idx val="1"/>
          <c:order val="2"/>
          <c:tx>
            <c:strRef>
              <c:f>'Ukraina wg_powierzchni'!$D$2</c:f>
              <c:strCache>
                <c:ptCount val="1"/>
                <c:pt idx="0">
                  <c:v>poważne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'Ukraina wg_powierzchni'!$B$3:$B$12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'Ukraina wg_powierzchni'!$D$3:$D$12</c:f>
              <c:numCache>
                <c:formatCode>0.0</c:formatCode>
                <c:ptCount val="10"/>
                <c:pt idx="0">
                  <c:v>24.3</c:v>
                </c:pt>
                <c:pt idx="1">
                  <c:v>16.41672876304024</c:v>
                </c:pt>
                <c:pt idx="2">
                  <c:v>20</c:v>
                </c:pt>
                <c:pt idx="3">
                  <c:v>20.7</c:v>
                </c:pt>
                <c:pt idx="4">
                  <c:v>25.5</c:v>
                </c:pt>
                <c:pt idx="5">
                  <c:v>28.3</c:v>
                </c:pt>
                <c:pt idx="6">
                  <c:v>28.9</c:v>
                </c:pt>
                <c:pt idx="7">
                  <c:v>30.5</c:v>
                </c:pt>
                <c:pt idx="8">
                  <c:v>32.799999999999997</c:v>
                </c:pt>
                <c:pt idx="9">
                  <c:v>32.4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C2A-4DD9-9624-5C1AD886C266}"/>
            </c:ext>
          </c:extLst>
        </c:ser>
        <c:ser>
          <c:idx val="2"/>
          <c:order val="3"/>
          <c:tx>
            <c:strRef>
              <c:f>'Ukraina wg_powierzchni'!$E$2</c:f>
              <c:strCache>
                <c:ptCount val="1"/>
                <c:pt idx="0">
                  <c:v> zagrażające stabilności gospodarstwa rolnego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</c:spPr>
          <c:invertIfNegative val="0"/>
          <c:cat>
            <c:strRef>
              <c:f>'Ukraina wg_powierzchni'!$B$3:$B$12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'Ukraina wg_powierzchni'!$E$3:$E$12</c:f>
              <c:numCache>
                <c:formatCode>0.0</c:formatCode>
                <c:ptCount val="10"/>
                <c:pt idx="0">
                  <c:v>16.899999999999999</c:v>
                </c:pt>
                <c:pt idx="1">
                  <c:v>19.108606557377051</c:v>
                </c:pt>
                <c:pt idx="2">
                  <c:v>11.8</c:v>
                </c:pt>
                <c:pt idx="3">
                  <c:v>14.9</c:v>
                </c:pt>
                <c:pt idx="4">
                  <c:v>16.7</c:v>
                </c:pt>
                <c:pt idx="5">
                  <c:v>18.100000000000001</c:v>
                </c:pt>
                <c:pt idx="6">
                  <c:v>18.399999999999999</c:v>
                </c:pt>
                <c:pt idx="7">
                  <c:v>22.3</c:v>
                </c:pt>
                <c:pt idx="8">
                  <c:v>25</c:v>
                </c:pt>
                <c:pt idx="9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C2A-4DD9-9624-5C1AD886C2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1605334304"/>
        <c:axId val="-1605330496"/>
      </c:barChart>
      <c:catAx>
        <c:axId val="-16053343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Fira Sans"/>
                    <a:ea typeface="Fira Sans"/>
                    <a:cs typeface="Fira Sans"/>
                  </a:defRPr>
                </a:pPr>
                <a:r>
                  <a:rPr lang="pl-PL"/>
                  <a:t>ha</a:t>
                </a:r>
              </a:p>
            </c:rich>
          </c:tx>
          <c:layout>
            <c:manualLayout>
              <c:xMode val="edge"/>
              <c:yMode val="edge"/>
              <c:x val="0.41942482649791502"/>
              <c:y val="0.89917529649768035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605330496"/>
        <c:crosses val="autoZero"/>
        <c:auto val="1"/>
        <c:lblAlgn val="ctr"/>
        <c:lblOffset val="100"/>
        <c:noMultiLvlLbl val="0"/>
      </c:catAx>
      <c:valAx>
        <c:axId val="-1605330496"/>
        <c:scaling>
          <c:orientation val="minMax"/>
          <c:max val="10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1605334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589484014203309"/>
          <c:y val="9.5509429891953615E-2"/>
          <c:w val="0.15410515985796686"/>
          <c:h val="0.71239589732134545"/>
        </c:manualLayout>
      </c:layout>
      <c:overlay val="0"/>
      <c:txPr>
        <a:bodyPr/>
        <a:lstStyle/>
        <a:p>
          <a:pPr>
            <a:defRPr sz="75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836808322852987E-2"/>
          <c:y val="0.11708420909537705"/>
          <c:w val="0.93816319167714701"/>
          <c:h val="0.52144555635724821"/>
        </c:manualLayout>
      </c:layout>
      <c:lineChart>
        <c:grouping val="standard"/>
        <c:varyColors val="0"/>
        <c:ser>
          <c:idx val="0"/>
          <c:order val="0"/>
          <c:tx>
            <c:strRef>
              <c:f>'wykres 5'!$A$32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285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multiLvlStrRef>
              <c:f>'wykres 5'!$N$30:$W$31</c:f>
              <c:multiLvlStrCache>
                <c:ptCount val="10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5'!$N$32:$W$32</c:f>
              <c:numCache>
                <c:formatCode>General</c:formatCode>
                <c:ptCount val="10"/>
                <c:pt idx="0">
                  <c:v>-32.700000000000003</c:v>
                </c:pt>
                <c:pt idx="1">
                  <c:v>-28.5</c:v>
                </c:pt>
                <c:pt idx="2">
                  <c:v>-29.400000000000002</c:v>
                </c:pt>
                <c:pt idx="3">
                  <c:v>-25.5</c:v>
                </c:pt>
                <c:pt idx="4">
                  <c:v>-23.8</c:v>
                </c:pt>
                <c:pt idx="5">
                  <c:v>-25.9</c:v>
                </c:pt>
                <c:pt idx="6" formatCode="0.0">
                  <c:v>-25.2</c:v>
                </c:pt>
                <c:pt idx="7" formatCode="0.0">
                  <c:v>-37.300000000000004</c:v>
                </c:pt>
                <c:pt idx="8">
                  <c:v>-46.199999999999996</c:v>
                </c:pt>
                <c:pt idx="9">
                  <c:v>-37.700000000000003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5CD-49FF-90F2-EEBB10688926}"/>
            </c:ext>
          </c:extLst>
        </c:ser>
        <c:ser>
          <c:idx val="1"/>
          <c:order val="1"/>
          <c:tx>
            <c:strRef>
              <c:f>'wykres 5'!$A$33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007AC9"/>
              </a:solidFill>
            </a:ln>
          </c:spPr>
          <c:marker>
            <c:symbol val="none"/>
          </c:marker>
          <c:cat>
            <c:multiLvlStrRef>
              <c:f>'wykres 5'!$N$30:$W$31</c:f>
              <c:multiLvlStrCache>
                <c:ptCount val="10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5'!$N$33:$W$33</c:f>
              <c:numCache>
                <c:formatCode>General</c:formatCode>
                <c:ptCount val="10"/>
                <c:pt idx="0">
                  <c:v>-47.4</c:v>
                </c:pt>
                <c:pt idx="1">
                  <c:v>-36</c:v>
                </c:pt>
                <c:pt idx="2">
                  <c:v>-40</c:v>
                </c:pt>
                <c:pt idx="3" formatCode="0.0">
                  <c:v>-34.300000000000004</c:v>
                </c:pt>
                <c:pt idx="4">
                  <c:v>-36.5</c:v>
                </c:pt>
                <c:pt idx="5">
                  <c:v>-35.1</c:v>
                </c:pt>
                <c:pt idx="6" formatCode="0.0">
                  <c:v>-38.6</c:v>
                </c:pt>
                <c:pt idx="7" formatCode="0.0">
                  <c:v>-47</c:v>
                </c:pt>
                <c:pt idx="8">
                  <c:v>-54.4</c:v>
                </c:pt>
                <c:pt idx="9">
                  <c:v>-51.3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5CD-49FF-90F2-EEBB10688926}"/>
            </c:ext>
          </c:extLst>
        </c:ser>
        <c:ser>
          <c:idx val="2"/>
          <c:order val="2"/>
          <c:tx>
            <c:strRef>
              <c:f>'wykres 5'!$A$34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66AFDE"/>
              </a:solidFill>
              <a:prstDash val="sysDash"/>
            </a:ln>
          </c:spPr>
          <c:marker>
            <c:symbol val="none"/>
          </c:marker>
          <c:cat>
            <c:multiLvlStrRef>
              <c:f>'wykres 5'!$N$30:$W$31</c:f>
              <c:multiLvlStrCache>
                <c:ptCount val="10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5'!$N$34:$W$34</c:f>
              <c:numCache>
                <c:formatCode>General</c:formatCode>
                <c:ptCount val="10"/>
                <c:pt idx="0">
                  <c:v>-15.599999999999998</c:v>
                </c:pt>
                <c:pt idx="1">
                  <c:v>-9.9</c:v>
                </c:pt>
                <c:pt idx="2">
                  <c:v>-12.100000000000001</c:v>
                </c:pt>
                <c:pt idx="3" formatCode="0.0">
                  <c:v>-9.4</c:v>
                </c:pt>
                <c:pt idx="4">
                  <c:v>-16.100000000000001</c:v>
                </c:pt>
                <c:pt idx="5">
                  <c:v>-15.7</c:v>
                </c:pt>
                <c:pt idx="6" formatCode="0.0">
                  <c:v>-7.3999999999999986</c:v>
                </c:pt>
                <c:pt idx="7" formatCode="0.0">
                  <c:v>-6</c:v>
                </c:pt>
                <c:pt idx="8">
                  <c:v>-9.5</c:v>
                </c:pt>
                <c:pt idx="9">
                  <c:v>-23.3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B5CD-49FF-90F2-EEBB106889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67059024"/>
        <c:axId val="-1767058480"/>
      </c:lineChart>
      <c:catAx>
        <c:axId val="-176705902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noFill/>
          <a:ln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1767058480"/>
        <c:crosses val="autoZero"/>
        <c:auto val="1"/>
        <c:lblAlgn val="ctr"/>
        <c:lblOffset val="100"/>
        <c:noMultiLvlLbl val="0"/>
      </c:catAx>
      <c:valAx>
        <c:axId val="-1767058480"/>
        <c:scaling>
          <c:orientation val="minMax"/>
          <c:max val="10"/>
          <c:min val="-6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176705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2932868330097638E-2"/>
          <c:y val="0.83731317690420115"/>
          <c:w val="0.92557801553604646"/>
          <c:h val="0.135998344387176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07077927085073E-2"/>
          <c:y val="0.11744872548790662"/>
          <c:w val="0.935039888788605"/>
          <c:h val="0.53738186462752091"/>
        </c:manualLayout>
      </c:layout>
      <c:lineChart>
        <c:grouping val="standard"/>
        <c:varyColors val="0"/>
        <c:ser>
          <c:idx val="0"/>
          <c:order val="0"/>
          <c:tx>
            <c:strRef>
              <c:f>'wykres 5'!$A$5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285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multiLvlStrRef>
              <c:f>'wykres 5'!$N$3:$W$4</c:f>
              <c:multiLvlStrCache>
                <c:ptCount val="10"/>
                <c:lvl>
                  <c:pt idx="0">
                    <c:v>06</c:v>
                  </c:pt>
                  <c:pt idx="1">
                    <c:v>12</c:v>
                  </c:pt>
                  <c:pt idx="2">
                    <c:v>06</c:v>
                  </c:pt>
                  <c:pt idx="3">
                    <c:v>12</c:v>
                  </c:pt>
                  <c:pt idx="4">
                    <c:v>06</c:v>
                  </c:pt>
                  <c:pt idx="5">
                    <c:v>12</c:v>
                  </c:pt>
                  <c:pt idx="6">
                    <c:v>06</c:v>
                  </c:pt>
                  <c:pt idx="7">
                    <c:v>12</c:v>
                  </c:pt>
                  <c:pt idx="8">
                    <c:v>06</c:v>
                  </c:pt>
                  <c:pt idx="9">
                    <c:v>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5'!$N$5:$W$5</c:f>
              <c:numCache>
                <c:formatCode>General</c:formatCode>
                <c:ptCount val="10"/>
                <c:pt idx="0">
                  <c:v>-31.6</c:v>
                </c:pt>
                <c:pt idx="1">
                  <c:v>-12.1</c:v>
                </c:pt>
                <c:pt idx="2">
                  <c:v>-27.5</c:v>
                </c:pt>
                <c:pt idx="3">
                  <c:v>-8.4</c:v>
                </c:pt>
                <c:pt idx="4">
                  <c:v>-10.3</c:v>
                </c:pt>
                <c:pt idx="5">
                  <c:v>-12.5</c:v>
                </c:pt>
                <c:pt idx="6" formatCode="0.0">
                  <c:v>-9</c:v>
                </c:pt>
                <c:pt idx="7" formatCode="0.0">
                  <c:v>-18</c:v>
                </c:pt>
                <c:pt idx="8">
                  <c:v>-24.9</c:v>
                </c:pt>
                <c:pt idx="9">
                  <c:v>-16.2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7576-4174-A7D8-58D85F0746AF}"/>
            </c:ext>
          </c:extLst>
        </c:ser>
        <c:ser>
          <c:idx val="1"/>
          <c:order val="1"/>
          <c:tx>
            <c:strRef>
              <c:f>'wykres 5'!$A$6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007AC9"/>
              </a:solidFill>
            </a:ln>
          </c:spPr>
          <c:marker>
            <c:symbol val="none"/>
          </c:marker>
          <c:cat>
            <c:multiLvlStrRef>
              <c:f>'wykres 5'!$N$3:$W$4</c:f>
              <c:multiLvlStrCache>
                <c:ptCount val="10"/>
                <c:lvl>
                  <c:pt idx="0">
                    <c:v>06</c:v>
                  </c:pt>
                  <c:pt idx="1">
                    <c:v>12</c:v>
                  </c:pt>
                  <c:pt idx="2">
                    <c:v>06</c:v>
                  </c:pt>
                  <c:pt idx="3">
                    <c:v>12</c:v>
                  </c:pt>
                  <c:pt idx="4">
                    <c:v>06</c:v>
                  </c:pt>
                  <c:pt idx="5">
                    <c:v>12</c:v>
                  </c:pt>
                  <c:pt idx="6">
                    <c:v>06</c:v>
                  </c:pt>
                  <c:pt idx="7">
                    <c:v>12</c:v>
                  </c:pt>
                  <c:pt idx="8">
                    <c:v>06</c:v>
                  </c:pt>
                  <c:pt idx="9">
                    <c:v>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5'!$N$6:$W$6</c:f>
              <c:numCache>
                <c:formatCode>General</c:formatCode>
                <c:ptCount val="10"/>
                <c:pt idx="0">
                  <c:v>-21.6</c:v>
                </c:pt>
                <c:pt idx="1">
                  <c:v>-14.2</c:v>
                </c:pt>
                <c:pt idx="2">
                  <c:v>-16.399999999999999</c:v>
                </c:pt>
                <c:pt idx="3" formatCode="0.0">
                  <c:v>-7</c:v>
                </c:pt>
                <c:pt idx="4">
                  <c:v>-7.3</c:v>
                </c:pt>
                <c:pt idx="5">
                  <c:v>-7.1</c:v>
                </c:pt>
                <c:pt idx="6" formatCode="0.0">
                  <c:v>-11.6</c:v>
                </c:pt>
                <c:pt idx="7" formatCode="0.0">
                  <c:v>-18.7</c:v>
                </c:pt>
                <c:pt idx="8">
                  <c:v>-18.899999999999999</c:v>
                </c:pt>
                <c:pt idx="9">
                  <c:v>-14.3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7576-4174-A7D8-58D85F0746AF}"/>
            </c:ext>
          </c:extLst>
        </c:ser>
        <c:ser>
          <c:idx val="2"/>
          <c:order val="2"/>
          <c:tx>
            <c:strRef>
              <c:f>'wykres 5'!$A$7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66AFDE"/>
              </a:solidFill>
              <a:prstDash val="sysDash"/>
            </a:ln>
          </c:spPr>
          <c:marker>
            <c:symbol val="none"/>
          </c:marker>
          <c:cat>
            <c:multiLvlStrRef>
              <c:f>'wykres 5'!$N$3:$W$4</c:f>
              <c:multiLvlStrCache>
                <c:ptCount val="10"/>
                <c:lvl>
                  <c:pt idx="0">
                    <c:v>06</c:v>
                  </c:pt>
                  <c:pt idx="1">
                    <c:v>12</c:v>
                  </c:pt>
                  <c:pt idx="2">
                    <c:v>06</c:v>
                  </c:pt>
                  <c:pt idx="3">
                    <c:v>12</c:v>
                  </c:pt>
                  <c:pt idx="4">
                    <c:v>06</c:v>
                  </c:pt>
                  <c:pt idx="5">
                    <c:v>12</c:v>
                  </c:pt>
                  <c:pt idx="6">
                    <c:v>06</c:v>
                  </c:pt>
                  <c:pt idx="7">
                    <c:v>12</c:v>
                  </c:pt>
                  <c:pt idx="8">
                    <c:v>06</c:v>
                  </c:pt>
                  <c:pt idx="9">
                    <c:v>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5'!$N$7:$W$7</c:f>
              <c:numCache>
                <c:formatCode>General</c:formatCode>
                <c:ptCount val="10"/>
                <c:pt idx="0">
                  <c:v>-36.799999999999997</c:v>
                </c:pt>
                <c:pt idx="1">
                  <c:v>-29.2</c:v>
                </c:pt>
                <c:pt idx="2">
                  <c:v>-32.700000000000003</c:v>
                </c:pt>
                <c:pt idx="3" formatCode="0.0">
                  <c:v>-28</c:v>
                </c:pt>
                <c:pt idx="4">
                  <c:v>-29.3</c:v>
                </c:pt>
                <c:pt idx="5">
                  <c:v>-29.8</c:v>
                </c:pt>
                <c:pt idx="6" formatCode="0.0">
                  <c:v>-25.4</c:v>
                </c:pt>
                <c:pt idx="7" formatCode="0.0">
                  <c:v>-25.1</c:v>
                </c:pt>
                <c:pt idx="8">
                  <c:v>-27.8</c:v>
                </c:pt>
                <c:pt idx="9">
                  <c:v>-36.9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7576-4174-A7D8-58D85F0746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67056848"/>
        <c:axId val="-1767057936"/>
      </c:lineChart>
      <c:catAx>
        <c:axId val="-1767056848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noFill/>
          <a:ln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1767057936"/>
        <c:crosses val="autoZero"/>
        <c:auto val="1"/>
        <c:lblAlgn val="ctr"/>
        <c:lblOffset val="100"/>
        <c:tickMarkSkip val="1"/>
        <c:noMultiLvlLbl val="0"/>
      </c:catAx>
      <c:valAx>
        <c:axId val="-1767057936"/>
        <c:scaling>
          <c:orientation val="minMax"/>
          <c:max val="10"/>
          <c:min val="-6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176705684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0536686354146229E-2"/>
          <c:y val="0.83622193465371142"/>
          <c:w val="0.91028502433848801"/>
          <c:h val="0.12549868774754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just"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285754108928493E-2"/>
          <c:y val="0.1268042032380361"/>
          <c:w val="0.94171424589107156"/>
          <c:h val="0.50488415619356763"/>
        </c:manualLayout>
      </c:layout>
      <c:lineChart>
        <c:grouping val="standard"/>
        <c:varyColors val="0"/>
        <c:ser>
          <c:idx val="0"/>
          <c:order val="0"/>
          <c:tx>
            <c:strRef>
              <c:f>'oplacalnosc_biezaca _zmiana'!$A$5</c:f>
              <c:strCache>
                <c:ptCount val="1"/>
                <c:pt idx="0">
                  <c:v>ocena bieżącej oplacalności produkcji rolniczej</c:v>
                </c:pt>
              </c:strCache>
            </c:strRef>
          </c:tx>
          <c:spPr>
            <a:ln w="28575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multiLvlStrRef>
              <c:f>'oplacalnosc_biezaca _zmiana'!$B$3:$K$4</c:f>
              <c:multiLvlStrCache>
                <c:ptCount val="10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'oplacalnosc_biezaca _zmiana'!$B$5:$K$5</c:f>
              <c:numCache>
                <c:formatCode>0.0</c:formatCode>
                <c:ptCount val="10"/>
                <c:pt idx="0">
                  <c:v>-21.599999999999998</c:v>
                </c:pt>
                <c:pt idx="1">
                  <c:v>-14.200000000000001</c:v>
                </c:pt>
                <c:pt idx="2">
                  <c:v>-16.399999999999999</c:v>
                </c:pt>
                <c:pt idx="3">
                  <c:v>-7</c:v>
                </c:pt>
                <c:pt idx="4">
                  <c:v>-7.2999999999999972</c:v>
                </c:pt>
                <c:pt idx="5">
                  <c:v>-7.0999999999999979</c:v>
                </c:pt>
                <c:pt idx="6">
                  <c:v>-11.600000000000001</c:v>
                </c:pt>
                <c:pt idx="7">
                  <c:v>-18.700000000000003</c:v>
                </c:pt>
                <c:pt idx="8">
                  <c:v>-18.899999999999999</c:v>
                </c:pt>
                <c:pt idx="9">
                  <c:v>-14.3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C2E-4717-BC29-EE2E1F8ABDD8}"/>
            </c:ext>
          </c:extLst>
        </c:ser>
        <c:ser>
          <c:idx val="1"/>
          <c:order val="1"/>
          <c:tx>
            <c:strRef>
              <c:f>'oplacalnosc_biezaca _zmiana'!$A$6</c:f>
              <c:strCache>
                <c:ptCount val="1"/>
                <c:pt idx="0">
                  <c:v>zmiany opłacalności produkcji rolniczej w ostatnim półroczu</c:v>
                </c:pt>
              </c:strCache>
            </c:strRef>
          </c:tx>
          <c:spPr>
            <a:ln>
              <a:solidFill>
                <a:srgbClr val="007AC9"/>
              </a:solidFill>
            </a:ln>
          </c:spPr>
          <c:marker>
            <c:symbol val="none"/>
          </c:marker>
          <c:cat>
            <c:multiLvlStrRef>
              <c:f>'oplacalnosc_biezaca _zmiana'!$B$3:$K$4</c:f>
              <c:multiLvlStrCache>
                <c:ptCount val="10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'oplacalnosc_biezaca _zmiana'!$B$6:$K$6</c:f>
              <c:numCache>
                <c:formatCode>0.0</c:formatCode>
                <c:ptCount val="10"/>
                <c:pt idx="0" formatCode="General">
                  <c:v>-47.4</c:v>
                </c:pt>
                <c:pt idx="1">
                  <c:v>-36</c:v>
                </c:pt>
                <c:pt idx="2" formatCode="General">
                  <c:v>-40</c:v>
                </c:pt>
                <c:pt idx="3" formatCode="General">
                  <c:v>-34.300000000000004</c:v>
                </c:pt>
                <c:pt idx="4">
                  <c:v>-36.5</c:v>
                </c:pt>
                <c:pt idx="5" formatCode="General">
                  <c:v>-35.1</c:v>
                </c:pt>
                <c:pt idx="6">
                  <c:v>-38.6</c:v>
                </c:pt>
                <c:pt idx="7">
                  <c:v>-47</c:v>
                </c:pt>
                <c:pt idx="8">
                  <c:v>-54.4</c:v>
                </c:pt>
                <c:pt idx="9">
                  <c:v>-51.3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C2E-4717-BC29-EE2E1F8ABD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67334704"/>
        <c:axId val="-1767052496"/>
      </c:lineChart>
      <c:catAx>
        <c:axId val="-1767334704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noFill/>
          <a:ln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1767052496"/>
        <c:crosses val="autoZero"/>
        <c:auto val="1"/>
        <c:lblAlgn val="ctr"/>
        <c:lblOffset val="100"/>
        <c:noMultiLvlLbl val="0"/>
      </c:catAx>
      <c:valAx>
        <c:axId val="-1767052496"/>
        <c:scaling>
          <c:orientation val="minMax"/>
          <c:max val="10"/>
          <c:min val="-6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176733470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0785849611862857E-2"/>
          <c:y val="0.79908187537737518"/>
          <c:w val="0.95656455921812322"/>
          <c:h val="0.125498687747543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07077927085073E-2"/>
          <c:y val="0.1300981954103986"/>
          <c:w val="0.94522723045446067"/>
          <c:h val="0.53738186462752091"/>
        </c:manualLayout>
      </c:layout>
      <c:lineChart>
        <c:grouping val="standard"/>
        <c:varyColors val="0"/>
        <c:ser>
          <c:idx val="0"/>
          <c:order val="0"/>
          <c:tx>
            <c:strRef>
              <c:f>'wykres 5'!$A$62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ln w="38100">
              <a:solidFill>
                <a:srgbClr val="001D77"/>
              </a:solidFill>
              <a:prstDash val="sysDot"/>
            </a:ln>
          </c:spPr>
          <c:marker>
            <c:symbol val="none"/>
          </c:marker>
          <c:cat>
            <c:multiLvlStrRef>
              <c:f>'wykres 5'!$N$60:$W$61</c:f>
              <c:multiLvlStrCache>
                <c:ptCount val="10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5'!$N$62:$W$62</c:f>
              <c:numCache>
                <c:formatCode>0.0</c:formatCode>
                <c:ptCount val="10"/>
                <c:pt idx="0">
                  <c:v>-22.599999999999998</c:v>
                </c:pt>
                <c:pt idx="1">
                  <c:v>-5.3000000000000007</c:v>
                </c:pt>
                <c:pt idx="2">
                  <c:v>-19.5</c:v>
                </c:pt>
                <c:pt idx="3">
                  <c:v>-11.7</c:v>
                </c:pt>
                <c:pt idx="4">
                  <c:v>-7.9</c:v>
                </c:pt>
                <c:pt idx="5">
                  <c:v>-9.1</c:v>
                </c:pt>
                <c:pt idx="6">
                  <c:v>-15.400000000000002</c:v>
                </c:pt>
                <c:pt idx="7">
                  <c:v>-47.199999999999996</c:v>
                </c:pt>
                <c:pt idx="8">
                  <c:v>-39.4</c:v>
                </c:pt>
                <c:pt idx="9">
                  <c:v>-34.800000000000004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5DB-4F70-9C53-9C1DBFB7B72D}"/>
            </c:ext>
          </c:extLst>
        </c:ser>
        <c:ser>
          <c:idx val="1"/>
          <c:order val="1"/>
          <c:tx>
            <c:strRef>
              <c:f>'wykres 5'!$A$63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ln>
              <a:solidFill>
                <a:srgbClr val="007AC9"/>
              </a:solidFill>
            </a:ln>
          </c:spPr>
          <c:marker>
            <c:symbol val="none"/>
          </c:marker>
          <c:cat>
            <c:multiLvlStrRef>
              <c:f>'wykres 5'!$N$60:$W$61</c:f>
              <c:multiLvlStrCache>
                <c:ptCount val="10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5'!$N$63:$W$63</c:f>
              <c:numCache>
                <c:formatCode>0.0</c:formatCode>
                <c:ptCount val="10"/>
                <c:pt idx="0">
                  <c:v>-25.9</c:v>
                </c:pt>
                <c:pt idx="1">
                  <c:v>-9.6999999999999993</c:v>
                </c:pt>
                <c:pt idx="2">
                  <c:v>-23.199999999999996</c:v>
                </c:pt>
                <c:pt idx="3">
                  <c:v>-16.099999999999998</c:v>
                </c:pt>
                <c:pt idx="4">
                  <c:v>-11.600000000000001</c:v>
                </c:pt>
                <c:pt idx="5">
                  <c:v>-13.1</c:v>
                </c:pt>
                <c:pt idx="6">
                  <c:v>-23.8</c:v>
                </c:pt>
                <c:pt idx="7">
                  <c:v>-52.1</c:v>
                </c:pt>
                <c:pt idx="8">
                  <c:v>-45.199999999999996</c:v>
                </c:pt>
                <c:pt idx="9">
                  <c:v>-43.5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5DB-4F70-9C53-9C1DBFB7B72D}"/>
            </c:ext>
          </c:extLst>
        </c:ser>
        <c:ser>
          <c:idx val="2"/>
          <c:order val="2"/>
          <c:tx>
            <c:strRef>
              <c:f>'wykres 5'!$A$64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ln>
              <a:solidFill>
                <a:srgbClr val="66AFDE"/>
              </a:solidFill>
              <a:prstDash val="sysDash"/>
            </a:ln>
          </c:spPr>
          <c:marker>
            <c:symbol val="none"/>
          </c:marker>
          <c:cat>
            <c:multiLvlStrRef>
              <c:f>'wykres 5'!$N$60:$W$61</c:f>
              <c:multiLvlStrCache>
                <c:ptCount val="10"/>
                <c:lvl>
                  <c:pt idx="0">
                    <c:v>01-06</c:v>
                  </c:pt>
                  <c:pt idx="1">
                    <c:v>07-12</c:v>
                  </c:pt>
                  <c:pt idx="2">
                    <c:v>01-06</c:v>
                  </c:pt>
                  <c:pt idx="3">
                    <c:v>07-12</c:v>
                  </c:pt>
                  <c:pt idx="4">
                    <c:v>01-06</c:v>
                  </c:pt>
                  <c:pt idx="5">
                    <c:v>07-12</c:v>
                  </c:pt>
                  <c:pt idx="6">
                    <c:v>01-06</c:v>
                  </c:pt>
                  <c:pt idx="7">
                    <c:v>07-12</c:v>
                  </c:pt>
                  <c:pt idx="8">
                    <c:v>01-06</c:v>
                  </c:pt>
                  <c:pt idx="9">
                    <c:v>07-12</c:v>
                  </c:pt>
                </c:lvl>
                <c:lvl>
                  <c:pt idx="0">
                    <c:v>2018</c:v>
                  </c:pt>
                  <c:pt idx="2">
                    <c:v>2019</c:v>
                  </c:pt>
                  <c:pt idx="4">
                    <c:v>2020</c:v>
                  </c:pt>
                  <c:pt idx="6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'wykres 5'!$N$64:$W$64</c:f>
              <c:numCache>
                <c:formatCode>0.0</c:formatCode>
                <c:ptCount val="10"/>
                <c:pt idx="0">
                  <c:v>-7.8000000000000007</c:v>
                </c:pt>
                <c:pt idx="1">
                  <c:v>-1.9000000000000004</c:v>
                </c:pt>
                <c:pt idx="2">
                  <c:v>-7.1000000000000014</c:v>
                </c:pt>
                <c:pt idx="3">
                  <c:v>-3.8000000000000007</c:v>
                </c:pt>
                <c:pt idx="4">
                  <c:v>-5</c:v>
                </c:pt>
                <c:pt idx="5">
                  <c:v>-5.1999999999999993</c:v>
                </c:pt>
                <c:pt idx="6">
                  <c:v>-6.4</c:v>
                </c:pt>
                <c:pt idx="7">
                  <c:v>-16.200000000000003</c:v>
                </c:pt>
                <c:pt idx="8">
                  <c:v>-16.100000000000001</c:v>
                </c:pt>
                <c:pt idx="9">
                  <c:v>-22.8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5DB-4F70-9C53-9C1DBFB7B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05338112"/>
        <c:axId val="-1605334848"/>
      </c:lineChart>
      <c:catAx>
        <c:axId val="-1605338112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noFill/>
          <a:ln/>
          <a:effectLst/>
        </c:spPr>
        <c:txPr>
          <a:bodyPr rot="-60000000" spcFirstLastPara="1" vertOverflow="ellipsis" vert="horz" wrap="square" anchor="t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+mn-ea"/>
                <a:cs typeface="+mn-cs"/>
              </a:defRPr>
            </a:pPr>
            <a:endParaRPr lang="pl-PL"/>
          </a:p>
        </c:txPr>
        <c:crossAx val="-1605334848"/>
        <c:crosses val="autoZero"/>
        <c:auto val="1"/>
        <c:lblAlgn val="ctr"/>
        <c:lblOffset val="100"/>
        <c:noMultiLvlLbl val="0"/>
      </c:catAx>
      <c:valAx>
        <c:axId val="-1605334848"/>
        <c:scaling>
          <c:orientation val="minMax"/>
          <c:max val="10"/>
          <c:min val="-60"/>
        </c:scaling>
        <c:delete val="0"/>
        <c:axPos val="l"/>
        <c:majorGridlines>
          <c:spPr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itchFamily="34" charset="0"/>
                <a:ea typeface="Fira Sans" pitchFamily="34" charset="0"/>
                <a:cs typeface="+mn-cs"/>
              </a:defRPr>
            </a:pPr>
            <a:endParaRPr lang="pl-PL"/>
          </a:p>
        </c:txPr>
        <c:crossAx val="-160533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2992125984251968E-2"/>
          <c:y val="0.84860519623762987"/>
          <c:w val="0.9347357761382189"/>
          <c:h val="0.151017033328231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915459991078647E-2"/>
          <c:y val="0.11259220886862827"/>
          <c:w val="0.7391257197501474"/>
          <c:h val="0.698865174747893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Wykres_12!$B$3</c:f>
              <c:strCache>
                <c:ptCount val="1"/>
                <c:pt idx="0">
                  <c:v>ogólna sytuacja gospodarstw rolnych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rgbClr val="001D77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Wykres_12!$B$4:$B$7</c:f>
              <c:numCache>
                <c:formatCode>0.0</c:formatCode>
                <c:ptCount val="4"/>
                <c:pt idx="0">
                  <c:v>-34.799999999999997</c:v>
                </c:pt>
                <c:pt idx="1">
                  <c:v>-33.700000000000003</c:v>
                </c:pt>
                <c:pt idx="2">
                  <c:v>-32.9</c:v>
                </c:pt>
                <c:pt idx="3">
                  <c:v>-37.299999999999997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90A-4E20-BFE6-6D7B9BE0C852}"/>
            </c:ext>
          </c:extLst>
        </c:ser>
        <c:ser>
          <c:idx val="1"/>
          <c:order val="1"/>
          <c:tx>
            <c:strRef>
              <c:f>Wykres_12!$C$3</c:f>
              <c:strCache>
                <c:ptCount val="1"/>
                <c:pt idx="0">
                  <c:v>opłacalność produkcji rolniczej</c:v>
                </c:pt>
              </c:strCache>
            </c:strRef>
          </c:tx>
          <c:spPr>
            <a:solidFill>
              <a:srgbClr val="6677AD"/>
            </a:solidFill>
            <a:ln>
              <a:solidFill>
                <a:srgbClr val="6677AD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Wykres_12!$C$4:$C$7</c:f>
              <c:numCache>
                <c:formatCode>0.0</c:formatCode>
                <c:ptCount val="4"/>
                <c:pt idx="0">
                  <c:v>-43.5</c:v>
                </c:pt>
                <c:pt idx="1">
                  <c:v>-42.8</c:v>
                </c:pt>
                <c:pt idx="2">
                  <c:v>-40.299999999999997</c:v>
                </c:pt>
                <c:pt idx="3">
                  <c:v>-45.8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90A-4E20-BFE6-6D7B9BE0C852}"/>
            </c:ext>
          </c:extLst>
        </c:ser>
        <c:ser>
          <c:idx val="2"/>
          <c:order val="2"/>
          <c:tx>
            <c:strRef>
              <c:f>Wykres_12!$D$3</c:f>
              <c:strCache>
                <c:ptCount val="1"/>
                <c:pt idx="0">
                  <c:v>popyt na produkty rolne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cat>
            <c:strRef>
              <c:f>Wykres_12!$A$4:$A$7</c:f>
              <c:strCache>
                <c:ptCount val="4"/>
                <c:pt idx="0">
                  <c:v>ogółem </c:v>
                </c:pt>
                <c:pt idx="1">
                  <c:v>gospodarstwa ukierunkowane na produkcję roślinną</c:v>
                </c:pt>
                <c:pt idx="2">
                  <c:v>gospodarstwa ukierunkowane na produkcję zwierzęcą</c:v>
                </c:pt>
                <c:pt idx="3">
                  <c:v>gospodarstwa wielokierunkowe</c:v>
                </c:pt>
              </c:strCache>
            </c:strRef>
          </c:cat>
          <c:val>
            <c:numRef>
              <c:f>Wykres_12!$D$4:$D$7</c:f>
              <c:numCache>
                <c:formatCode>0.0</c:formatCode>
                <c:ptCount val="4"/>
                <c:pt idx="0">
                  <c:v>-22.8</c:v>
                </c:pt>
                <c:pt idx="1">
                  <c:v>-23.7</c:v>
                </c:pt>
                <c:pt idx="2">
                  <c:v>-18.5</c:v>
                </c:pt>
                <c:pt idx="3">
                  <c:v>-22.5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90A-4E20-BFE6-6D7B9BE0C8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05332128"/>
        <c:axId val="-1605323424"/>
      </c:barChart>
      <c:catAx>
        <c:axId val="-160533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baseline="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605323424"/>
        <c:crosses val="autoZero"/>
        <c:auto val="1"/>
        <c:lblAlgn val="ctr"/>
        <c:lblOffset val="0"/>
        <c:noMultiLvlLbl val="0"/>
      </c:catAx>
      <c:valAx>
        <c:axId val="-1605323424"/>
        <c:scaling>
          <c:orientation val="minMax"/>
          <c:max val="0"/>
          <c:min val="-6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1605332128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82569289303953286"/>
          <c:y val="0.15367972095593313"/>
          <c:w val="0.17169859457026379"/>
          <c:h val="0.63461076980761433"/>
        </c:manualLayout>
      </c:layout>
      <c:overlay val="0"/>
      <c:txPr>
        <a:bodyPr/>
        <a:lstStyle/>
        <a:p>
          <a:pPr>
            <a:defRPr sz="800" b="0">
              <a:latin typeface="Fira Sans" pitchFamily="34" charset="0"/>
              <a:ea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493152627652168E-2"/>
          <c:y val="0.10752541646579893"/>
          <c:w val="0.72574768208789864"/>
          <c:h val="0.78125598060460422"/>
        </c:manualLayout>
      </c:layout>
      <c:barChart>
        <c:barDir val="col"/>
        <c:grouping val="stacked"/>
        <c:varyColors val="0"/>
        <c:ser>
          <c:idx val="1"/>
          <c:order val="0"/>
          <c:tx>
            <c:strRef>
              <c:f>'żrodla finansowania'!$B$30</c:f>
              <c:strCache>
                <c:ptCount val="1"/>
                <c:pt idx="0">
                  <c:v>środki własne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'żrodla finansowania'!$A$31:$A$40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'żrodla finansowania'!$B$31:$B$40</c:f>
              <c:numCache>
                <c:formatCode>0.0</c:formatCode>
                <c:ptCount val="10"/>
                <c:pt idx="0">
                  <c:v>56.4</c:v>
                </c:pt>
                <c:pt idx="1">
                  <c:v>65.019324589748464</c:v>
                </c:pt>
                <c:pt idx="2">
                  <c:v>57.8</c:v>
                </c:pt>
                <c:pt idx="3">
                  <c:v>57.3</c:v>
                </c:pt>
                <c:pt idx="4">
                  <c:v>57.8</c:v>
                </c:pt>
                <c:pt idx="5">
                  <c:v>55.6</c:v>
                </c:pt>
                <c:pt idx="6">
                  <c:v>54.9</c:v>
                </c:pt>
                <c:pt idx="7">
                  <c:v>53.5</c:v>
                </c:pt>
                <c:pt idx="8">
                  <c:v>50.1</c:v>
                </c:pt>
                <c:pt idx="9">
                  <c:v>49.3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CFB-41C3-80D6-5C8A334417D8}"/>
            </c:ext>
          </c:extLst>
        </c:ser>
        <c:ser>
          <c:idx val="2"/>
          <c:order val="1"/>
          <c:tx>
            <c:strRef>
              <c:f>'żrodla finansowania'!$C$30</c:f>
              <c:strCache>
                <c:ptCount val="1"/>
                <c:pt idx="0">
                  <c:v>kredyty razem</c:v>
                </c:pt>
              </c:strCache>
            </c:strRef>
          </c:tx>
          <c:spPr>
            <a:solidFill>
              <a:srgbClr val="99A5C9"/>
            </a:solidFill>
            <a:ln cap="flat">
              <a:solidFill>
                <a:srgbClr val="99A5C9"/>
              </a:solidFill>
            </a:ln>
          </c:spPr>
          <c:invertIfNegative val="0"/>
          <c:cat>
            <c:strRef>
              <c:f>'żrodla finansowania'!$A$31:$A$40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'żrodla finansowania'!$C$31:$C$40</c:f>
              <c:numCache>
                <c:formatCode>0.0</c:formatCode>
                <c:ptCount val="10"/>
                <c:pt idx="0">
                  <c:v>5</c:v>
                </c:pt>
                <c:pt idx="1">
                  <c:v>2.2429195970347844</c:v>
                </c:pt>
                <c:pt idx="2">
                  <c:v>1.4</c:v>
                </c:pt>
                <c:pt idx="3">
                  <c:v>2.7</c:v>
                </c:pt>
                <c:pt idx="4">
                  <c:v>3.5</c:v>
                </c:pt>
                <c:pt idx="5">
                  <c:v>6.2</c:v>
                </c:pt>
                <c:pt idx="6">
                  <c:v>8</c:v>
                </c:pt>
                <c:pt idx="7">
                  <c:v>10.3</c:v>
                </c:pt>
                <c:pt idx="8">
                  <c:v>13.8</c:v>
                </c:pt>
                <c:pt idx="9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FB-41C3-80D6-5C8A334417D8}"/>
            </c:ext>
          </c:extLst>
        </c:ser>
        <c:ser>
          <c:idx val="3"/>
          <c:order val="2"/>
          <c:tx>
            <c:strRef>
              <c:f>'żrodla finansowania'!$D$30</c:f>
              <c:strCache>
                <c:ptCount val="1"/>
                <c:pt idx="0">
                  <c:v>pomoc unijna razem</c:v>
                </c:pt>
              </c:strCache>
            </c:strRef>
          </c:tx>
          <c:spPr>
            <a:solidFill>
              <a:srgbClr val="CCD2E4"/>
            </a:solidFill>
            <a:ln cap="flat">
              <a:solidFill>
                <a:srgbClr val="CCD2E4"/>
              </a:solidFill>
            </a:ln>
          </c:spPr>
          <c:invertIfNegative val="0"/>
          <c:cat>
            <c:strRef>
              <c:f>'żrodla finansowania'!$A$31:$A$40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'żrodla finansowania'!$D$31:$D$40</c:f>
              <c:numCache>
                <c:formatCode>0.0</c:formatCode>
                <c:ptCount val="10"/>
                <c:pt idx="0">
                  <c:v>38.6</c:v>
                </c:pt>
                <c:pt idx="1">
                  <c:v>32.737755813216751</c:v>
                </c:pt>
                <c:pt idx="2">
                  <c:v>40.799999999999997</c:v>
                </c:pt>
                <c:pt idx="3">
                  <c:v>40.1</c:v>
                </c:pt>
                <c:pt idx="4">
                  <c:v>38.700000000000003</c:v>
                </c:pt>
                <c:pt idx="5">
                  <c:v>38.1</c:v>
                </c:pt>
                <c:pt idx="6">
                  <c:v>37</c:v>
                </c:pt>
                <c:pt idx="7">
                  <c:v>36.299999999999997</c:v>
                </c:pt>
                <c:pt idx="8">
                  <c:v>36.1</c:v>
                </c:pt>
                <c:pt idx="9">
                  <c:v>34.700000000000003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CFB-41C3-80D6-5C8A33441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overlap val="100"/>
        <c:axId val="-1605337568"/>
        <c:axId val="-1605327776"/>
      </c:barChart>
      <c:catAx>
        <c:axId val="-16053375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700" b="0" i="0" baseline="0">
                <a:latin typeface="Fira Sans" pitchFamily="34" charset="0"/>
              </a:defRPr>
            </a:pPr>
            <a:endParaRPr lang="pl-PL"/>
          </a:p>
        </c:txPr>
        <c:crossAx val="-1605327776"/>
        <c:crosses val="autoZero"/>
        <c:auto val="1"/>
        <c:lblAlgn val="ctr"/>
        <c:lblOffset val="0"/>
        <c:noMultiLvlLbl val="0"/>
      </c:catAx>
      <c:valAx>
        <c:axId val="-1605327776"/>
        <c:scaling>
          <c:orientation val="minMax"/>
          <c:max val="10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-16053375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520801768253305"/>
          <c:y val="9.0701275322642286E-2"/>
          <c:w val="0.16479198231746695"/>
          <c:h val="0.8238792236724598"/>
        </c:manualLayout>
      </c:layout>
      <c:overlay val="0"/>
      <c:txPr>
        <a:bodyPr/>
        <a:lstStyle/>
        <a:p>
          <a:pPr>
            <a:defRPr sz="80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997857510280537E-2"/>
          <c:y val="0.12228460572863174"/>
          <c:w val="0.74362509918818287"/>
          <c:h val="0.7262184183498802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sprzyjające_wg_powierzchni!$B$3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001D77"/>
            </a:solidFill>
            <a:ln cap="flat">
              <a:solidFill>
                <a:srgbClr val="334A92"/>
              </a:solidFill>
            </a:ln>
          </c:spPr>
          <c:invertIfNegative val="0"/>
          <c:cat>
            <c:strRef>
              <c:f>sprzyjające_wg_powierzchni!$A$4:$A$13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sprzyjające_wg_powierzchni!$B$4:$B$13</c:f>
              <c:numCache>
                <c:formatCode>0.0</c:formatCode>
                <c:ptCount val="10"/>
                <c:pt idx="0">
                  <c:v>23.1</c:v>
                </c:pt>
                <c:pt idx="1">
                  <c:v>26.4</c:v>
                </c:pt>
                <c:pt idx="2">
                  <c:v>22.7</c:v>
                </c:pt>
                <c:pt idx="3">
                  <c:v>22</c:v>
                </c:pt>
                <c:pt idx="4">
                  <c:v>23.8</c:v>
                </c:pt>
                <c:pt idx="5">
                  <c:v>23.1</c:v>
                </c:pt>
                <c:pt idx="6">
                  <c:v>24.1</c:v>
                </c:pt>
                <c:pt idx="7">
                  <c:v>22.3</c:v>
                </c:pt>
                <c:pt idx="8">
                  <c:v>24.7</c:v>
                </c:pt>
                <c:pt idx="9">
                  <c:v>22.7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3F4-48C4-81A4-C7B2122956EF}"/>
            </c:ext>
          </c:extLst>
        </c:ser>
        <c:ser>
          <c:idx val="1"/>
          <c:order val="1"/>
          <c:tx>
            <c:strRef>
              <c:f>sprzyjające_wg_powierzchni!$C$3</c:f>
              <c:strCache>
                <c:ptCount val="1"/>
                <c:pt idx="0">
                  <c:v>umowy kontraktacyjne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sprzyjające_wg_powierzchni!$A$4:$A$13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sprzyjające_wg_powierzchni!$C$4:$C$13</c:f>
              <c:numCache>
                <c:formatCode>0.0</c:formatCode>
                <c:ptCount val="10"/>
                <c:pt idx="0">
                  <c:v>4.9000000000000004</c:v>
                </c:pt>
                <c:pt idx="1">
                  <c:v>4.1245988886280029</c:v>
                </c:pt>
                <c:pt idx="2">
                  <c:v>2.7</c:v>
                </c:pt>
                <c:pt idx="3">
                  <c:v>3.8</c:v>
                </c:pt>
                <c:pt idx="4">
                  <c:v>3.9</c:v>
                </c:pt>
                <c:pt idx="5">
                  <c:v>5.7</c:v>
                </c:pt>
                <c:pt idx="6">
                  <c:v>7.1</c:v>
                </c:pt>
                <c:pt idx="7">
                  <c:v>7.3</c:v>
                </c:pt>
                <c:pt idx="8">
                  <c:v>7.2</c:v>
                </c:pt>
                <c:pt idx="9">
                  <c:v>8.6999999999999993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3F4-48C4-81A4-C7B2122956EF}"/>
            </c:ext>
          </c:extLst>
        </c:ser>
        <c:ser>
          <c:idx val="2"/>
          <c:order val="2"/>
          <c:tx>
            <c:strRef>
              <c:f>sprzyjające_wg_powierzchni!$D$3</c:f>
              <c:strCache>
                <c:ptCount val="1"/>
                <c:pt idx="0">
                  <c:v>kredyty preferencyjne</c:v>
                </c:pt>
              </c:strCache>
            </c:strRef>
          </c:tx>
          <c:spPr>
            <a:solidFill>
              <a:srgbClr val="6677AD"/>
            </a:solidFill>
            <a:ln cap="flat">
              <a:solidFill>
                <a:srgbClr val="6677AD"/>
              </a:solidFill>
            </a:ln>
          </c:spPr>
          <c:invertIfNegative val="0"/>
          <c:cat>
            <c:strRef>
              <c:f>sprzyjające_wg_powierzchni!$A$4:$A$13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sprzyjające_wg_powierzchni!$D$4:$D$13</c:f>
              <c:numCache>
                <c:formatCode>0.0</c:formatCode>
                <c:ptCount val="10"/>
                <c:pt idx="0">
                  <c:v>5.0999999999999996</c:v>
                </c:pt>
                <c:pt idx="1">
                  <c:v>2.8801753150191751</c:v>
                </c:pt>
                <c:pt idx="2">
                  <c:v>3.6</c:v>
                </c:pt>
                <c:pt idx="3">
                  <c:v>2.2000000000000002</c:v>
                </c:pt>
                <c:pt idx="4">
                  <c:v>4.5999999999999996</c:v>
                </c:pt>
                <c:pt idx="5">
                  <c:v>6</c:v>
                </c:pt>
                <c:pt idx="6">
                  <c:v>8.3000000000000007</c:v>
                </c:pt>
                <c:pt idx="7">
                  <c:v>9.6</c:v>
                </c:pt>
                <c:pt idx="8">
                  <c:v>9</c:v>
                </c:pt>
                <c:pt idx="9">
                  <c:v>9.3000000000000007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3F4-48C4-81A4-C7B2122956EF}"/>
            </c:ext>
          </c:extLst>
        </c:ser>
        <c:ser>
          <c:idx val="3"/>
          <c:order val="3"/>
          <c:tx>
            <c:strRef>
              <c:f>sprzyjające_wg_powierzchni!$E$3</c:f>
              <c:strCache>
                <c:ptCount val="1"/>
                <c:pt idx="0">
                  <c:v>korzystne ceny sprzedawanych produktów rolnych</c:v>
                </c:pt>
              </c:strCache>
            </c:strRef>
          </c:tx>
          <c:spPr>
            <a:solidFill>
              <a:srgbClr val="99A5C9"/>
            </a:solidFill>
            <a:ln cap="flat">
              <a:solidFill>
                <a:srgbClr val="99A5C9"/>
              </a:solidFill>
            </a:ln>
          </c:spPr>
          <c:invertIfNegative val="0"/>
          <c:cat>
            <c:strRef>
              <c:f>sprzyjające_wg_powierzchni!$A$4:$A$13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sprzyjające_wg_powierzchni!$E$4:$E$13</c:f>
              <c:numCache>
                <c:formatCode>0.0</c:formatCode>
                <c:ptCount val="10"/>
                <c:pt idx="0">
                  <c:v>18.100000000000001</c:v>
                </c:pt>
                <c:pt idx="1">
                  <c:v>22.235266494482271</c:v>
                </c:pt>
                <c:pt idx="2">
                  <c:v>16.7</c:v>
                </c:pt>
                <c:pt idx="3">
                  <c:v>14.7</c:v>
                </c:pt>
                <c:pt idx="4">
                  <c:v>16.5</c:v>
                </c:pt>
                <c:pt idx="5">
                  <c:v>22.3</c:v>
                </c:pt>
                <c:pt idx="6">
                  <c:v>20.399999999999999</c:v>
                </c:pt>
                <c:pt idx="7">
                  <c:v>21.3</c:v>
                </c:pt>
                <c:pt idx="8">
                  <c:v>20.3</c:v>
                </c:pt>
                <c:pt idx="9">
                  <c:v>22.9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3F4-48C4-81A4-C7B2122956EF}"/>
            </c:ext>
          </c:extLst>
        </c:ser>
        <c:ser>
          <c:idx val="4"/>
          <c:order val="4"/>
          <c:tx>
            <c:strRef>
              <c:f>sprzyjające_wg_powierzchni!$F$3</c:f>
              <c:strCache>
                <c:ptCount val="1"/>
                <c:pt idx="0">
                  <c:v>wsparcie unijne</c:v>
                </c:pt>
              </c:strCache>
            </c:strRef>
          </c:tx>
          <c:spPr>
            <a:solidFill>
              <a:srgbClr val="CCD2E4"/>
            </a:solidFill>
            <a:ln>
              <a:solidFill>
                <a:srgbClr val="CCD2E4"/>
              </a:solidFill>
            </a:ln>
          </c:spPr>
          <c:invertIfNegative val="0"/>
          <c:dPt>
            <c:idx val="9"/>
            <c:invertIfNegative val="0"/>
            <c:bubble3D val="0"/>
            <c:spPr>
              <a:solidFill>
                <a:srgbClr val="CCD2E4"/>
              </a:solidFill>
              <a:ln cap="flat">
                <a:solidFill>
                  <a:srgbClr val="CCD2E4"/>
                </a:solidFill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93F4-48C4-81A4-C7B2122956EF}"/>
              </c:ext>
            </c:extLst>
          </c:dPt>
          <c:cat>
            <c:strRef>
              <c:f>sprzyjające_wg_powierzchni!$A$4:$A$13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sprzyjające_wg_powierzchni!$F$4:$F$13</c:f>
              <c:numCache>
                <c:formatCode>0.0</c:formatCode>
                <c:ptCount val="10"/>
                <c:pt idx="0">
                  <c:v>48.8</c:v>
                </c:pt>
                <c:pt idx="1">
                  <c:v>44.345307975268064</c:v>
                </c:pt>
                <c:pt idx="2">
                  <c:v>54.3</c:v>
                </c:pt>
                <c:pt idx="3">
                  <c:v>57.3</c:v>
                </c:pt>
                <c:pt idx="4">
                  <c:v>51.2</c:v>
                </c:pt>
                <c:pt idx="5">
                  <c:v>42.9</c:v>
                </c:pt>
                <c:pt idx="6">
                  <c:v>40.1</c:v>
                </c:pt>
                <c:pt idx="7">
                  <c:v>39.5</c:v>
                </c:pt>
                <c:pt idx="8">
                  <c:v>38.799999999999997</c:v>
                </c:pt>
                <c:pt idx="9">
                  <c:v>36.4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3F4-48C4-81A4-C7B2122956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overlap val="100"/>
        <c:axId val="-1605328320"/>
        <c:axId val="-1605331584"/>
      </c:barChart>
      <c:catAx>
        <c:axId val="-16053283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-1605331584"/>
        <c:crosses val="autoZero"/>
        <c:auto val="1"/>
        <c:lblAlgn val="ctr"/>
        <c:lblOffset val="0"/>
        <c:noMultiLvlLbl val="0"/>
      </c:catAx>
      <c:valAx>
        <c:axId val="-1605331584"/>
        <c:scaling>
          <c:orientation val="minMax"/>
          <c:max val="10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-160532832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750" b="0" i="0" baseline="0">
                <a:latin typeface="Fira Sans" pitchFamily="34" charset="0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750" b="0" i="0" baseline="0">
                <a:latin typeface="Fira Sans" pitchFamily="34" charset="0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750" b="0" i="0" baseline="0">
                <a:latin typeface="Fira Sans" pitchFamily="34" charset="0"/>
              </a:defRPr>
            </a:pPr>
            <a:endParaRPr lang="pl-PL"/>
          </a:p>
        </c:txPr>
      </c:legendEntry>
      <c:legendEntry>
        <c:idx val="3"/>
        <c:txPr>
          <a:bodyPr/>
          <a:lstStyle/>
          <a:p>
            <a:pPr>
              <a:defRPr sz="750" b="0" i="0" baseline="0">
                <a:latin typeface="Fira Sans" pitchFamily="34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81770839691550179"/>
          <c:y val="0.1232664612575602"/>
          <c:w val="0.17733321125556981"/>
          <c:h val="0.76658861120620791"/>
        </c:manualLayout>
      </c:layout>
      <c:overlay val="0"/>
      <c:txPr>
        <a:bodyPr/>
        <a:lstStyle/>
        <a:p>
          <a:pPr>
            <a:defRPr sz="75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394039486231946E-2"/>
          <c:y val="0.11122406945689986"/>
          <c:w val="0.72496088704812423"/>
          <c:h val="0.73619977728065589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ograniczające_wg_powierzchni!$B$3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001D77"/>
            </a:solidFill>
            <a:ln cap="flat">
              <a:solidFill>
                <a:srgbClr val="001D77"/>
              </a:solidFill>
            </a:ln>
          </c:spPr>
          <c:invertIfNegative val="0"/>
          <c:cat>
            <c:strRef>
              <c:f>ograniczające_wg_powierzchni!$A$4:$A$13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ograniczające_wg_powierzchni!$B$4:$B$13</c:f>
              <c:numCache>
                <c:formatCode>0.0</c:formatCode>
                <c:ptCount val="10"/>
                <c:pt idx="0">
                  <c:v>37.799999999999997</c:v>
                </c:pt>
                <c:pt idx="1">
                  <c:v>33.1</c:v>
                </c:pt>
                <c:pt idx="2">
                  <c:v>35.824366179945585</c:v>
                </c:pt>
                <c:pt idx="3">
                  <c:v>35.5</c:v>
                </c:pt>
                <c:pt idx="4">
                  <c:v>37.306148008988096</c:v>
                </c:pt>
                <c:pt idx="5">
                  <c:v>38.889337586991346</c:v>
                </c:pt>
                <c:pt idx="6">
                  <c:v>39.700000000000003</c:v>
                </c:pt>
                <c:pt idx="7">
                  <c:v>42.2</c:v>
                </c:pt>
                <c:pt idx="8">
                  <c:v>43.1</c:v>
                </c:pt>
                <c:pt idx="9">
                  <c:v>47.3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9D4-4870-ACAC-B813E495F004}"/>
            </c:ext>
          </c:extLst>
        </c:ser>
        <c:ser>
          <c:idx val="1"/>
          <c:order val="1"/>
          <c:tx>
            <c:strRef>
              <c:f>ograniczające_wg_powierzchni!$C$3</c:f>
              <c:strCache>
                <c:ptCount val="1"/>
                <c:pt idx="0">
                  <c:v>niepewność ogólnej sytuacji gospodarczej</c:v>
                </c:pt>
              </c:strCache>
            </c:strRef>
          </c:tx>
          <c:spPr>
            <a:solidFill>
              <a:srgbClr val="334A92"/>
            </a:solidFill>
            <a:ln>
              <a:solidFill>
                <a:srgbClr val="334A92"/>
              </a:solidFill>
            </a:ln>
          </c:spPr>
          <c:invertIfNegative val="0"/>
          <c:cat>
            <c:strRef>
              <c:f>ograniczające_wg_powierzchni!$A$4:$A$13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ograniczające_wg_powierzchni!$C$4:$C$13</c:f>
              <c:numCache>
                <c:formatCode>0.0</c:formatCode>
                <c:ptCount val="10"/>
                <c:pt idx="0">
                  <c:v>8.6</c:v>
                </c:pt>
                <c:pt idx="1">
                  <c:v>8.1</c:v>
                </c:pt>
                <c:pt idx="2">
                  <c:v>7</c:v>
                </c:pt>
                <c:pt idx="3">
                  <c:v>8.6999999999999993</c:v>
                </c:pt>
                <c:pt idx="4">
                  <c:v>8.5</c:v>
                </c:pt>
                <c:pt idx="5">
                  <c:v>9</c:v>
                </c:pt>
                <c:pt idx="6">
                  <c:v>9.6</c:v>
                </c:pt>
                <c:pt idx="7">
                  <c:v>9</c:v>
                </c:pt>
                <c:pt idx="8">
                  <c:v>9.6999999999999993</c:v>
                </c:pt>
                <c:pt idx="9">
                  <c:v>10.3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9D4-4870-ACAC-B813E495F004}"/>
            </c:ext>
          </c:extLst>
        </c:ser>
        <c:ser>
          <c:idx val="2"/>
          <c:order val="2"/>
          <c:tx>
            <c:strRef>
              <c:f>ograniczające_wg_powierzchni!$D$3</c:f>
              <c:strCache>
                <c:ptCount val="1"/>
                <c:pt idx="0">
                  <c:v>brak środków finansowych</c:v>
                </c:pt>
              </c:strCache>
            </c:strRef>
          </c:tx>
          <c:spPr>
            <a:solidFill>
              <a:srgbClr val="6677AD"/>
            </a:solidFill>
            <a:ln cap="flat">
              <a:solidFill>
                <a:srgbClr val="6677AD"/>
              </a:solidFill>
            </a:ln>
          </c:spPr>
          <c:invertIfNegative val="0"/>
          <c:cat>
            <c:strRef>
              <c:f>ograniczające_wg_powierzchni!$A$4:$A$13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ograniczające_wg_powierzchni!$D$4:$D$13</c:f>
              <c:numCache>
                <c:formatCode>0.0</c:formatCode>
                <c:ptCount val="10"/>
                <c:pt idx="0">
                  <c:v>9</c:v>
                </c:pt>
                <c:pt idx="1">
                  <c:v>11.169511045963773</c:v>
                </c:pt>
                <c:pt idx="2">
                  <c:v>9.9</c:v>
                </c:pt>
                <c:pt idx="3">
                  <c:v>10.1</c:v>
                </c:pt>
                <c:pt idx="4">
                  <c:v>9.1999999999999993</c:v>
                </c:pt>
                <c:pt idx="5">
                  <c:v>8.1999999999999993</c:v>
                </c:pt>
                <c:pt idx="6">
                  <c:v>8.5</c:v>
                </c:pt>
                <c:pt idx="7">
                  <c:v>6.7</c:v>
                </c:pt>
                <c:pt idx="8">
                  <c:v>6.5</c:v>
                </c:pt>
                <c:pt idx="9">
                  <c:v>5.5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9D4-4870-ACAC-B813E495F004}"/>
            </c:ext>
          </c:extLst>
        </c:ser>
        <c:ser>
          <c:idx val="3"/>
          <c:order val="3"/>
          <c:tx>
            <c:strRef>
              <c:f>ograniczające_wg_powierzchni!$E$3</c:f>
              <c:strCache>
                <c:ptCount val="1"/>
                <c:pt idx="0">
                  <c:v>zbyt niskie ceny zbytu</c:v>
                </c:pt>
              </c:strCache>
            </c:strRef>
          </c:tx>
          <c:spPr>
            <a:solidFill>
              <a:srgbClr val="99A5C9"/>
            </a:solidFill>
            <a:ln cap="flat">
              <a:solidFill>
                <a:srgbClr val="99A5C9"/>
              </a:solidFill>
            </a:ln>
          </c:spPr>
          <c:invertIfNegative val="0"/>
          <c:cat>
            <c:strRef>
              <c:f>ograniczające_wg_powierzchni!$A$4:$A$13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ograniczające_wg_powierzchni!$E$4:$E$13</c:f>
              <c:numCache>
                <c:formatCode>0.0</c:formatCode>
                <c:ptCount val="10"/>
                <c:pt idx="0">
                  <c:v>18.100000000000001</c:v>
                </c:pt>
                <c:pt idx="1">
                  <c:v>19.644016333368235</c:v>
                </c:pt>
                <c:pt idx="2">
                  <c:v>19.8</c:v>
                </c:pt>
                <c:pt idx="3">
                  <c:v>18.899999999999999</c:v>
                </c:pt>
                <c:pt idx="4">
                  <c:v>18.2</c:v>
                </c:pt>
                <c:pt idx="5">
                  <c:v>16.7</c:v>
                </c:pt>
                <c:pt idx="6">
                  <c:v>17</c:v>
                </c:pt>
                <c:pt idx="7">
                  <c:v>16.7</c:v>
                </c:pt>
                <c:pt idx="8">
                  <c:v>16.5</c:v>
                </c:pt>
                <c:pt idx="9">
                  <c:v>14.6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9D4-4870-ACAC-B813E495F004}"/>
            </c:ext>
          </c:extLst>
        </c:ser>
        <c:ser>
          <c:idx val="4"/>
          <c:order val="4"/>
          <c:tx>
            <c:strRef>
              <c:f>ograniczające_wg_powierzchni!$F$3</c:f>
              <c:strCache>
                <c:ptCount val="1"/>
                <c:pt idx="0">
                  <c:v>zbyt wysokie koszty produkcji</c:v>
                </c:pt>
              </c:strCache>
            </c:strRef>
          </c:tx>
          <c:spPr>
            <a:solidFill>
              <a:srgbClr val="CCD2E4"/>
            </a:solidFill>
            <a:ln cap="flat">
              <a:solidFill>
                <a:srgbClr val="CCD2E4"/>
              </a:solidFill>
            </a:ln>
          </c:spPr>
          <c:invertIfNegative val="0"/>
          <c:cat>
            <c:strRef>
              <c:f>ograniczające_wg_powierzchni!$A$4:$A$13</c:f>
              <c:strCache>
                <c:ptCount val="10"/>
                <c:pt idx="0">
                  <c:v>ogółem </c:v>
                </c:pt>
                <c:pt idx="1">
                  <c:v>do 2 </c:v>
                </c:pt>
                <c:pt idx="2">
                  <c:v>2-5</c:v>
                </c:pt>
                <c:pt idx="3">
                  <c:v>5-10</c:v>
                </c:pt>
                <c:pt idx="4">
                  <c:v>10-15</c:v>
                </c:pt>
                <c:pt idx="5">
                  <c:v>15-20</c:v>
                </c:pt>
                <c:pt idx="6">
                  <c:v>20-30</c:v>
                </c:pt>
                <c:pt idx="7">
                  <c:v>30-50</c:v>
                </c:pt>
                <c:pt idx="8">
                  <c:v>50-100</c:v>
                </c:pt>
                <c:pt idx="9">
                  <c:v>100 i więcej</c:v>
                </c:pt>
              </c:strCache>
            </c:strRef>
          </c:cat>
          <c:val>
            <c:numRef>
              <c:f>ograniczające_wg_powierzchni!$F$4:$F$13</c:f>
              <c:numCache>
                <c:formatCode>0.0</c:formatCode>
                <c:ptCount val="10"/>
                <c:pt idx="0">
                  <c:v>26.5</c:v>
                </c:pt>
                <c:pt idx="1">
                  <c:v>27.988692283530519</c:v>
                </c:pt>
                <c:pt idx="2">
                  <c:v>27.5</c:v>
                </c:pt>
                <c:pt idx="3">
                  <c:v>26.8</c:v>
                </c:pt>
                <c:pt idx="4">
                  <c:v>26.8</c:v>
                </c:pt>
                <c:pt idx="5">
                  <c:v>27.2</c:v>
                </c:pt>
                <c:pt idx="6">
                  <c:v>25.2</c:v>
                </c:pt>
                <c:pt idx="7">
                  <c:v>25.4</c:v>
                </c:pt>
                <c:pt idx="8">
                  <c:v>24.2</c:v>
                </c:pt>
                <c:pt idx="9">
                  <c:v>22.3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9D4-4870-ACAC-B813E495F0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1"/>
        <c:overlap val="100"/>
        <c:axId val="-1605327232"/>
        <c:axId val="-1605331040"/>
      </c:barChart>
      <c:catAx>
        <c:axId val="-160532723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800" b="0">
                    <a:latin typeface="Fira Sans" pitchFamily="34" charset="0"/>
                    <a:ea typeface="Fira Sans" pitchFamily="34" charset="0"/>
                  </a:defRPr>
                </a:pPr>
                <a:r>
                  <a:rPr lang="pl-PL" sz="800" b="0">
                    <a:latin typeface="Fira Sans" pitchFamily="34" charset="0"/>
                    <a:ea typeface="Fira Sans" pitchFamily="34" charset="0"/>
                  </a:rPr>
                  <a:t>ha</a:t>
                </a:r>
              </a:p>
            </c:rich>
          </c:tx>
          <c:layout/>
          <c:overlay val="0"/>
        </c:title>
        <c:numFmt formatCode="General" sourceLinked="0"/>
        <c:majorTickMark val="out"/>
        <c:minorTickMark val="none"/>
        <c:tickLblPos val="low"/>
        <c:txPr>
          <a:bodyPr/>
          <a:lstStyle/>
          <a:p>
            <a:pPr>
              <a:defRPr sz="800" b="0" i="0" baseline="0">
                <a:latin typeface="Fira Sans" pitchFamily="34" charset="0"/>
              </a:defRPr>
            </a:pPr>
            <a:endParaRPr lang="pl-PL"/>
          </a:p>
        </c:txPr>
        <c:crossAx val="-1605331040"/>
        <c:crosses val="autoZero"/>
        <c:auto val="1"/>
        <c:lblAlgn val="ctr"/>
        <c:lblOffset val="0"/>
        <c:noMultiLvlLbl val="0"/>
      </c:catAx>
      <c:valAx>
        <c:axId val="-1605331040"/>
        <c:scaling>
          <c:orientation val="minMax"/>
          <c:max val="100"/>
          <c:min val="0"/>
        </c:scaling>
        <c:delete val="0"/>
        <c:axPos val="l"/>
        <c:majorGridlines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 baseline="0">
                <a:latin typeface="Fira Sans" pitchFamily="34" charset="0"/>
              </a:defRPr>
            </a:pPr>
            <a:endParaRPr lang="pl-PL"/>
          </a:p>
        </c:txPr>
        <c:crossAx val="-16053272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520801768253305"/>
          <c:y val="0.13075123431848867"/>
          <c:w val="0.16479198231746695"/>
          <c:h val="0.78382899884698398"/>
        </c:manualLayout>
      </c:layout>
      <c:overlay val="0"/>
      <c:txPr>
        <a:bodyPr/>
        <a:lstStyle/>
        <a:p>
          <a:pPr>
            <a:defRPr sz="750" b="0" i="0" baseline="0">
              <a:latin typeface="Fira Sans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0.12037</cdr:x>
      <cdr:y>0.068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590550" cy="1619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 proc.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0.0502</cdr:x>
      <cdr:y>0.02022</cdr:y>
    </cdr:from>
    <cdr:to>
      <cdr:x>0.09483</cdr:x>
      <cdr:y>0.06471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257175" y="47625"/>
          <a:ext cx="228600" cy="1047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0.12458</cdr:x>
      <cdr:y>0.08088</cdr:y>
    </cdr:to>
    <cdr:sp macro="" textlink="">
      <cdr:nvSpPr>
        <cdr:cNvPr id="3" name="Pole tekstowe 2"/>
        <cdr:cNvSpPr txBox="1"/>
      </cdr:nvSpPr>
      <cdr:spPr>
        <a:xfrm xmlns:a="http://schemas.openxmlformats.org/drawingml/2006/main">
          <a:off x="0" y="-3276600"/>
          <a:ext cx="638176" cy="190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 proc.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0.12886</cdr:x>
      <cdr:y>0.08244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628651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 proc</a:t>
          </a:r>
          <a:r>
            <a:rPr lang="pl-PL" sz="1100"/>
            <a:t>.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0.1283</cdr:x>
      <cdr:y>0.07661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-457200" y="0"/>
          <a:ext cx="65722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</a:t>
          </a:r>
          <a:r>
            <a:rPr lang="pl-PL" sz="800" baseline="0">
              <a:latin typeface="Fira Sans" panose="020B0503050000020004" pitchFamily="34" charset="0"/>
              <a:ea typeface="Fira Sans" panose="020B0503050000020004" pitchFamily="34" charset="0"/>
            </a:rPr>
            <a:t> proc.</a:t>
          </a:r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0.01302</cdr:x>
      <cdr:y>0</cdr:y>
    </cdr:from>
    <cdr:to>
      <cdr:x>0.15061</cdr:x>
      <cdr:y>0.10324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66675" y="0"/>
          <a:ext cx="704850" cy="25371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p. proc</a:t>
          </a:r>
          <a:r>
            <a:rPr lang="pl-PL" sz="1100"/>
            <a:t>.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0.02937</cdr:x>
      <cdr:y>0</cdr:y>
    </cdr:from>
    <cdr:to>
      <cdr:x>0.139</cdr:x>
      <cdr:y>0.084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142874" y="0"/>
          <a:ext cx="533401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l"/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0.04845</cdr:x>
      <cdr:y>0.10329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0" y="0"/>
          <a:ext cx="238125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0.01488</cdr:x>
      <cdr:y>0</cdr:y>
    </cdr:from>
    <cdr:to>
      <cdr:x>0.06136</cdr:x>
      <cdr:y>0.07885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76200" y="0"/>
          <a:ext cx="238125" cy="200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0.01154</cdr:x>
      <cdr:y>0.01938</cdr:y>
    </cdr:from>
    <cdr:to>
      <cdr:x>0.08463</cdr:x>
      <cdr:y>0.09353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7150" y="51330"/>
          <a:ext cx="361950" cy="1963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pl-PL" sz="800">
              <a:latin typeface="Fira Sans" panose="020B0503050000020004" pitchFamily="34" charset="0"/>
              <a:ea typeface="Fira Sans" panose="020B0503050000020004" pitchFamily="34" charset="0"/>
            </a:rPr>
            <a:t>%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AKR_II_półrocze_2022.docx</NazwaPliku>
    <Osoba xmlns="AD3641B4-23D9-4536-AF9E-7D0EADDEB824">STAT\JANKOWSKAA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72AFEA-8452-4D45-85BB-04197825D7D3}"/>
</file>

<file path=customXml/itemProps2.xml><?xml version="1.0" encoding="utf-8"?>
<ds:datastoreItem xmlns:ds="http://schemas.openxmlformats.org/officeDocument/2006/customXml" ds:itemID="{75DDB874-8D69-4B49-8404-7C808A196E68}"/>
</file>

<file path=customXml/itemProps3.xml><?xml version="1.0" encoding="utf-8"?>
<ds:datastoreItem xmlns:ds="http://schemas.openxmlformats.org/officeDocument/2006/customXml" ds:itemID="{13F373B0-EED0-4D7A-8F82-AEEE10E262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2139</Words>
  <Characters>12837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2023-03-29T13:54:00Z</cp:lastPrinted>
  <dcterms:created xsi:type="dcterms:W3CDTF">2023-03-30T05:17:00Z</dcterms:created>
  <dcterms:modified xsi:type="dcterms:W3CDTF">2023-03-30T05:17:00Z</dcterms:modified>
</cp:coreProperties>
</file>