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AC4CEAE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362FF7">
        <w:rPr>
          <w:szCs w:val="40"/>
        </w:rPr>
        <w:t xml:space="preserve"> 1 kwartale</w:t>
      </w:r>
      <w:r w:rsidR="00523AD1" w:rsidRPr="00553C9F">
        <w:rPr>
          <w:szCs w:val="40"/>
        </w:rPr>
        <w:t xml:space="preserve"> </w:t>
      </w:r>
      <w:r w:rsidR="00621BCA">
        <w:rPr>
          <w:szCs w:val="40"/>
        </w:rPr>
        <w:t>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09BA6386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AA24CA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81275" cy="937895"/>
                <wp:effectExtent l="0" t="0" r="9525" b="0"/>
                <wp:wrapSquare wrapText="bothSides"/>
                <wp:docPr id="6" name="Pole tekstowe 2" descr="60,8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93789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333F428" w:rsidR="005C0CAC" w:rsidRPr="00702D97" w:rsidRDefault="00252876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60,8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60,8 mld zł&#10;Wynik finansowy netto przedsiębiorstw" style="position:absolute;margin-left:0;margin-top:.6pt;width:203.25pt;height:7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" fillcolor="#001d77" stroked="f">
                <v:stroke joinstyle="miter"/>
                <v:textbox>
                  <w:txbxContent>
                    <w:p w14:paraId="30951E30" w14:textId="3333F428" w:rsidR="005C0CAC" w:rsidRPr="00702D97" w:rsidRDefault="00252876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02D97">
                        <w:rPr>
                          <w:rStyle w:val="WartowskanikaZnak"/>
                          <w:sz w:val="72"/>
                          <w:szCs w:val="72"/>
                        </w:rPr>
                        <w:t>60,8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621BCA">
        <w:rPr>
          <w:rFonts w:eastAsia="Times New Roman" w:cs="Times New Roman"/>
          <w:bCs/>
          <w:noProof w:val="0"/>
        </w:rPr>
        <w:t xml:space="preserve"> 1 kwartale</w:t>
      </w:r>
      <w:r w:rsidR="00C37793" w:rsidRPr="00AE1A1C">
        <w:rPr>
          <w:rFonts w:eastAsia="Times New Roman" w:cs="Times New Roman"/>
          <w:bCs/>
          <w:noProof w:val="0"/>
        </w:rPr>
        <w:t xml:space="preserve"> </w:t>
      </w:r>
      <w:r w:rsidR="00621BCA">
        <w:rPr>
          <w:rFonts w:eastAsia="Times New Roman" w:cs="Times New Roman"/>
          <w:bCs/>
          <w:noProof w:val="0"/>
        </w:rPr>
        <w:t>2023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1B32E1">
        <w:rPr>
          <w:rFonts w:eastAsia="Times New Roman" w:cs="Times New Roman"/>
          <w:bCs/>
          <w:noProof w:val="0"/>
        </w:rPr>
        <w:t>1 353,9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1B32E1">
        <w:rPr>
          <w:rFonts w:eastAsia="Times New Roman" w:cs="Times New Roman"/>
          <w:bCs/>
          <w:noProof w:val="0"/>
        </w:rPr>
        <w:t xml:space="preserve"> 1 278,6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ukształtował się na poziomie 60,8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3E50A0A3" w14:textId="77777777" w:rsidR="00030250" w:rsidRDefault="00030250" w:rsidP="00F049AB">
      <w:pPr>
        <w:pStyle w:val="Lead"/>
        <w:rPr>
          <w:rFonts w:eastAsia="Times New Roman" w:cs="Times New Roman"/>
          <w:bCs/>
          <w:noProof w:val="0"/>
        </w:rPr>
      </w:pPr>
    </w:p>
    <w:p w14:paraId="025D5B17" w14:textId="77777777" w:rsidR="00D81173" w:rsidRDefault="00D81173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A2A0C7E" w14:textId="5B281B2F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C514A2">
        <w:rPr>
          <w:rFonts w:cs="MyriadPro-Bold"/>
          <w:b/>
          <w:bCs/>
          <w:szCs w:val="19"/>
        </w:rPr>
        <w:t>1 kwartale 2023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1C819319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C514A2">
        <w:rPr>
          <w:rFonts w:eastAsia="Times New Roman" w:cs="Times New Roman"/>
          <w:szCs w:val="19"/>
          <w:lang w:eastAsia="pl-PL"/>
        </w:rPr>
        <w:t>1 kwartale 2023 roku populacji 17 387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 największą liczebnie grupę </w:t>
      </w:r>
      <w:r w:rsidR="00597E81">
        <w:rPr>
          <w:rFonts w:eastAsia="Times New Roman" w:cs="Times New Roman"/>
          <w:szCs w:val="19"/>
          <w:lang w:eastAsia="pl-PL"/>
        </w:rPr>
        <w:t>(78,0%) stanowiły jednostki średnie, tj. o liczbie pracujących 5</w:t>
      </w:r>
      <w:r w:rsidRPr="006B1976">
        <w:rPr>
          <w:rFonts w:eastAsia="Times New Roman" w:cs="Times New Roman"/>
          <w:szCs w:val="19"/>
          <w:lang w:eastAsia="pl-PL"/>
        </w:rPr>
        <w:t>0–</w:t>
      </w:r>
      <w:r w:rsidR="00597E81">
        <w:rPr>
          <w:rFonts w:eastAsia="Times New Roman" w:cs="Times New Roman"/>
          <w:szCs w:val="19"/>
          <w:lang w:eastAsia="pl-PL"/>
        </w:rPr>
        <w:t>2</w:t>
      </w:r>
      <w:r w:rsidRPr="006B1976">
        <w:rPr>
          <w:rFonts w:eastAsia="Times New Roman" w:cs="Times New Roman"/>
          <w:szCs w:val="19"/>
          <w:lang w:eastAsia="pl-PL"/>
        </w:rPr>
        <w:t>49 osób, a jednostki duże (250 i więcej pracujących)</w:t>
      </w:r>
      <w:r w:rsidR="00597E81">
        <w:rPr>
          <w:rFonts w:eastAsia="Times New Roman" w:cs="Times New Roman"/>
          <w:szCs w:val="19"/>
          <w:lang w:eastAsia="pl-PL"/>
        </w:rPr>
        <w:t xml:space="preserve"> – 22,0%</w:t>
      </w:r>
      <w:r w:rsidRPr="006B1976">
        <w:rPr>
          <w:rFonts w:eastAsia="Times New Roman" w:cs="Times New Roman"/>
          <w:szCs w:val="19"/>
          <w:lang w:eastAsia="pl-PL"/>
        </w:rPr>
        <w:t>. We</w:t>
      </w:r>
      <w:r w:rsidR="005123B0">
        <w:rPr>
          <w:rFonts w:eastAsia="Times New Roman" w:cs="Times New Roman"/>
          <w:szCs w:val="19"/>
          <w:lang w:eastAsia="pl-PL"/>
        </w:rPr>
        <w:t>dług stanu na 31 marca 2023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5123B0">
        <w:rPr>
          <w:rFonts w:eastAsia="Times New Roman" w:cs="Times New Roman"/>
          <w:szCs w:val="19"/>
          <w:lang w:eastAsia="pl-PL"/>
        </w:rPr>
        <w:t>ętych badaniem pracowało 4 842,0</w:t>
      </w:r>
      <w:r w:rsidRPr="006B1976">
        <w:rPr>
          <w:rFonts w:eastAsia="Times New Roman" w:cs="Times New Roman"/>
          <w:szCs w:val="19"/>
          <w:lang w:eastAsia="pl-PL"/>
        </w:rPr>
        <w:t xml:space="preserve"> tys. osób. Podmioty d</w:t>
      </w:r>
      <w:r w:rsidR="005123B0">
        <w:rPr>
          <w:rFonts w:eastAsia="Times New Roman" w:cs="Times New Roman"/>
          <w:szCs w:val="19"/>
          <w:lang w:eastAsia="pl-PL"/>
        </w:rPr>
        <w:t>uże były miejscem pracy dla 69,6</w:t>
      </w:r>
      <w:r w:rsidRPr="006B1976">
        <w:rPr>
          <w:rFonts w:eastAsia="Times New Roman" w:cs="Times New Roman"/>
          <w:szCs w:val="19"/>
          <w:lang w:eastAsia="pl-PL"/>
        </w:rPr>
        <w:t>% ogó</w:t>
      </w:r>
      <w:r w:rsidR="005123B0">
        <w:rPr>
          <w:rFonts w:eastAsia="Times New Roman" w:cs="Times New Roman"/>
          <w:szCs w:val="19"/>
          <w:lang w:eastAsia="pl-PL"/>
        </w:rPr>
        <w:t xml:space="preserve">łu pracujących, a średnie – 30,4%. </w:t>
      </w:r>
      <w:r w:rsidRPr="006B1976">
        <w:rPr>
          <w:rFonts w:eastAsia="Times New Roman" w:cs="Times New Roman"/>
          <w:szCs w:val="19"/>
          <w:lang w:eastAsia="pl-PL"/>
        </w:rPr>
        <w:t>W przeciętnym badanym podmiocie prowadzącym księgi rachunkowe według stanu na konie</w:t>
      </w:r>
      <w:r w:rsidR="00387726">
        <w:rPr>
          <w:rFonts w:eastAsia="Times New Roman" w:cs="Times New Roman"/>
          <w:szCs w:val="19"/>
          <w:lang w:eastAsia="pl-PL"/>
        </w:rPr>
        <w:t>c marca 2023 roku pracowało 278</w:t>
      </w:r>
      <w:r w:rsidRPr="006B1976">
        <w:rPr>
          <w:rFonts w:eastAsia="Times New Roman" w:cs="Times New Roman"/>
          <w:szCs w:val="19"/>
          <w:lang w:eastAsia="pl-PL"/>
        </w:rPr>
        <w:t xml:space="preserve"> osób, w podmiocie dużym </w:t>
      </w:r>
      <w:r w:rsidR="00387726">
        <w:rPr>
          <w:rFonts w:eastAsia="Times New Roman" w:cs="Times New Roman"/>
          <w:szCs w:val="19"/>
          <w:lang w:eastAsia="pl-PL"/>
        </w:rPr>
        <w:t>– 880 osób, średnim – 109</w:t>
      </w:r>
      <w:r w:rsidR="007C64F5">
        <w:rPr>
          <w:rFonts w:eastAsia="Times New Roman" w:cs="Times New Roman"/>
          <w:szCs w:val="19"/>
          <w:lang w:eastAsia="pl-PL"/>
        </w:rPr>
        <w:t xml:space="preserve"> osób.</w:t>
      </w:r>
    </w:p>
    <w:p w14:paraId="0A6EED74" w14:textId="6064BE60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badanych podmiotów wyniosły 1 353,9</w:t>
      </w:r>
      <w:r w:rsidRPr="006B1976">
        <w:rPr>
          <w:rFonts w:eastAsia="Times New Roman" w:cs="Times New Roman"/>
          <w:szCs w:val="19"/>
          <w:lang w:eastAsia="pl-PL"/>
        </w:rPr>
        <w:t xml:space="preserve"> 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C227C3">
        <w:rPr>
          <w:rFonts w:eastAsia="Times New Roman" w:cs="Times New Roman"/>
          <w:szCs w:val="19"/>
          <w:lang w:eastAsia="pl-PL"/>
        </w:rPr>
        <w:t xml:space="preserve"> strukturze tych przychodów 59,3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C227C3">
        <w:rPr>
          <w:rFonts w:eastAsia="Times New Roman" w:cs="Times New Roman"/>
          <w:szCs w:val="19"/>
          <w:lang w:eastAsia="pl-PL"/>
        </w:rPr>
        <w:t xml:space="preserve"> 37,8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C227C3">
        <w:rPr>
          <w:rFonts w:eastAsia="Times New Roman" w:cs="Times New Roman"/>
          <w:szCs w:val="19"/>
          <w:lang w:eastAsia="pl-PL"/>
        </w:rPr>
        <w:t>zychody operacyjne stanowiły 1,7%, a przychody finansowe 1,2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597E81">
        <w:rPr>
          <w:rFonts w:eastAsia="Times New Roman" w:cs="Times New Roman"/>
          <w:szCs w:val="19"/>
          <w:lang w:eastAsia="pl-PL"/>
        </w:rPr>
        <w:t>iębiorstwa duże wyniosły 984,8 mld zł i stanowiły 72,7</w:t>
      </w:r>
      <w:r w:rsidRPr="006B1976">
        <w:rPr>
          <w:rFonts w:eastAsia="Times New Roman" w:cs="Times New Roman"/>
          <w:szCs w:val="19"/>
          <w:lang w:eastAsia="pl-PL"/>
        </w:rPr>
        <w:t>% przychodów wszystkich badanych przedsiębiorstw. Jednostki średnie (o liczbie pracujący</w:t>
      </w:r>
      <w:r w:rsidR="00597E81">
        <w:rPr>
          <w:rFonts w:eastAsia="Times New Roman" w:cs="Times New Roman"/>
          <w:szCs w:val="19"/>
          <w:lang w:eastAsia="pl-PL"/>
        </w:rPr>
        <w:t xml:space="preserve">ch 50–249 osób) uzyskały 27,3% </w:t>
      </w:r>
      <w:r w:rsidRPr="006B1976">
        <w:rPr>
          <w:rFonts w:eastAsia="Times New Roman" w:cs="Times New Roman"/>
          <w:szCs w:val="19"/>
          <w:lang w:eastAsia="pl-PL"/>
        </w:rPr>
        <w:t>przychodów ogółem.</w:t>
      </w:r>
    </w:p>
    <w:p w14:paraId="5C9841CC" w14:textId="5668D7C1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46DA2FB9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1 kwartale 2023 roku wynik finansowy brutto przedsiębiorstw wyniósł 75,3 mld zł, a wynik finansowy netto 60,8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7BFBF983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4A13AB">
                              <w:rPr>
                                <w:bCs w:val="0"/>
                              </w:rPr>
                              <w:t>1 kwartale 2023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0E5B25">
                              <w:rPr>
                                <w:bCs w:val="0"/>
                              </w:rPr>
                              <w:t>wyniósł 75,3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finansowy netto 60,8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kwartale 2023 roku wynik finansowy brutto przedsiębiorstw wyniósł 75,3 mld zł, a wynik finansowy netto 60,8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" filled="f" stroked="f">
                <v:textbox>
                  <w:txbxContent>
                    <w:p w14:paraId="7399FD00" w14:textId="7BFBF983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4A13AB">
                        <w:rPr>
                          <w:bCs w:val="0"/>
                        </w:rPr>
                        <w:t>1 kwartale 2023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0E5B25">
                        <w:rPr>
                          <w:bCs w:val="0"/>
                        </w:rPr>
                        <w:t>wyniósł 75,3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finansowy netto 60,8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 xml:space="preserve">Koszty ogółem w </w:t>
      </w:r>
      <w:r w:rsidR="00C227C3">
        <w:rPr>
          <w:rFonts w:eastAsia="Times New Roman" w:cs="Times New Roman"/>
          <w:szCs w:val="19"/>
          <w:lang w:eastAsia="pl-PL"/>
        </w:rPr>
        <w:t>1 kwartale 2023 roku wyniosły 1 278,6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C227C3">
        <w:rPr>
          <w:rFonts w:eastAsia="Times New Roman" w:cs="Times New Roman"/>
          <w:szCs w:val="19"/>
          <w:lang w:eastAsia="pl-PL"/>
        </w:rPr>
        <w:t>W strukturze kosztów ogółem 96,8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C227C3">
        <w:rPr>
          <w:rFonts w:eastAsia="Times New Roman" w:cs="Times New Roman"/>
          <w:szCs w:val="19"/>
          <w:lang w:eastAsia="pl-PL"/>
        </w:rPr>
        <w:t>owarów i materiałów (z tego 33,5</w:t>
      </w:r>
      <w:r w:rsidR="006B1976" w:rsidRPr="006B1976">
        <w:rPr>
          <w:rFonts w:eastAsia="Times New Roman" w:cs="Times New Roman"/>
          <w:szCs w:val="19"/>
          <w:lang w:eastAsia="pl-PL"/>
        </w:rPr>
        <w:t>% to wartość sprzeda</w:t>
      </w:r>
      <w:r w:rsidR="00C227C3">
        <w:rPr>
          <w:rFonts w:eastAsia="Times New Roman" w:cs="Times New Roman"/>
          <w:szCs w:val="19"/>
          <w:lang w:eastAsia="pl-PL"/>
        </w:rPr>
        <w:t>nych towarów i materiałów i 63,3</w:t>
      </w:r>
      <w:r w:rsidR="006B1976" w:rsidRPr="006B1976">
        <w:rPr>
          <w:rFonts w:eastAsia="Times New Roman" w:cs="Times New Roman"/>
          <w:szCs w:val="19"/>
          <w:lang w:eastAsia="pl-PL"/>
        </w:rPr>
        <w:t>% – koszt własny sprzedanych produktów), p</w:t>
      </w:r>
      <w:r w:rsidR="00C227C3">
        <w:rPr>
          <w:rFonts w:eastAsia="Times New Roman" w:cs="Times New Roman"/>
          <w:szCs w:val="19"/>
          <w:lang w:eastAsia="pl-PL"/>
        </w:rPr>
        <w:t>ozostałe koszty operacyjne – 1,3%, a koszty finansowe – 1,9</w:t>
      </w:r>
      <w:r w:rsidR="006B1976" w:rsidRPr="006B1976">
        <w:rPr>
          <w:rFonts w:eastAsia="Times New Roman" w:cs="Times New Roman"/>
          <w:szCs w:val="19"/>
          <w:lang w:eastAsia="pl-PL"/>
        </w:rPr>
        <w:t>%. Koszty ogółem poniesione przez przeds</w:t>
      </w:r>
      <w:r w:rsidR="00C227C3">
        <w:rPr>
          <w:rFonts w:eastAsia="Times New Roman" w:cs="Times New Roman"/>
          <w:szCs w:val="19"/>
          <w:lang w:eastAsia="pl-PL"/>
        </w:rPr>
        <w:t>iębiorstwa duże wyniosły 930,0 mld zł i stanowiły 72,7</w:t>
      </w:r>
      <w:r w:rsidR="006B1976" w:rsidRPr="006B1976">
        <w:rPr>
          <w:rFonts w:eastAsia="Times New Roman" w:cs="Times New Roman"/>
          <w:szCs w:val="19"/>
          <w:lang w:eastAsia="pl-PL"/>
        </w:rPr>
        <w:t>% kosztów wszystkich badanych przedsiębiorstw. Jednostki średnie ponio</w:t>
      </w:r>
      <w:r w:rsidR="00C227C3">
        <w:rPr>
          <w:rFonts w:eastAsia="Times New Roman" w:cs="Times New Roman"/>
          <w:szCs w:val="19"/>
          <w:lang w:eastAsia="pl-PL"/>
        </w:rPr>
        <w:t xml:space="preserve">sły 27,3% </w:t>
      </w:r>
      <w:r w:rsidR="006B1976" w:rsidRPr="006B1976">
        <w:rPr>
          <w:rFonts w:eastAsia="Times New Roman" w:cs="Times New Roman"/>
          <w:szCs w:val="19"/>
          <w:lang w:eastAsia="pl-PL"/>
        </w:rPr>
        <w:t>kosztów ogółem.</w:t>
      </w:r>
    </w:p>
    <w:p w14:paraId="582113F6" w14:textId="745CB98B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0E5B25">
        <w:rPr>
          <w:rFonts w:eastAsia="Times New Roman" w:cs="Times New Roman"/>
          <w:szCs w:val="19"/>
          <w:lang w:eastAsia="pl-PL"/>
        </w:rPr>
        <w:t>nik finansowy brutto wyniósł 75</w:t>
      </w:r>
      <w:r w:rsidR="001B7A93">
        <w:rPr>
          <w:rFonts w:eastAsia="Times New Roman" w:cs="Times New Roman"/>
          <w:szCs w:val="19"/>
          <w:lang w:eastAsia="pl-PL"/>
        </w:rPr>
        <w:t>,3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0E5B25">
        <w:rPr>
          <w:rFonts w:eastAsia="Times New Roman" w:cs="Times New Roman"/>
          <w:szCs w:val="19"/>
          <w:lang w:eastAsia="pl-PL"/>
        </w:rPr>
        <w:t xml:space="preserve"> 14,5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0E5B25">
        <w:rPr>
          <w:rFonts w:eastAsia="Times New Roman" w:cs="Times New Roman"/>
          <w:szCs w:val="19"/>
          <w:lang w:eastAsia="pl-PL"/>
        </w:rPr>
        <w:t>ształtował się na poziomie 60,8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24974CB9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FF48D0">
        <w:rPr>
          <w:rFonts w:eastAsia="Times New Roman" w:cs="Times New Roman"/>
          <w:szCs w:val="19"/>
          <w:lang w:eastAsia="pl-PL"/>
        </w:rPr>
        <w:t>1 kwartale 2023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FF48D0">
        <w:rPr>
          <w:rFonts w:eastAsia="Times New Roman" w:cs="Times New Roman"/>
          <w:szCs w:val="19"/>
          <w:lang w:eastAsia="pl-PL"/>
        </w:rPr>
        <w:t>ębiorstw o liczbie pracujących 5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FF48D0">
        <w:rPr>
          <w:rFonts w:eastAsia="Times New Roman" w:cs="Times New Roman"/>
          <w:szCs w:val="19"/>
          <w:lang w:eastAsia="pl-PL"/>
        </w:rPr>
        <w:t>księgi rachunkowe wyniosły 41,3</w:t>
      </w:r>
      <w:r w:rsidRPr="006B1976">
        <w:rPr>
          <w:rFonts w:eastAsia="Times New Roman" w:cs="Times New Roman"/>
          <w:szCs w:val="19"/>
          <w:lang w:eastAsia="pl-PL"/>
        </w:rPr>
        <w:t xml:space="preserve"> mld zł. Przedsiębiorstwa duże, tj. o liczbie pracujących 250 </w:t>
      </w:r>
      <w:r w:rsidR="00FF48D0">
        <w:rPr>
          <w:rFonts w:eastAsia="Times New Roman" w:cs="Times New Roman"/>
          <w:szCs w:val="19"/>
          <w:lang w:eastAsia="pl-PL"/>
        </w:rPr>
        <w:t>osób i więcej, zrealizowały 81,6</w:t>
      </w:r>
      <w:r w:rsidRPr="006B1976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FF48D0">
        <w:rPr>
          <w:rFonts w:eastAsia="Times New Roman" w:cs="Times New Roman"/>
          <w:szCs w:val="19"/>
          <w:lang w:eastAsia="pl-PL"/>
        </w:rPr>
        <w:t>biorstwa o liczbie pracujących 50 osób i więcej, a j</w:t>
      </w:r>
      <w:r w:rsidRPr="006B1976">
        <w:rPr>
          <w:rFonts w:eastAsia="Times New Roman" w:cs="Times New Roman"/>
          <w:szCs w:val="19"/>
          <w:lang w:eastAsia="pl-PL"/>
        </w:rPr>
        <w:t>ednostki średnie (o liczbie pracując</w:t>
      </w:r>
      <w:r w:rsidR="00FF48D0">
        <w:rPr>
          <w:rFonts w:eastAsia="Times New Roman" w:cs="Times New Roman"/>
          <w:szCs w:val="19"/>
          <w:lang w:eastAsia="pl-PL"/>
        </w:rPr>
        <w:t>ych od 50 do 249 osób) – 18,4%.</w:t>
      </w:r>
    </w:p>
    <w:p w14:paraId="1015F55D" w14:textId="77777777" w:rsidR="00940B58" w:rsidRDefault="00940B58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9290909" w14:textId="77777777" w:rsidR="00253AE0" w:rsidRDefault="00253AE0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93B6E12" w14:textId="5E6908AB" w:rsidR="00F87422" w:rsidRPr="00097009" w:rsidRDefault="005764E9" w:rsidP="00097009">
      <w:pPr>
        <w:pStyle w:val="LID"/>
        <w:contextualSpacing/>
      </w:pPr>
      <w:r w:rsidRPr="00553C9F">
        <w:t xml:space="preserve">Tablica 1. Podstawowe dane o badanych </w:t>
      </w:r>
      <w:r w:rsidR="004751DD">
        <w:t>przedsiębiorstwach w</w:t>
      </w:r>
      <w:r w:rsidR="005F3909">
        <w:t xml:space="preserve"> 1 kwartale 2023</w:t>
      </w:r>
      <w:r w:rsidR="004751DD">
        <w:t xml:space="preserve"> roku</w:t>
      </w:r>
    </w:p>
    <w:p w14:paraId="108C49FC" w14:textId="086C06E4" w:rsidR="00D65C66" w:rsidRDefault="00D65C66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00"/>
        <w:gridCol w:w="1400"/>
        <w:gridCol w:w="1400"/>
      </w:tblGrid>
      <w:tr w:rsidR="00D65C66" w:rsidRPr="00D65C66" w14:paraId="42AB6C1A" w14:textId="77777777" w:rsidTr="00D65C66">
        <w:trPr>
          <w:trHeight w:val="315"/>
        </w:trPr>
        <w:tc>
          <w:tcPr>
            <w:tcW w:w="364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CC3AB8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0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F5A1E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0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50DFEE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D65C66" w:rsidRPr="00D65C66" w14:paraId="67D9E440" w14:textId="77777777" w:rsidTr="00D65C66">
        <w:trPr>
          <w:trHeight w:val="315"/>
        </w:trPr>
        <w:tc>
          <w:tcPr>
            <w:tcW w:w="364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55EF597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7007B05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7C4E81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DC5C9D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65C66" w:rsidRPr="00D65C66" w14:paraId="57F5828F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1656C6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0BB682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17 387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65652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13 556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DE57CE7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3 831</w:t>
            </w:r>
          </w:p>
        </w:tc>
      </w:tr>
      <w:tr w:rsidR="00D65C66" w:rsidRPr="00D65C66" w14:paraId="63990550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9E7D39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369BF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4 841 994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095B25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1 471 167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6FA83A4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3 370 827</w:t>
            </w:r>
          </w:p>
        </w:tc>
      </w:tr>
      <w:tr w:rsidR="00D65C66" w:rsidRPr="00D65C66" w14:paraId="2362AC20" w14:textId="77777777" w:rsidTr="006729D4">
        <w:trPr>
          <w:trHeight w:val="174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6DCCF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5DFA94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D65C66" w:rsidRPr="00D65C66" w14:paraId="48FFBC6F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721AFC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81FF18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1 353 892,6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23E6C4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369 071,8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558C162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984 820,8</w:t>
            </w:r>
          </w:p>
        </w:tc>
      </w:tr>
      <w:tr w:rsidR="00D65C66" w:rsidRPr="00D65C66" w14:paraId="06A02859" w14:textId="77777777" w:rsidTr="00D65C66">
        <w:trPr>
          <w:trHeight w:val="58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ECB8CE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7A7F7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1 313 850,3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77EC44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359 690,6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EAFBADB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954 159,7</w:t>
            </w:r>
          </w:p>
        </w:tc>
      </w:tr>
      <w:tr w:rsidR="00D65C66" w:rsidRPr="00D65C66" w14:paraId="55E043E0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388811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C8D4B0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1 278 573,6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94159D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348 588,4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B0E124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929 985,1</w:t>
            </w:r>
          </w:p>
        </w:tc>
      </w:tr>
      <w:tr w:rsidR="00D65C66" w:rsidRPr="00D65C66" w14:paraId="16A41EC3" w14:textId="77777777" w:rsidTr="00D65C66">
        <w:trPr>
          <w:trHeight w:val="52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98BB8C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5FB52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1 237 604,5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B5D4CA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337 790,5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5B11CA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899 814,0</w:t>
            </w:r>
          </w:p>
        </w:tc>
      </w:tr>
      <w:tr w:rsidR="00D65C66" w:rsidRPr="00D65C66" w14:paraId="3038BB39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CE340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E6E1E0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75 319,1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73F6C3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20 483,4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CE6D0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54 835,7</w:t>
            </w:r>
          </w:p>
        </w:tc>
      </w:tr>
      <w:tr w:rsidR="00D65C66" w:rsidRPr="00D65C66" w14:paraId="4CF6A1AB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7336DA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0C0510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60 847,4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2B15AD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16 718,6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5EB3FAD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44 128,8</w:t>
            </w:r>
          </w:p>
        </w:tc>
      </w:tr>
      <w:tr w:rsidR="00D65C66" w:rsidRPr="00D65C66" w14:paraId="053655F5" w14:textId="77777777" w:rsidTr="00D65C6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A50473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A875C2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41 305,1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BA8657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7 595,2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A2E6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33 709,9</w:t>
            </w:r>
          </w:p>
        </w:tc>
      </w:tr>
    </w:tbl>
    <w:p w14:paraId="1D509FB6" w14:textId="30E2D0AB" w:rsidR="00F87422" w:rsidRPr="00D65C66" w:rsidRDefault="00F87422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439FD2C0" w:rsidR="00940B58" w:rsidRPr="00940B58" w:rsidRDefault="00684B5B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0DA57E26">
                <wp:simplePos x="0" y="0"/>
                <wp:positionH relativeFrom="rightMargin">
                  <wp:posOffset>260350</wp:posOffset>
                </wp:positionH>
                <wp:positionV relativeFrom="paragraph">
                  <wp:posOffset>1733550</wp:posOffset>
                </wp:positionV>
                <wp:extent cx="1661795" cy="1224280"/>
                <wp:effectExtent l="0" t="0" r="0" b="0"/>
                <wp:wrapTight wrapText="bothSides">
                  <wp:wrapPolygon edited="0">
                    <wp:start x="743" y="0"/>
                    <wp:lineTo x="743" y="21174"/>
                    <wp:lineTo x="20799" y="21174"/>
                    <wp:lineTo x="20799" y="0"/>
                    <wp:lineTo x="743" y="0"/>
                  </wp:wrapPolygon>
                </wp:wrapTight>
                <wp:docPr id="15" name="Pole tekstowe 15" descr="Przychody ogółem przedsiębiorstw z przeważającym kapitałem zagranicznym wyniosły 561,3 mld zł, a koszty ich uzyskania 537,8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5AD5133C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1D0A85">
                              <w:rPr>
                                <w:bCs w:val="0"/>
                              </w:rPr>
                              <w:t>em zagranicznym wyniosły 561,3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1D0A85">
                              <w:rPr>
                                <w:bCs w:val="0"/>
                              </w:rPr>
                              <w:t>, a koszty ich uzyskania 537,8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526BF" id="Pole tekstowe 15" o:spid="_x0000_s1028" type="#_x0000_t202" alt="Przychody ogółem przedsiębiorstw z przeważającym kapitałem zagranicznym wyniosły 561,3 mld zł, a koszty ich uzyskania 537,8 mld zł" style="position:absolute;margin-left:20.5pt;margin-top:136.5pt;width:130.8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" filled="f" stroked="f">
                <v:textbox>
                  <w:txbxContent>
                    <w:p w14:paraId="7D3A06AF" w14:textId="5AD5133C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1D0A85">
                        <w:rPr>
                          <w:bCs w:val="0"/>
                        </w:rPr>
                        <w:t>em zagranicznym wyniosły 561,3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1D0A85">
                        <w:rPr>
                          <w:bCs w:val="0"/>
                        </w:rPr>
                        <w:t>, a koszty ich uzyskania 537,8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>ębiorstw o liczbie pracujących 5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 4 384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1A06C4">
        <w:rPr>
          <w:rFonts w:eastAsia="Times New Roman" w:cs="Times New Roman"/>
          <w:szCs w:val="19"/>
          <w:lang w:eastAsia="pl-PL"/>
        </w:rPr>
        <w:t>agranicznego. Stanowiły one 25,2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Wśród tych jednostek </w:t>
      </w:r>
      <w:r w:rsidR="00CE35A3">
        <w:rPr>
          <w:rFonts w:eastAsia="Times New Roman" w:cs="Times New Roman"/>
          <w:szCs w:val="19"/>
          <w:lang w:eastAsia="pl-PL"/>
        </w:rPr>
        <w:t>u</w:t>
      </w:r>
      <w:r w:rsidR="00940B58" w:rsidRPr="00940B58">
        <w:rPr>
          <w:rFonts w:eastAsia="Times New Roman" w:cs="Times New Roman"/>
          <w:szCs w:val="19"/>
          <w:lang w:eastAsia="pl-PL"/>
        </w:rPr>
        <w:t>dział jednostek średnich (o liczbie pracujących</w:t>
      </w:r>
      <w:r w:rsidR="00CE35A3">
        <w:rPr>
          <w:rFonts w:eastAsia="Times New Roman" w:cs="Times New Roman"/>
          <w:szCs w:val="19"/>
          <w:lang w:eastAsia="pl-PL"/>
        </w:rPr>
        <w:t xml:space="preserve"> od 50 do 249 osób) wyniósł 63,4</w:t>
      </w:r>
      <w:r w:rsidR="00940B58" w:rsidRPr="00940B58">
        <w:rPr>
          <w:rFonts w:eastAsia="Times New Roman" w:cs="Times New Roman"/>
          <w:szCs w:val="19"/>
          <w:lang w:eastAsia="pl-PL"/>
        </w:rPr>
        <w:t>%, a jednostek dużych (o liczbie pracu</w:t>
      </w:r>
      <w:r w:rsidR="00CE35A3">
        <w:rPr>
          <w:rFonts w:eastAsia="Times New Roman" w:cs="Times New Roman"/>
          <w:szCs w:val="19"/>
          <w:lang w:eastAsia="pl-PL"/>
        </w:rPr>
        <w:t>jących 250 osób i więcej) – 36,6</w:t>
      </w:r>
      <w:r w:rsidR="00940B58" w:rsidRPr="00940B58">
        <w:rPr>
          <w:rFonts w:eastAsia="Times New Roman" w:cs="Times New Roman"/>
          <w:szCs w:val="19"/>
          <w:lang w:eastAsia="pl-PL"/>
        </w:rPr>
        <w:t>%. Według stanu na 31</w:t>
      </w:r>
      <w:r w:rsidR="009D47E3">
        <w:rPr>
          <w:rFonts w:eastAsia="Times New Roman" w:cs="Times New Roman"/>
          <w:szCs w:val="19"/>
          <w:lang w:eastAsia="pl-PL"/>
        </w:rPr>
        <w:t xml:space="preserve"> marca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9D47E3">
        <w:rPr>
          <w:rFonts w:eastAsia="Times New Roman" w:cs="Times New Roman"/>
          <w:szCs w:val="19"/>
          <w:lang w:eastAsia="pl-PL"/>
        </w:rPr>
        <w:t>3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442E58">
        <w:rPr>
          <w:rFonts w:eastAsia="Times New Roman" w:cs="Times New Roman"/>
          <w:szCs w:val="19"/>
          <w:lang w:eastAsia="pl-PL"/>
        </w:rPr>
        <w:t>ętych badaniem pracowało 1 938,5</w:t>
      </w:r>
      <w:r w:rsidR="00880241">
        <w:rPr>
          <w:rFonts w:eastAsia="Times New Roman" w:cs="Times New Roman"/>
          <w:szCs w:val="19"/>
          <w:lang w:eastAsia="pl-PL"/>
        </w:rPr>
        <w:t xml:space="preserve"> tys. osób, w tym w</w:t>
      </w:r>
      <w:bookmarkStart w:id="0" w:name="_GoBack"/>
      <w:bookmarkEnd w:id="0"/>
      <w:r w:rsidR="00940B58" w:rsidRPr="00940B58">
        <w:rPr>
          <w:rFonts w:eastAsia="Times New Roman" w:cs="Times New Roman"/>
          <w:szCs w:val="19"/>
          <w:lang w:eastAsia="pl-PL"/>
        </w:rPr>
        <w:t xml:space="preserve"> jednostkach średnich (50-249 pracujących) – 17,0%, a w dużych </w:t>
      </w:r>
      <w:r w:rsidR="00905C2E">
        <w:rPr>
          <w:rFonts w:eastAsia="Times New Roman" w:cs="Times New Roman"/>
          <w:szCs w:val="19"/>
          <w:lang w:eastAsia="pl-PL"/>
        </w:rPr>
        <w:t xml:space="preserve">(250 </w:t>
      </w:r>
      <w:r w:rsidR="00442E58">
        <w:rPr>
          <w:rFonts w:eastAsia="Times New Roman" w:cs="Times New Roman"/>
          <w:szCs w:val="19"/>
          <w:lang w:eastAsia="pl-PL"/>
        </w:rPr>
        <w:t>pracujących i więcej) – 83,0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%.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nego według stanu na koniec marca 2023 roku pracowało 442 osoby</w:t>
      </w:r>
      <w:r w:rsidR="00940B58" w:rsidRPr="00940B58">
        <w:rPr>
          <w:rFonts w:eastAsia="Times New Roman" w:cs="Times New Roman"/>
          <w:szCs w:val="19"/>
          <w:lang w:eastAsia="pl-PL"/>
        </w:rPr>
        <w:t>, w podmiocie dużym – 1 0</w:t>
      </w:r>
      <w:r w:rsidR="00442E58">
        <w:rPr>
          <w:rFonts w:eastAsia="Times New Roman" w:cs="Times New Roman"/>
          <w:szCs w:val="19"/>
          <w:lang w:eastAsia="pl-PL"/>
        </w:rPr>
        <w:t>03 osoby, w średnim – 119 osób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. </w:t>
      </w:r>
    </w:p>
    <w:p w14:paraId="7BB355F7" w14:textId="176E6A16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Przychody ogółem t</w:t>
      </w:r>
      <w:r w:rsidR="00684B5B">
        <w:rPr>
          <w:rFonts w:eastAsia="Times New Roman" w:cs="Times New Roman"/>
          <w:szCs w:val="19"/>
          <w:lang w:eastAsia="pl-PL"/>
        </w:rPr>
        <w:t>ych podmiotów wyniosły 561,3</w:t>
      </w:r>
      <w:r w:rsidRPr="00940B58">
        <w:rPr>
          <w:rFonts w:eastAsia="Times New Roman" w:cs="Times New Roman"/>
          <w:szCs w:val="19"/>
          <w:lang w:eastAsia="pl-PL"/>
        </w:rPr>
        <w:t xml:space="preserve"> mld zł, a koszt</w:t>
      </w:r>
      <w:r w:rsidR="00684B5B">
        <w:rPr>
          <w:rFonts w:eastAsia="Times New Roman" w:cs="Times New Roman"/>
          <w:szCs w:val="19"/>
          <w:lang w:eastAsia="pl-PL"/>
        </w:rPr>
        <w:t>y ich uzyskania 537,8</w:t>
      </w:r>
      <w:r>
        <w:rPr>
          <w:rFonts w:eastAsia="Times New Roman" w:cs="Times New Roman"/>
          <w:szCs w:val="19"/>
          <w:lang w:eastAsia="pl-PL"/>
        </w:rPr>
        <w:t xml:space="preserve"> mld zł.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>
        <w:rPr>
          <w:rFonts w:eastAsia="Times New Roman" w:cs="Times New Roman"/>
          <w:szCs w:val="19"/>
          <w:lang w:eastAsia="pl-PL"/>
        </w:rPr>
        <w:t xml:space="preserve">granicznego w </w:t>
      </w:r>
      <w:r w:rsidR="00684B5B">
        <w:rPr>
          <w:rFonts w:eastAsia="Times New Roman" w:cs="Times New Roman"/>
          <w:szCs w:val="19"/>
          <w:lang w:eastAsia="pl-PL"/>
        </w:rPr>
        <w:t>1 kwartale 2023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684B5B">
        <w:rPr>
          <w:rFonts w:eastAsia="Times New Roman" w:cs="Times New Roman"/>
          <w:szCs w:val="19"/>
          <w:lang w:eastAsia="pl-PL"/>
        </w:rPr>
        <w:t>23,5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684B5B">
        <w:rPr>
          <w:rFonts w:eastAsia="Times New Roman" w:cs="Times New Roman"/>
          <w:szCs w:val="19"/>
          <w:lang w:eastAsia="pl-PL"/>
        </w:rPr>
        <w:t>5,0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684B5B">
        <w:rPr>
          <w:rFonts w:eastAsia="Times New Roman" w:cs="Times New Roman"/>
          <w:szCs w:val="19"/>
          <w:lang w:eastAsia="pl-PL"/>
        </w:rPr>
        <w:t>granicznego osiągnął poziom 18,5 mld zł i stanowił 30,5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684B5B">
        <w:rPr>
          <w:rFonts w:eastAsia="Times New Roman" w:cs="Times New Roman"/>
          <w:szCs w:val="19"/>
          <w:lang w:eastAsia="pl-PL"/>
        </w:rPr>
        <w:t>ących 5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5030BA15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845647">
        <w:rPr>
          <w:rFonts w:eastAsia="Times New Roman" w:cs="Times New Roman"/>
          <w:szCs w:val="19"/>
          <w:lang w:eastAsia="pl-PL"/>
        </w:rPr>
        <w:t>1 kwartale 2023 roku wyniosły 17,6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4E0121">
        <w:rPr>
          <w:rFonts w:eastAsia="Times New Roman" w:cs="Times New Roman"/>
          <w:szCs w:val="19"/>
          <w:lang w:eastAsia="pl-PL"/>
        </w:rPr>
        <w:t xml:space="preserve"> i stanowiły 42,6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CE104A">
        <w:rPr>
          <w:rFonts w:eastAsia="Times New Roman" w:cs="Times New Roman"/>
          <w:szCs w:val="19"/>
          <w:lang w:eastAsia="pl-PL"/>
        </w:rPr>
        <w:t>chunkowe o liczbie pracujących 5</w:t>
      </w:r>
      <w:r w:rsidRPr="00940B58">
        <w:rPr>
          <w:rFonts w:eastAsia="Times New Roman" w:cs="Times New Roman"/>
          <w:szCs w:val="19"/>
          <w:lang w:eastAsia="pl-PL"/>
        </w:rPr>
        <w:t>0 i więcej osób. Udział w nakładach jednostek dużych (o liczbie pracujących</w:t>
      </w:r>
      <w:r w:rsidR="004E0121">
        <w:rPr>
          <w:rFonts w:eastAsia="Times New Roman" w:cs="Times New Roman"/>
          <w:szCs w:val="19"/>
          <w:lang w:eastAsia="pl-PL"/>
        </w:rPr>
        <w:t xml:space="preserve"> 250 osób i więcej) wyniósł 84,8</w:t>
      </w:r>
      <w:r w:rsidRPr="00940B58">
        <w:rPr>
          <w:rFonts w:eastAsia="Times New Roman" w:cs="Times New Roman"/>
          <w:szCs w:val="19"/>
          <w:lang w:eastAsia="pl-PL"/>
        </w:rPr>
        <w:t>%,</w:t>
      </w:r>
      <w:r w:rsidR="004E0121">
        <w:rPr>
          <w:rFonts w:eastAsia="Times New Roman" w:cs="Times New Roman"/>
          <w:szCs w:val="19"/>
          <w:lang w:eastAsia="pl-PL"/>
        </w:rPr>
        <w:t xml:space="preserve"> a</w:t>
      </w:r>
      <w:r w:rsidRPr="00940B58">
        <w:rPr>
          <w:rFonts w:eastAsia="Times New Roman" w:cs="Times New Roman"/>
          <w:szCs w:val="19"/>
          <w:lang w:eastAsia="pl-PL"/>
        </w:rPr>
        <w:t xml:space="preserve"> jednostek średnich (o liczbie pracując</w:t>
      </w:r>
      <w:r w:rsidR="004E0121">
        <w:rPr>
          <w:rFonts w:eastAsia="Times New Roman" w:cs="Times New Roman"/>
          <w:szCs w:val="19"/>
          <w:lang w:eastAsia="pl-PL"/>
        </w:rPr>
        <w:t>ych od 50 do 249 osób) – 15,2%.</w:t>
      </w:r>
    </w:p>
    <w:p w14:paraId="3E1FA4A4" w14:textId="77777777" w:rsidR="004751DD" w:rsidRDefault="004751DD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7451F76" w14:textId="77777777" w:rsidR="00D44192" w:rsidRDefault="00D44192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8B2C64C" w14:textId="77777777" w:rsidR="00122587" w:rsidRDefault="00122587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AE2DCB0" w14:textId="77777777" w:rsidR="00122587" w:rsidRDefault="004751DD" w:rsidP="007C58DD">
      <w:pPr>
        <w:pStyle w:val="LID"/>
        <w:contextualSpacing/>
      </w:pPr>
      <w:r>
        <w:t xml:space="preserve">Tablica 2. </w:t>
      </w:r>
      <w:r w:rsidRPr="004751DD">
        <w:t xml:space="preserve">Podstawowe dane o badanych przedsiębiorstwach z przeważającym udziałem kapitału zagranicznego w </w:t>
      </w:r>
      <w:r w:rsidR="005F3909">
        <w:t>1 kwartale 2023</w:t>
      </w:r>
      <w:r w:rsidRPr="004751DD">
        <w:t xml:space="preserve"> roku</w:t>
      </w:r>
    </w:p>
    <w:p w14:paraId="2B842B46" w14:textId="24B81FFC" w:rsidR="00D65C66" w:rsidRDefault="00D65C66" w:rsidP="009A4698">
      <w:pPr>
        <w:rPr>
          <w:rFonts w:asciiTheme="minorHAnsi" w:hAnsiTheme="minorHAnsi"/>
          <w:sz w:val="22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00"/>
        <w:gridCol w:w="1400"/>
        <w:gridCol w:w="1400"/>
      </w:tblGrid>
      <w:tr w:rsidR="00D65C66" w:rsidRPr="00D65C66" w14:paraId="01FBBE1E" w14:textId="77777777" w:rsidTr="00D65C66">
        <w:trPr>
          <w:trHeight w:val="315"/>
        </w:trPr>
        <w:tc>
          <w:tcPr>
            <w:tcW w:w="364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1DBBC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0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B9542D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0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DF137F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D65C66" w:rsidRPr="00D65C66" w14:paraId="6B7DB373" w14:textId="77777777" w:rsidTr="00D65C66">
        <w:trPr>
          <w:trHeight w:val="315"/>
        </w:trPr>
        <w:tc>
          <w:tcPr>
            <w:tcW w:w="364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1B9233F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689F105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F0221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B587497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65C66" w:rsidRPr="00D65C66" w14:paraId="0A214D16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5A2083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9E246C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4 384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E80D1D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2 780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4BEF1E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1 604</w:t>
            </w:r>
          </w:p>
        </w:tc>
      </w:tr>
      <w:tr w:rsidR="00D65C66" w:rsidRPr="00D65C66" w14:paraId="2B688C58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96E9C8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937E9D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1 938 505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6D2887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330 295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1B86E33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1 608 210</w:t>
            </w:r>
          </w:p>
        </w:tc>
      </w:tr>
      <w:tr w:rsidR="00D65C66" w:rsidRPr="00D65C66" w14:paraId="3AFF3252" w14:textId="77777777" w:rsidTr="006729D4">
        <w:trPr>
          <w:trHeight w:val="26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DCE26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8E7ADB2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D65C66" w:rsidRPr="00D65C66" w14:paraId="044556C8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3A5784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3C5A17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561 334,2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58F6F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123 668,3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608A24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437 665,9</w:t>
            </w:r>
          </w:p>
        </w:tc>
      </w:tr>
      <w:tr w:rsidR="00D65C66" w:rsidRPr="00D65C66" w14:paraId="21E08C98" w14:textId="77777777" w:rsidTr="00D65C66">
        <w:trPr>
          <w:trHeight w:val="570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1EEEDA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BE03E1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546 587,7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A78AC2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119 976,9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82FAE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426 610,7</w:t>
            </w:r>
          </w:p>
        </w:tc>
      </w:tr>
      <w:tr w:rsidR="00D65C66" w:rsidRPr="00D65C66" w14:paraId="1857D627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7E75CA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79A6AB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537 834,0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FBB142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117 965,8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CC013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419 868,2</w:t>
            </w:r>
          </w:p>
        </w:tc>
      </w:tr>
      <w:tr w:rsidR="00D65C66" w:rsidRPr="00D65C66" w14:paraId="37BED2E3" w14:textId="77777777" w:rsidTr="00D65C66">
        <w:trPr>
          <w:trHeight w:val="52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BF65F7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B79FBA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519 895,0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778B1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112 768,6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5200079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407 126,4</w:t>
            </w:r>
          </w:p>
        </w:tc>
      </w:tr>
      <w:tr w:rsidR="00D65C66" w:rsidRPr="00D65C66" w14:paraId="12B11CB2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AD24E4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6D11EC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23 500,2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55756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5 702,5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86EFFA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17 797,7</w:t>
            </w:r>
          </w:p>
        </w:tc>
      </w:tr>
      <w:tr w:rsidR="00D65C66" w:rsidRPr="00D65C66" w14:paraId="1A41C62A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A68818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BFD9BC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18 541,8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10D30B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4 375,2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17D2D5A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14 166,7</w:t>
            </w:r>
          </w:p>
        </w:tc>
      </w:tr>
      <w:tr w:rsidR="00D65C66" w:rsidRPr="00D65C66" w14:paraId="69D50094" w14:textId="77777777" w:rsidTr="00D65C6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5C0562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476F6C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17 598,3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8A4E83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2 669,1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CDFB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14 929,1</w:t>
            </w:r>
          </w:p>
        </w:tc>
      </w:tr>
    </w:tbl>
    <w:p w14:paraId="1D2C560A" w14:textId="59DA3F38" w:rsidR="00757511" w:rsidRDefault="00757511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 xml:space="preserve">spółki osobowe, spółki kapitałowe, spółki cywilne prowadzące działalność na podstawie umowy zawartej zgodnie z ustawą z dnia 23 kwietnia 1964 r. – Kodeks cywilny (Dz. U. z 2022 r. poz. 1360), spółki przewidziane w przepisach innych ustaw niż ustawa z dnia 15 września 2000 r. – Kodeks spółek handlowych (Dz. U. z 2022 r. poz. 1467)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Pr="000E710B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lastRenderedPageBreak/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7777777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4B85CAE7" w14:textId="0C47DA92" w:rsidR="00B74F14" w:rsidRPr="00114B3A" w:rsidRDefault="00B74F14" w:rsidP="009A4698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formularzu F-01/I-01</w:t>
      </w:r>
      <w:r w:rsidR="00934534">
        <w:rPr>
          <w:b/>
          <w:szCs w:val="19"/>
        </w:rPr>
        <w:t>,</w:t>
      </w:r>
      <w:r>
        <w:rPr>
          <w:b/>
          <w:szCs w:val="19"/>
        </w:rPr>
        <w:t xml:space="preserve"> </w:t>
      </w:r>
      <w:r w:rsidRPr="00114B3A">
        <w:rPr>
          <w:b/>
          <w:szCs w:val="19"/>
        </w:rPr>
        <w:t>według poniższych przekrojów:</w:t>
      </w:r>
    </w:p>
    <w:p w14:paraId="66C5E2E5" w14:textId="77777777" w:rsidR="00B74F14" w:rsidRPr="00163865" w:rsidRDefault="00B74F14" w:rsidP="009A4698">
      <w:pPr>
        <w:pStyle w:val="NormalnyWeb"/>
        <w:spacing w:before="0" w:beforeAutospacing="0" w:after="120" w:afterAutospacing="0"/>
        <w:contextualSpacing/>
        <w:rPr>
          <w:rStyle w:val="Pogrubienie"/>
          <w:rFonts w:ascii="Fira Sans" w:hAnsi="Fira Sans" w:cs="Arial"/>
          <w:bCs w:val="0"/>
          <w:color w:val="222222"/>
          <w:sz w:val="19"/>
          <w:szCs w:val="19"/>
        </w:rPr>
      </w:pPr>
    </w:p>
    <w:p w14:paraId="509E695F" w14:textId="434EBA39" w:rsidR="00B74F14" w:rsidRPr="00482AB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color w:val="222222"/>
          <w:sz w:val="19"/>
          <w:szCs w:val="19"/>
        </w:rPr>
      </w:pP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Dla przedsiębiorstw o liczbie pracujących 10 i więcej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3D36DA" w14:textId="1B41F722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0F6E452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145EC71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1308E832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57C07F0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ED650F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252C27" w14:textId="712D1236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 xml:space="preserve">przedsiębiorstwa </w:t>
      </w:r>
      <w:r w:rsidR="005E5818">
        <w:rPr>
          <w:rFonts w:ascii="Fira Sans" w:hAnsi="Fira Sans" w:cs="Arial"/>
          <w:color w:val="222222"/>
          <w:sz w:val="19"/>
          <w:szCs w:val="19"/>
        </w:rPr>
        <w:t>wykazujące zakupy z importu.</w:t>
      </w:r>
    </w:p>
    <w:p w14:paraId="221BD319" w14:textId="5C6C9405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b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</w:t>
      </w:r>
      <w:r w:rsidR="00482AB2">
        <w:rPr>
          <w:rFonts w:ascii="Fira Sans" w:hAnsi="Fira Sans" w:cs="Arial"/>
          <w:b/>
          <w:color w:val="222222"/>
          <w:sz w:val="19"/>
          <w:szCs w:val="19"/>
        </w:rPr>
        <w:t xml:space="preserve">stw o liczbie pracujących 10-49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207E3489" w14:textId="6BB57D56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24B2261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616B19C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64C93C6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171E92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ADEB8B7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3943A694" w14:textId="22155C3F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</w:t>
      </w:r>
      <w:r w:rsidR="005E5818">
        <w:rPr>
          <w:rFonts w:ascii="Fira Sans" w:hAnsi="Fira Sans" w:cs="Arial"/>
          <w:color w:val="222222"/>
          <w:sz w:val="19"/>
          <w:szCs w:val="19"/>
        </w:rPr>
        <w:t>twa wykazujące zakupy z importu.</w:t>
      </w:r>
    </w:p>
    <w:p w14:paraId="735A42A5" w14:textId="1F0124C3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50 i więcej</w:t>
      </w:r>
      <w:r w:rsidR="00482AB2">
        <w:rPr>
          <w:rFonts w:ascii="Fira Sans" w:hAnsi="Fira Sans" w:cs="Arial"/>
          <w:color w:val="222222"/>
          <w:sz w:val="19"/>
          <w:szCs w:val="19"/>
        </w:rPr>
        <w:t xml:space="preserve">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kwartalne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BBADB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sekcji, działów, grup i klas PKD,</w:t>
      </w:r>
    </w:p>
    <w:p w14:paraId="03038C5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3A2A9C3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0FB720C8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7F71516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394BBCF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klas wielkości,</w:t>
      </w:r>
    </w:p>
    <w:p w14:paraId="299D61EB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 własności według klas wielkości,</w:t>
      </w:r>
    </w:p>
    <w:p w14:paraId="15C23676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klas wielkości,</w:t>
      </w:r>
    </w:p>
    <w:p w14:paraId="56B008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eksporterzy i importerzy według klas wielkości,</w:t>
      </w:r>
    </w:p>
    <w:p w14:paraId="3A3AB3EF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15A260" w14:textId="52D6A1EC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klasy wielkości (50-249 oraz 250 i więcej pracujących) według sekcji i działów PKD</w:t>
      </w:r>
      <w:r w:rsidR="00351A51">
        <w:rPr>
          <w:rFonts w:ascii="Fira Sans" w:hAnsi="Fira Sans" w:cs="Arial"/>
          <w:color w:val="222222"/>
          <w:sz w:val="19"/>
          <w:szCs w:val="19"/>
        </w:rPr>
        <w:t>.</w:t>
      </w:r>
    </w:p>
    <w:p w14:paraId="6BC12BCD" w14:textId="46225194" w:rsidR="00B74F14" w:rsidRPr="00114B3A" w:rsidRDefault="008056E7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  <w:r>
        <w:rPr>
          <w:rFonts w:cs="MyriadPro-Regular"/>
          <w:szCs w:val="19"/>
        </w:rPr>
        <w:t>Trwają prace nad przygotowaniem</w:t>
      </w:r>
      <w:r w:rsidR="00B74F14" w:rsidRPr="00114B3A">
        <w:rPr>
          <w:rFonts w:cs="MyriadPro-Regular"/>
          <w:szCs w:val="19"/>
        </w:rPr>
        <w:t xml:space="preserve"> powyższego zestawu danych w formacie </w:t>
      </w:r>
      <w:proofErr w:type="spellStart"/>
      <w:r w:rsidR="00B74F14" w:rsidRPr="00114B3A">
        <w:rPr>
          <w:rFonts w:cs="MyriadPro-Regular"/>
          <w:szCs w:val="19"/>
        </w:rPr>
        <w:t>csv</w:t>
      </w:r>
      <w:proofErr w:type="spellEnd"/>
      <w:r w:rsidR="00B74F14" w:rsidRPr="00114B3A">
        <w:rPr>
          <w:rFonts w:cs="MyriadPro-Regular"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6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AE05C9" w:rsidP="008223FC">
            <w:pPr>
              <w:rPr>
                <w:color w:val="0000FF"/>
                <w:sz w:val="18"/>
                <w:szCs w:val="18"/>
              </w:rPr>
            </w:pPr>
            <w:hyperlink r:id="rId23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4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25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26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27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28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29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30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AE05C9" w:rsidP="00F93103">
            <w:pPr>
              <w:rPr>
                <w:sz w:val="18"/>
                <w:szCs w:val="18"/>
              </w:rPr>
            </w:pPr>
            <w:hyperlink r:id="rId31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68160" w14:textId="77777777" w:rsidR="00AE05C9" w:rsidRDefault="00AE05C9" w:rsidP="000662E2">
      <w:pPr>
        <w:spacing w:after="0" w:line="240" w:lineRule="auto"/>
      </w:pPr>
      <w:r>
        <w:separator/>
      </w:r>
    </w:p>
  </w:endnote>
  <w:endnote w:type="continuationSeparator" w:id="0">
    <w:p w14:paraId="07597020" w14:textId="77777777" w:rsidR="00AE05C9" w:rsidRDefault="00AE05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241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24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24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AF6E" w14:textId="77777777" w:rsidR="00AE05C9" w:rsidRDefault="00AE05C9" w:rsidP="000662E2">
      <w:pPr>
        <w:spacing w:after="0" w:line="240" w:lineRule="auto"/>
      </w:pPr>
      <w:r>
        <w:separator/>
      </w:r>
    </w:p>
  </w:footnote>
  <w:footnote w:type="continuationSeparator" w:id="0">
    <w:p w14:paraId="15BD6FA2" w14:textId="77777777" w:rsidR="00AE05C9" w:rsidRDefault="00AE05C9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789B876A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 z kapitałem zagranicznym w 2021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818632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5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282FE4C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F22CAE">
                            <w:t>5</w:t>
                          </w:r>
                          <w:r>
                            <w:t>.06</w:t>
                          </w:r>
                          <w:r w:rsidR="007758D4"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5.06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H1reLQ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1282FE4C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F22CAE">
                      <w:t>5</w:t>
                    </w:r>
                    <w:r>
                      <w:t>.06</w:t>
                    </w:r>
                    <w:r w:rsidR="007758D4"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2D97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918"/>
    <w:rsid w:val="000E5B25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7276"/>
    <w:rsid w:val="00167C3B"/>
    <w:rsid w:val="00173373"/>
    <w:rsid w:val="00183E9E"/>
    <w:rsid w:val="001951DA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2E1"/>
    <w:rsid w:val="001B3369"/>
    <w:rsid w:val="001B73E4"/>
    <w:rsid w:val="001B7A93"/>
    <w:rsid w:val="001C1489"/>
    <w:rsid w:val="001C3269"/>
    <w:rsid w:val="001C445B"/>
    <w:rsid w:val="001C7BA5"/>
    <w:rsid w:val="001D0A85"/>
    <w:rsid w:val="001D19B6"/>
    <w:rsid w:val="001D1DB4"/>
    <w:rsid w:val="001D23F1"/>
    <w:rsid w:val="001D25F9"/>
    <w:rsid w:val="001D388C"/>
    <w:rsid w:val="001D41EF"/>
    <w:rsid w:val="001D61ED"/>
    <w:rsid w:val="001E5305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A65A4"/>
    <w:rsid w:val="002B0472"/>
    <w:rsid w:val="002B04F2"/>
    <w:rsid w:val="002B2537"/>
    <w:rsid w:val="002B6B12"/>
    <w:rsid w:val="002C21F0"/>
    <w:rsid w:val="002C61BB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4F86"/>
    <w:rsid w:val="00317F4D"/>
    <w:rsid w:val="00322EDD"/>
    <w:rsid w:val="00325CDD"/>
    <w:rsid w:val="00326199"/>
    <w:rsid w:val="003309FA"/>
    <w:rsid w:val="00332320"/>
    <w:rsid w:val="003325FE"/>
    <w:rsid w:val="00332AA3"/>
    <w:rsid w:val="003338CD"/>
    <w:rsid w:val="0034626A"/>
    <w:rsid w:val="00347D72"/>
    <w:rsid w:val="00351A51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7F1F"/>
    <w:rsid w:val="003843DB"/>
    <w:rsid w:val="00385D4F"/>
    <w:rsid w:val="00387726"/>
    <w:rsid w:val="003901C3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6ED"/>
    <w:rsid w:val="003D2B55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16FDA"/>
    <w:rsid w:val="004212E7"/>
    <w:rsid w:val="00422B20"/>
    <w:rsid w:val="00423C88"/>
    <w:rsid w:val="0042446D"/>
    <w:rsid w:val="004272CA"/>
    <w:rsid w:val="00427BF8"/>
    <w:rsid w:val="00431C02"/>
    <w:rsid w:val="0043254E"/>
    <w:rsid w:val="00436653"/>
    <w:rsid w:val="00437395"/>
    <w:rsid w:val="00442E58"/>
    <w:rsid w:val="00445047"/>
    <w:rsid w:val="00446749"/>
    <w:rsid w:val="0045002B"/>
    <w:rsid w:val="00451D1B"/>
    <w:rsid w:val="00451EF6"/>
    <w:rsid w:val="00453EB7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AB2"/>
    <w:rsid w:val="00483E9F"/>
    <w:rsid w:val="00485A2C"/>
    <w:rsid w:val="0049621B"/>
    <w:rsid w:val="004A0392"/>
    <w:rsid w:val="004A13AB"/>
    <w:rsid w:val="004A1D19"/>
    <w:rsid w:val="004A4106"/>
    <w:rsid w:val="004B5C2A"/>
    <w:rsid w:val="004B62A1"/>
    <w:rsid w:val="004C1895"/>
    <w:rsid w:val="004C4B60"/>
    <w:rsid w:val="004C4F63"/>
    <w:rsid w:val="004C6D40"/>
    <w:rsid w:val="004E0121"/>
    <w:rsid w:val="004E20C3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23B0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B2597"/>
    <w:rsid w:val="005B6C60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E41EB"/>
    <w:rsid w:val="005E5818"/>
    <w:rsid w:val="005F3909"/>
    <w:rsid w:val="005F45EE"/>
    <w:rsid w:val="005F5A80"/>
    <w:rsid w:val="00600561"/>
    <w:rsid w:val="006044FF"/>
    <w:rsid w:val="00604F2C"/>
    <w:rsid w:val="00607CC5"/>
    <w:rsid w:val="00610153"/>
    <w:rsid w:val="0061179B"/>
    <w:rsid w:val="006125F9"/>
    <w:rsid w:val="00616199"/>
    <w:rsid w:val="00621BCA"/>
    <w:rsid w:val="00621F67"/>
    <w:rsid w:val="00633014"/>
    <w:rsid w:val="0063437B"/>
    <w:rsid w:val="0064017E"/>
    <w:rsid w:val="00641B8B"/>
    <w:rsid w:val="006443F0"/>
    <w:rsid w:val="00647330"/>
    <w:rsid w:val="006508A2"/>
    <w:rsid w:val="00654BB6"/>
    <w:rsid w:val="00654DD9"/>
    <w:rsid w:val="00656298"/>
    <w:rsid w:val="00663A20"/>
    <w:rsid w:val="0066421C"/>
    <w:rsid w:val="006673CA"/>
    <w:rsid w:val="006729D4"/>
    <w:rsid w:val="00673C26"/>
    <w:rsid w:val="00674DE5"/>
    <w:rsid w:val="00677ACA"/>
    <w:rsid w:val="006812AF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976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7561"/>
    <w:rsid w:val="007277DA"/>
    <w:rsid w:val="00730B7A"/>
    <w:rsid w:val="00731D27"/>
    <w:rsid w:val="00736490"/>
    <w:rsid w:val="007440F4"/>
    <w:rsid w:val="0074565A"/>
    <w:rsid w:val="00746187"/>
    <w:rsid w:val="00752289"/>
    <w:rsid w:val="00754A09"/>
    <w:rsid w:val="00757511"/>
    <w:rsid w:val="00757C5F"/>
    <w:rsid w:val="00762355"/>
    <w:rsid w:val="0076254F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58DD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6752"/>
    <w:rsid w:val="007E7211"/>
    <w:rsid w:val="007E7E95"/>
    <w:rsid w:val="007F0B49"/>
    <w:rsid w:val="007F324B"/>
    <w:rsid w:val="007F48B8"/>
    <w:rsid w:val="007F542D"/>
    <w:rsid w:val="007F58C0"/>
    <w:rsid w:val="007F7A8F"/>
    <w:rsid w:val="0080553C"/>
    <w:rsid w:val="008056E7"/>
    <w:rsid w:val="00805B46"/>
    <w:rsid w:val="00805DB4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7F32"/>
    <w:rsid w:val="00873000"/>
    <w:rsid w:val="0087478A"/>
    <w:rsid w:val="00875E1E"/>
    <w:rsid w:val="00877F6C"/>
    <w:rsid w:val="00880241"/>
    <w:rsid w:val="008821B2"/>
    <w:rsid w:val="0088258A"/>
    <w:rsid w:val="00886332"/>
    <w:rsid w:val="0089016A"/>
    <w:rsid w:val="008925F0"/>
    <w:rsid w:val="00893ADE"/>
    <w:rsid w:val="0089448A"/>
    <w:rsid w:val="00894961"/>
    <w:rsid w:val="0089543A"/>
    <w:rsid w:val="00897877"/>
    <w:rsid w:val="008A26D9"/>
    <w:rsid w:val="008A7B5B"/>
    <w:rsid w:val="008A7C8C"/>
    <w:rsid w:val="008A7F75"/>
    <w:rsid w:val="008B09AF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20AAE"/>
    <w:rsid w:val="009227A6"/>
    <w:rsid w:val="00923B3A"/>
    <w:rsid w:val="0093019B"/>
    <w:rsid w:val="00933EC1"/>
    <w:rsid w:val="00934534"/>
    <w:rsid w:val="00940B58"/>
    <w:rsid w:val="009446AD"/>
    <w:rsid w:val="00944F3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3285F"/>
    <w:rsid w:val="00A32E16"/>
    <w:rsid w:val="00A365F4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05C9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5AAA"/>
    <w:rsid w:val="00B47359"/>
    <w:rsid w:val="00B54A91"/>
    <w:rsid w:val="00B653AB"/>
    <w:rsid w:val="00B65F9E"/>
    <w:rsid w:val="00B66B19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7589"/>
    <w:rsid w:val="00B97E81"/>
    <w:rsid w:val="00BA0078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C0E"/>
    <w:rsid w:val="00C81EBB"/>
    <w:rsid w:val="00C86901"/>
    <w:rsid w:val="00C90C9B"/>
    <w:rsid w:val="00C91149"/>
    <w:rsid w:val="00C91687"/>
    <w:rsid w:val="00C91DC8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739E"/>
    <w:rsid w:val="00CD1EBB"/>
    <w:rsid w:val="00CD28CF"/>
    <w:rsid w:val="00CD2AA9"/>
    <w:rsid w:val="00CD58B7"/>
    <w:rsid w:val="00CD7967"/>
    <w:rsid w:val="00CD7EE2"/>
    <w:rsid w:val="00CE101E"/>
    <w:rsid w:val="00CE104A"/>
    <w:rsid w:val="00CE35A3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69E7"/>
    <w:rsid w:val="00D372EB"/>
    <w:rsid w:val="00D3774D"/>
    <w:rsid w:val="00D44192"/>
    <w:rsid w:val="00D45EEB"/>
    <w:rsid w:val="00D54DD4"/>
    <w:rsid w:val="00D55DD3"/>
    <w:rsid w:val="00D603E9"/>
    <w:rsid w:val="00D6114D"/>
    <w:rsid w:val="00D616D2"/>
    <w:rsid w:val="00D61F4F"/>
    <w:rsid w:val="00D63B5F"/>
    <w:rsid w:val="00D64926"/>
    <w:rsid w:val="00D65C66"/>
    <w:rsid w:val="00D70EF7"/>
    <w:rsid w:val="00D733C8"/>
    <w:rsid w:val="00D743A1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5A9A"/>
    <w:rsid w:val="00DC6708"/>
    <w:rsid w:val="00DC68BF"/>
    <w:rsid w:val="00DD011A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D26"/>
    <w:rsid w:val="00E76EB4"/>
    <w:rsid w:val="00E76EE5"/>
    <w:rsid w:val="00E80544"/>
    <w:rsid w:val="00E82259"/>
    <w:rsid w:val="00E8733E"/>
    <w:rsid w:val="00E87AAD"/>
    <w:rsid w:val="00E93058"/>
    <w:rsid w:val="00E95036"/>
    <w:rsid w:val="00E95B8E"/>
    <w:rsid w:val="00EA1B61"/>
    <w:rsid w:val="00EA59ED"/>
    <w:rsid w:val="00EA6761"/>
    <w:rsid w:val="00EB011C"/>
    <w:rsid w:val="00EB0E48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FDB"/>
    <w:rsid w:val="00EF6434"/>
    <w:rsid w:val="00F01205"/>
    <w:rsid w:val="00F0166F"/>
    <w:rsid w:val="00F037A4"/>
    <w:rsid w:val="00F049AB"/>
    <w:rsid w:val="00F07B1D"/>
    <w:rsid w:val="00F142DB"/>
    <w:rsid w:val="00F22694"/>
    <w:rsid w:val="00F22CAE"/>
    <w:rsid w:val="00F2442B"/>
    <w:rsid w:val="00F27C8F"/>
    <w:rsid w:val="00F30587"/>
    <w:rsid w:val="00F32749"/>
    <w:rsid w:val="00F37172"/>
    <w:rsid w:val="00F4477E"/>
    <w:rsid w:val="00F46269"/>
    <w:rsid w:val="00F52EF2"/>
    <w:rsid w:val="00F60BA8"/>
    <w:rsid w:val="00F67D8F"/>
    <w:rsid w:val="00F713C5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C6DDC"/>
    <w:rsid w:val="00FD03D1"/>
    <w:rsid w:val="00FD08AE"/>
    <w:rsid w:val="00FD1E89"/>
    <w:rsid w:val="00FD3111"/>
    <w:rsid w:val="00FD5EA7"/>
    <w:rsid w:val="00FE36CF"/>
    <w:rsid w:val="00FE3F82"/>
    <w:rsid w:val="00FF0246"/>
    <w:rsid w:val="00FF20D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58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://Users/groszykmo/Downloads/zeszyt_metodologiczny._badania_przedsiebiorstw_niefinansowych_2019%20(1).pdf" TargetMode="External"/><Relationship Id="rId24" Type="http://schemas.openxmlformats.org/officeDocument/2006/relationships/hyperlink" Target="http://stat.gov.pl/metainformacje/slownik-pojec/pojecia-stosowane-w-statystyce-publicznej/613,pojecie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hyperlink" Target="http://form.stat.gov.pl/formularze/2022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7,pojecie.html" TargetMode="External"/><Relationship Id="rId30" Type="http://schemas.openxmlformats.org/officeDocument/2006/relationships/hyperlink" Target="http://stat.gov.pl/metainformacje/slownik-pojec/pojecia-stosowane-w-statystyce-publicznej/58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94B8E-F297-4F88-B7F4-FCB45C47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2049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2022-03-21T10:42:00Z</dcterms:created>
  <dcterms:modified xsi:type="dcterms:W3CDTF">2023-06-13T12:29:00Z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