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28E55BB4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2B7F83">
        <w:rPr>
          <w:szCs w:val="40"/>
        </w:rPr>
        <w:t xml:space="preserve"> </w:t>
      </w:r>
      <w:r w:rsidR="00621BCA">
        <w:rPr>
          <w:szCs w:val="40"/>
        </w:rPr>
        <w:t>2023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513873AA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590E9F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62250" cy="937895"/>
                <wp:effectExtent l="0" t="0" r="0" b="0"/>
                <wp:wrapSquare wrapText="bothSides"/>
                <wp:docPr id="6" name="Pole tekstowe 2" descr="278,6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3789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58350ED9" w:rsidR="005C0CAC" w:rsidRPr="00702D97" w:rsidRDefault="007E6A8C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278,6</w:t>
                            </w:r>
                            <w:r w:rsidR="00030250"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 zł</w:t>
                            </w:r>
                          </w:p>
                          <w:p w14:paraId="63B3F253" w14:textId="45061A28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278,6 mld zł&#10;Wynik finansowy netto przedsiębiorstw" style="position:absolute;margin-left:0;margin-top:.6pt;width:217.5pt;height:73.8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" fillcolor="#001d77" stroked="f">
                <v:stroke joinstyle="miter"/>
                <v:textbox>
                  <w:txbxContent>
                    <w:p w14:paraId="30951E30" w14:textId="58350ED9" w:rsidR="005C0CAC" w:rsidRPr="00702D97" w:rsidRDefault="007E6A8C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278,6</w:t>
                      </w:r>
                      <w:r w:rsidR="00030250" w:rsidRPr="00702D97">
                        <w:rPr>
                          <w:rStyle w:val="WartowskanikaZnak"/>
                          <w:sz w:val="72"/>
                          <w:szCs w:val="72"/>
                        </w:rPr>
                        <w:t xml:space="preserve"> mld zł</w:t>
                      </w:r>
                    </w:p>
                    <w:p w14:paraId="63B3F253" w14:textId="45061A28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>W</w:t>
      </w:r>
      <w:r w:rsidR="002B7F83">
        <w:rPr>
          <w:rFonts w:eastAsia="Times New Roman" w:cs="Times New Roman"/>
          <w:bCs/>
          <w:noProof w:val="0"/>
        </w:rPr>
        <w:t xml:space="preserve"> </w:t>
      </w:r>
      <w:r w:rsidR="00621BCA">
        <w:rPr>
          <w:rFonts w:eastAsia="Times New Roman" w:cs="Times New Roman"/>
          <w:bCs/>
          <w:noProof w:val="0"/>
        </w:rPr>
        <w:t>2023</w:t>
      </w:r>
      <w:r w:rsidR="00030250">
        <w:rPr>
          <w:rFonts w:eastAsia="Times New Roman" w:cs="Times New Roman"/>
          <w:bCs/>
          <w:noProof w:val="0"/>
        </w:rPr>
        <w:t xml:space="preserve"> roku </w:t>
      </w:r>
      <w:r w:rsidR="00D81173">
        <w:rPr>
          <w:rFonts w:eastAsia="Times New Roman" w:cs="Times New Roman"/>
          <w:bCs/>
          <w:noProof w:val="0"/>
        </w:rPr>
        <w:t>przychody ogółem</w:t>
      </w:r>
      <w:r w:rsidR="00C37793" w:rsidRPr="00AE1A1C">
        <w:rPr>
          <w:rFonts w:eastAsia="Times New Roman" w:cs="Times New Roman"/>
          <w:bCs/>
          <w:noProof w:val="0"/>
        </w:rPr>
        <w:t xml:space="preserve"> badanych przedsiębiorstw </w:t>
      </w:r>
      <w:r w:rsidR="00BD5A20">
        <w:rPr>
          <w:rFonts w:eastAsia="Times New Roman" w:cs="Times New Roman"/>
          <w:bCs/>
          <w:noProof w:val="0"/>
        </w:rPr>
        <w:t>wyniosły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606C1B">
        <w:rPr>
          <w:rFonts w:eastAsia="Times New Roman" w:cs="Times New Roman"/>
          <w:bCs/>
          <w:noProof w:val="0"/>
        </w:rPr>
        <w:t>6 157,1</w:t>
      </w:r>
      <w:r w:rsidR="00030250">
        <w:rPr>
          <w:rFonts w:eastAsia="Times New Roman" w:cs="Times New Roman"/>
          <w:bCs/>
          <w:noProof w:val="0"/>
        </w:rPr>
        <w:t xml:space="preserve"> mld zł</w:t>
      </w:r>
      <w:r w:rsidR="00D81173">
        <w:rPr>
          <w:rFonts w:eastAsia="Times New Roman" w:cs="Times New Roman"/>
          <w:bCs/>
          <w:noProof w:val="0"/>
        </w:rPr>
        <w:t xml:space="preserve">, </w:t>
      </w:r>
      <w:r w:rsidR="00D81173" w:rsidRPr="00D81173">
        <w:rPr>
          <w:rFonts w:eastAsia="Times New Roman" w:cs="Times New Roman"/>
          <w:bCs/>
          <w:noProof w:val="0"/>
        </w:rPr>
        <w:t>a koszty ich uzyskania</w:t>
      </w:r>
      <w:r w:rsidR="00606C1B">
        <w:rPr>
          <w:rFonts w:eastAsia="Times New Roman" w:cs="Times New Roman"/>
          <w:bCs/>
          <w:noProof w:val="0"/>
        </w:rPr>
        <w:t xml:space="preserve"> </w:t>
      </w:r>
      <w:r w:rsidR="00606C1B">
        <w:rPr>
          <w:rFonts w:eastAsia="Times New Roman" w:cs="Times New Roman"/>
          <w:bCs/>
          <w:noProof w:val="0"/>
        </w:rPr>
        <w:br/>
        <w:t>5 81</w:t>
      </w:r>
      <w:r w:rsidR="00623444">
        <w:rPr>
          <w:rFonts w:eastAsia="Times New Roman" w:cs="Times New Roman"/>
          <w:bCs/>
          <w:noProof w:val="0"/>
        </w:rPr>
        <w:t>4</w:t>
      </w:r>
      <w:r w:rsidR="00606C1B">
        <w:rPr>
          <w:rFonts w:eastAsia="Times New Roman" w:cs="Times New Roman"/>
          <w:bCs/>
          <w:noProof w:val="0"/>
        </w:rPr>
        <w:t>,1</w:t>
      </w:r>
      <w:r w:rsidR="00D81173">
        <w:rPr>
          <w:rFonts w:eastAsia="Times New Roman" w:cs="Times New Roman"/>
          <w:bCs/>
          <w:noProof w:val="0"/>
        </w:rPr>
        <w:t xml:space="preserve"> mld zł. Wynik finansowy netto </w:t>
      </w:r>
      <w:r w:rsidR="001B32E1">
        <w:rPr>
          <w:rFonts w:eastAsia="Times New Roman" w:cs="Times New Roman"/>
          <w:bCs/>
          <w:noProof w:val="0"/>
        </w:rPr>
        <w:t>u</w:t>
      </w:r>
      <w:r w:rsidR="00EB2A70">
        <w:rPr>
          <w:rFonts w:eastAsia="Times New Roman" w:cs="Times New Roman"/>
          <w:bCs/>
          <w:noProof w:val="0"/>
        </w:rPr>
        <w:t>k</w:t>
      </w:r>
      <w:r w:rsidR="00606C1B">
        <w:rPr>
          <w:rFonts w:eastAsia="Times New Roman" w:cs="Times New Roman"/>
          <w:bCs/>
          <w:noProof w:val="0"/>
        </w:rPr>
        <w:t xml:space="preserve">ształtował się na poziomie </w:t>
      </w:r>
      <w:r w:rsidR="00334DCC">
        <w:rPr>
          <w:rFonts w:eastAsia="Times New Roman" w:cs="Times New Roman"/>
          <w:bCs/>
          <w:noProof w:val="0"/>
        </w:rPr>
        <w:br/>
      </w:r>
      <w:r w:rsidR="00606C1B">
        <w:rPr>
          <w:rFonts w:eastAsia="Times New Roman" w:cs="Times New Roman"/>
          <w:bCs/>
          <w:noProof w:val="0"/>
        </w:rPr>
        <w:t>278,6</w:t>
      </w:r>
      <w:r w:rsidR="00D81173">
        <w:rPr>
          <w:rFonts w:eastAsia="Times New Roman" w:cs="Times New Roman"/>
          <w:bCs/>
          <w:noProof w:val="0"/>
        </w:rPr>
        <w:t xml:space="preserve"> mld zł.</w:t>
      </w:r>
    </w:p>
    <w:p w14:paraId="3E50A0A3" w14:textId="77777777" w:rsidR="00030250" w:rsidRDefault="00030250" w:rsidP="00F049AB">
      <w:pPr>
        <w:pStyle w:val="Lead"/>
        <w:rPr>
          <w:rFonts w:eastAsia="Times New Roman" w:cs="Times New Roman"/>
          <w:bCs/>
          <w:noProof w:val="0"/>
        </w:rPr>
      </w:pPr>
    </w:p>
    <w:p w14:paraId="5A2A0C7E" w14:textId="3A1F2872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C5098B">
        <w:rPr>
          <w:rFonts w:cs="MyriadPro-Bold"/>
          <w:b/>
          <w:bCs/>
          <w:szCs w:val="19"/>
        </w:rPr>
        <w:t>o liczb</w:t>
      </w:r>
      <w:r w:rsidR="00606C1B">
        <w:rPr>
          <w:rFonts w:cs="MyriadPro-Bold"/>
          <w:b/>
          <w:bCs/>
          <w:szCs w:val="19"/>
        </w:rPr>
        <w:t>ie pracujących 1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 w:rsidR="00C514A2">
        <w:rPr>
          <w:rFonts w:cs="MyriadPro-Bold"/>
          <w:b/>
          <w:bCs/>
          <w:szCs w:val="19"/>
        </w:rPr>
        <w:t>2023</w:t>
      </w:r>
      <w:r w:rsidRPr="00114B3A">
        <w:rPr>
          <w:rFonts w:cs="MyriadPro-Bold"/>
          <w:b/>
          <w:bCs/>
          <w:szCs w:val="19"/>
        </w:rPr>
        <w:t xml:space="preserve"> roku</w:t>
      </w:r>
    </w:p>
    <w:p w14:paraId="36B2F507" w14:textId="09DBD2F3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badanej w </w:t>
      </w:r>
      <w:r w:rsidR="00606C1B">
        <w:rPr>
          <w:rFonts w:eastAsia="Times New Roman" w:cs="Times New Roman"/>
          <w:szCs w:val="19"/>
          <w:lang w:eastAsia="pl-PL"/>
        </w:rPr>
        <w:t>2023 roku populacji 50 239</w:t>
      </w:r>
      <w:r w:rsidRPr="006B1976">
        <w:rPr>
          <w:rFonts w:eastAsia="Times New Roman" w:cs="Times New Roman"/>
          <w:szCs w:val="19"/>
          <w:lang w:eastAsia="pl-PL"/>
        </w:rPr>
        <w:t xml:space="preserve"> przedsiębiorstw prowadzących księgi rachunkowe</w:t>
      </w:r>
      <w:r w:rsidR="0089397B">
        <w:rPr>
          <w:rFonts w:eastAsia="Times New Roman" w:cs="Times New Roman"/>
          <w:szCs w:val="19"/>
          <w:lang w:eastAsia="pl-PL"/>
        </w:rPr>
        <w:t>,</w:t>
      </w:r>
      <w:r w:rsidRPr="006B1976">
        <w:rPr>
          <w:rFonts w:eastAsia="Times New Roman" w:cs="Times New Roman"/>
          <w:szCs w:val="19"/>
          <w:lang w:eastAsia="pl-PL"/>
        </w:rPr>
        <w:t xml:space="preserve"> największą liczebnie grupę </w:t>
      </w:r>
      <w:r w:rsidR="001C790D">
        <w:rPr>
          <w:rFonts w:eastAsia="Times New Roman" w:cs="Times New Roman"/>
          <w:szCs w:val="19"/>
          <w:lang w:eastAsia="pl-PL"/>
        </w:rPr>
        <w:t>(63,8%) stanowiły jednostki małe, tj. o liczbie pracujących 1</w:t>
      </w:r>
      <w:r w:rsidRPr="006B1976">
        <w:rPr>
          <w:rFonts w:eastAsia="Times New Roman" w:cs="Times New Roman"/>
          <w:szCs w:val="19"/>
          <w:lang w:eastAsia="pl-PL"/>
        </w:rPr>
        <w:t xml:space="preserve">0–49 osób, a </w:t>
      </w:r>
      <w:r w:rsidR="001C790D">
        <w:rPr>
          <w:rFonts w:eastAsia="Times New Roman" w:cs="Times New Roman"/>
          <w:szCs w:val="19"/>
          <w:lang w:eastAsia="pl-PL"/>
        </w:rPr>
        <w:t xml:space="preserve">najmniejszą (7,8%) </w:t>
      </w:r>
      <w:r w:rsidRPr="006B1976">
        <w:rPr>
          <w:rFonts w:eastAsia="Times New Roman" w:cs="Times New Roman"/>
          <w:szCs w:val="19"/>
          <w:lang w:eastAsia="pl-PL"/>
        </w:rPr>
        <w:t>jednostki duże (250 i więcej pracujących).</w:t>
      </w:r>
      <w:r w:rsidR="001C790D">
        <w:rPr>
          <w:rFonts w:eastAsia="Times New Roman" w:cs="Times New Roman"/>
          <w:szCs w:val="19"/>
          <w:lang w:eastAsia="pl-PL"/>
        </w:rPr>
        <w:t xml:space="preserve"> </w:t>
      </w:r>
      <w:r w:rsidR="001C790D" w:rsidRPr="001C790D">
        <w:rPr>
          <w:rFonts w:eastAsia="Times New Roman" w:cs="Times New Roman"/>
          <w:szCs w:val="19"/>
          <w:lang w:eastAsia="pl-PL"/>
        </w:rPr>
        <w:t>Przedsiębiorstwa średnie (o liczbie pracują</w:t>
      </w:r>
      <w:r w:rsidR="001C790D">
        <w:rPr>
          <w:rFonts w:eastAsia="Times New Roman" w:cs="Times New Roman"/>
          <w:szCs w:val="19"/>
          <w:lang w:eastAsia="pl-PL"/>
        </w:rPr>
        <w:t>cych 50–249 osób) stanowiły 28,4</w:t>
      </w:r>
      <w:r w:rsidR="001C790D" w:rsidRPr="001C790D">
        <w:rPr>
          <w:rFonts w:eastAsia="Times New Roman" w:cs="Times New Roman"/>
          <w:szCs w:val="19"/>
          <w:lang w:eastAsia="pl-PL"/>
        </w:rPr>
        <w:t>% badanej zbiorowości</w:t>
      </w:r>
      <w:r w:rsidR="001C790D">
        <w:rPr>
          <w:rFonts w:eastAsia="Times New Roman" w:cs="Times New Roman"/>
          <w:szCs w:val="19"/>
          <w:lang w:eastAsia="pl-PL"/>
        </w:rPr>
        <w:t>.</w:t>
      </w:r>
      <w:r w:rsidRPr="006B1976">
        <w:rPr>
          <w:rFonts w:eastAsia="Times New Roman" w:cs="Times New Roman"/>
          <w:szCs w:val="19"/>
          <w:lang w:eastAsia="pl-PL"/>
        </w:rPr>
        <w:t xml:space="preserve"> We</w:t>
      </w:r>
      <w:r w:rsidR="00B35787">
        <w:rPr>
          <w:rFonts w:eastAsia="Times New Roman" w:cs="Times New Roman"/>
          <w:szCs w:val="19"/>
          <w:lang w:eastAsia="pl-PL"/>
        </w:rPr>
        <w:t xml:space="preserve">dług stanu </w:t>
      </w:r>
      <w:r w:rsidR="0073558D">
        <w:rPr>
          <w:rFonts w:eastAsia="Times New Roman" w:cs="Times New Roman"/>
          <w:szCs w:val="19"/>
          <w:lang w:eastAsia="pl-PL"/>
        </w:rPr>
        <w:t>na 31 grudni</w:t>
      </w:r>
      <w:r w:rsidR="00B35787">
        <w:rPr>
          <w:rFonts w:eastAsia="Times New Roman" w:cs="Times New Roman"/>
          <w:szCs w:val="19"/>
          <w:lang w:eastAsia="pl-PL"/>
        </w:rPr>
        <w:t>a</w:t>
      </w:r>
      <w:r w:rsidR="005123B0">
        <w:rPr>
          <w:rFonts w:eastAsia="Times New Roman" w:cs="Times New Roman"/>
          <w:szCs w:val="19"/>
          <w:lang w:eastAsia="pl-PL"/>
        </w:rPr>
        <w:t xml:space="preserve"> 2023</w:t>
      </w:r>
      <w:r w:rsidR="008056E7">
        <w:rPr>
          <w:rFonts w:eastAsia="Times New Roman" w:cs="Times New Roman"/>
          <w:szCs w:val="19"/>
          <w:lang w:eastAsia="pl-PL"/>
        </w:rPr>
        <w:t xml:space="preserve"> roku</w:t>
      </w:r>
      <w:r w:rsidRPr="006B1976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B35787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334DCC">
        <w:rPr>
          <w:rFonts w:eastAsia="Times New Roman" w:cs="Times New Roman"/>
          <w:szCs w:val="19"/>
          <w:lang w:eastAsia="pl-PL"/>
        </w:rPr>
        <w:br/>
      </w:r>
      <w:r w:rsidR="0073558D" w:rsidRPr="0073558D">
        <w:rPr>
          <w:rFonts w:eastAsia="Times New Roman" w:cs="Times New Roman"/>
          <w:szCs w:val="19"/>
          <w:lang w:eastAsia="pl-PL"/>
        </w:rPr>
        <w:t>5 648,0</w:t>
      </w:r>
      <w:r w:rsidRPr="006B1976">
        <w:rPr>
          <w:rFonts w:eastAsia="Times New Roman" w:cs="Times New Roman"/>
          <w:szCs w:val="19"/>
          <w:lang w:eastAsia="pl-PL"/>
        </w:rPr>
        <w:t xml:space="preserve"> tys. osób. </w:t>
      </w:r>
      <w:r w:rsidR="0073558D" w:rsidRPr="0073558D">
        <w:rPr>
          <w:rFonts w:eastAsia="Times New Roman" w:cs="Times New Roman"/>
          <w:szCs w:val="19"/>
          <w:lang w:eastAsia="pl-PL"/>
        </w:rPr>
        <w:t>Podmioty d</w:t>
      </w:r>
      <w:r w:rsidR="0073558D">
        <w:rPr>
          <w:rFonts w:eastAsia="Times New Roman" w:cs="Times New Roman"/>
          <w:szCs w:val="19"/>
          <w:lang w:eastAsia="pl-PL"/>
        </w:rPr>
        <w:t>uże były miejscem pracy dla 60,1</w:t>
      </w:r>
      <w:r w:rsidR="0073558D" w:rsidRPr="0073558D">
        <w:rPr>
          <w:rFonts w:eastAsia="Times New Roman" w:cs="Times New Roman"/>
          <w:szCs w:val="19"/>
          <w:lang w:eastAsia="pl-PL"/>
        </w:rPr>
        <w:t>% o</w:t>
      </w:r>
      <w:r w:rsidR="0073558D">
        <w:rPr>
          <w:rFonts w:eastAsia="Times New Roman" w:cs="Times New Roman"/>
          <w:szCs w:val="19"/>
          <w:lang w:eastAsia="pl-PL"/>
        </w:rPr>
        <w:t>gółu pracujących, średnie – 27,0% a podmioty małe – 12,9</w:t>
      </w:r>
      <w:r w:rsidR="0073558D" w:rsidRPr="0073558D">
        <w:rPr>
          <w:rFonts w:eastAsia="Times New Roman" w:cs="Times New Roman"/>
          <w:szCs w:val="19"/>
          <w:lang w:eastAsia="pl-PL"/>
        </w:rPr>
        <w:t>%.</w:t>
      </w:r>
      <w:r w:rsidR="0073558D">
        <w:rPr>
          <w:rFonts w:eastAsia="Times New Roman" w:cs="Times New Roman"/>
          <w:szCs w:val="19"/>
          <w:lang w:eastAsia="pl-PL"/>
        </w:rPr>
        <w:t xml:space="preserve"> </w:t>
      </w:r>
      <w:r w:rsidRPr="006B1976">
        <w:rPr>
          <w:rFonts w:eastAsia="Times New Roman" w:cs="Times New Roman"/>
          <w:szCs w:val="19"/>
          <w:lang w:eastAsia="pl-PL"/>
        </w:rPr>
        <w:t>W przeciętnym badan</w:t>
      </w:r>
      <w:r w:rsidR="00EA182D">
        <w:rPr>
          <w:rFonts w:eastAsia="Times New Roman" w:cs="Times New Roman"/>
          <w:szCs w:val="19"/>
          <w:lang w:eastAsia="pl-PL"/>
        </w:rPr>
        <w:t xml:space="preserve">ym podmiocie prowadzącym księgi </w:t>
      </w:r>
      <w:r w:rsidRPr="006B1976">
        <w:rPr>
          <w:rFonts w:eastAsia="Times New Roman" w:cs="Times New Roman"/>
          <w:szCs w:val="19"/>
          <w:lang w:eastAsia="pl-PL"/>
        </w:rPr>
        <w:t>rachunkowe według stanu na konie</w:t>
      </w:r>
      <w:r w:rsidR="005D34F8">
        <w:rPr>
          <w:rFonts w:eastAsia="Times New Roman" w:cs="Times New Roman"/>
          <w:szCs w:val="19"/>
          <w:lang w:eastAsia="pl-PL"/>
        </w:rPr>
        <w:t>c</w:t>
      </w:r>
      <w:r w:rsidR="00F30AF4">
        <w:rPr>
          <w:rFonts w:eastAsia="Times New Roman" w:cs="Times New Roman"/>
          <w:szCs w:val="19"/>
          <w:lang w:eastAsia="pl-PL"/>
        </w:rPr>
        <w:t xml:space="preserve"> 2023 roku pracowało</w:t>
      </w:r>
      <w:r w:rsidR="00DC275C">
        <w:rPr>
          <w:rFonts w:eastAsia="Times New Roman" w:cs="Times New Roman"/>
          <w:szCs w:val="19"/>
          <w:lang w:eastAsia="pl-PL"/>
        </w:rPr>
        <w:t xml:space="preserve"> 112 osób</w:t>
      </w:r>
      <w:r w:rsidRPr="006B1976">
        <w:rPr>
          <w:rFonts w:eastAsia="Times New Roman" w:cs="Times New Roman"/>
          <w:szCs w:val="19"/>
          <w:lang w:eastAsia="pl-PL"/>
        </w:rPr>
        <w:t xml:space="preserve">, w podmiocie dużym </w:t>
      </w:r>
      <w:r w:rsidR="00D63208">
        <w:rPr>
          <w:rFonts w:eastAsia="Times New Roman" w:cs="Times New Roman"/>
          <w:szCs w:val="19"/>
          <w:lang w:eastAsia="pl-PL"/>
        </w:rPr>
        <w:t>– 867 osób, średnim – 107</w:t>
      </w:r>
      <w:r w:rsidR="007C64F5">
        <w:rPr>
          <w:rFonts w:eastAsia="Times New Roman" w:cs="Times New Roman"/>
          <w:szCs w:val="19"/>
          <w:lang w:eastAsia="pl-PL"/>
        </w:rPr>
        <w:t xml:space="preserve"> osób</w:t>
      </w:r>
      <w:r w:rsidR="00DC275C">
        <w:rPr>
          <w:rFonts w:eastAsia="Times New Roman" w:cs="Times New Roman"/>
          <w:szCs w:val="19"/>
          <w:lang w:eastAsia="pl-PL"/>
        </w:rPr>
        <w:t>, małym – 23 osoby</w:t>
      </w:r>
      <w:r w:rsidR="007C64F5">
        <w:rPr>
          <w:rFonts w:eastAsia="Times New Roman" w:cs="Times New Roman"/>
          <w:szCs w:val="19"/>
          <w:lang w:eastAsia="pl-PL"/>
        </w:rPr>
        <w:t>.</w:t>
      </w:r>
    </w:p>
    <w:p w14:paraId="0A6EED74" w14:textId="38306DE2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Przychody ogół</w:t>
      </w:r>
      <w:r w:rsidR="002635EF">
        <w:rPr>
          <w:rFonts w:eastAsia="Times New Roman" w:cs="Times New Roman"/>
          <w:szCs w:val="19"/>
          <w:lang w:eastAsia="pl-PL"/>
        </w:rPr>
        <w:t>em bad</w:t>
      </w:r>
      <w:r w:rsidR="00F72D7E">
        <w:rPr>
          <w:rFonts w:eastAsia="Times New Roman" w:cs="Times New Roman"/>
          <w:szCs w:val="19"/>
          <w:lang w:eastAsia="pl-PL"/>
        </w:rPr>
        <w:t xml:space="preserve">anych podmiotów wyniosły </w:t>
      </w:r>
      <w:r w:rsidR="00391411" w:rsidRPr="00391411">
        <w:rPr>
          <w:rFonts w:eastAsia="Times New Roman" w:cs="Times New Roman"/>
          <w:szCs w:val="19"/>
          <w:lang w:eastAsia="pl-PL"/>
        </w:rPr>
        <w:t>6 157,1</w:t>
      </w:r>
      <w:r w:rsidR="00391411">
        <w:rPr>
          <w:rFonts w:eastAsia="Times New Roman" w:cs="Times New Roman"/>
          <w:szCs w:val="19"/>
          <w:lang w:eastAsia="pl-PL"/>
        </w:rPr>
        <w:t xml:space="preserve"> </w:t>
      </w:r>
      <w:r w:rsidRPr="006B1976">
        <w:rPr>
          <w:rFonts w:eastAsia="Times New Roman" w:cs="Times New Roman"/>
          <w:szCs w:val="19"/>
          <w:lang w:eastAsia="pl-PL"/>
        </w:rPr>
        <w:t>mld zł,</w:t>
      </w:r>
      <w:r w:rsidR="009137E2">
        <w:rPr>
          <w:rFonts w:eastAsia="Times New Roman" w:cs="Times New Roman"/>
          <w:szCs w:val="19"/>
          <w:lang w:eastAsia="pl-PL"/>
        </w:rPr>
        <w:t xml:space="preserve"> a</w:t>
      </w:r>
      <w:r w:rsidRPr="006B1976">
        <w:rPr>
          <w:rFonts w:eastAsia="Times New Roman" w:cs="Times New Roman"/>
          <w:szCs w:val="19"/>
          <w:lang w:eastAsia="pl-PL"/>
        </w:rPr>
        <w:t xml:space="preserve"> w</w:t>
      </w:r>
      <w:r w:rsidR="00F01F2E">
        <w:rPr>
          <w:rFonts w:eastAsia="Times New Roman" w:cs="Times New Roman"/>
          <w:szCs w:val="19"/>
          <w:lang w:eastAsia="pl-PL"/>
        </w:rPr>
        <w:t xml:space="preserve"> strukturze tych przychodów 57,0</w:t>
      </w:r>
      <w:r w:rsidRPr="006B1976">
        <w:rPr>
          <w:rFonts w:eastAsia="Times New Roman" w:cs="Times New Roman"/>
          <w:szCs w:val="19"/>
          <w:lang w:eastAsia="pl-PL"/>
        </w:rPr>
        <w:t>% stanowiły przychody ze sprzedaży produktów (wyrobów i usłu</w:t>
      </w:r>
      <w:r w:rsidR="00D369E7">
        <w:rPr>
          <w:rFonts w:eastAsia="Times New Roman" w:cs="Times New Roman"/>
          <w:szCs w:val="19"/>
          <w:lang w:eastAsia="pl-PL"/>
        </w:rPr>
        <w:t>g) i</w:t>
      </w:r>
      <w:r w:rsidR="00F01F2E">
        <w:rPr>
          <w:rFonts w:eastAsia="Times New Roman" w:cs="Times New Roman"/>
          <w:szCs w:val="19"/>
          <w:lang w:eastAsia="pl-PL"/>
        </w:rPr>
        <w:t xml:space="preserve"> 39,5</w:t>
      </w:r>
      <w:r w:rsidRPr="006B1976">
        <w:rPr>
          <w:rFonts w:eastAsia="Times New Roman" w:cs="Times New Roman"/>
          <w:szCs w:val="19"/>
          <w:lang w:eastAsia="pl-PL"/>
        </w:rPr>
        <w:t>% – przychody ze sprzedaży towarów i materiałów. Pozostałe pr</w:t>
      </w:r>
      <w:r w:rsidR="00F01F2E">
        <w:rPr>
          <w:rFonts w:eastAsia="Times New Roman" w:cs="Times New Roman"/>
          <w:szCs w:val="19"/>
          <w:lang w:eastAsia="pl-PL"/>
        </w:rPr>
        <w:t>zychody operacyjne stanowiły 1,7%, a przychody finansowe 1,8</w:t>
      </w:r>
      <w:r w:rsidRPr="006B1976">
        <w:rPr>
          <w:rFonts w:eastAsia="Times New Roman" w:cs="Times New Roman"/>
          <w:szCs w:val="19"/>
          <w:lang w:eastAsia="pl-PL"/>
        </w:rPr>
        <w:t>% przychodów ogółem. Przychody ogółem uzyskane przez przeds</w:t>
      </w:r>
      <w:r w:rsidR="00B508CB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B508CB" w:rsidRPr="00B508CB">
        <w:rPr>
          <w:rFonts w:eastAsia="Times New Roman" w:cs="Times New Roman"/>
          <w:szCs w:val="19"/>
          <w:lang w:eastAsia="pl-PL"/>
        </w:rPr>
        <w:t>3 869,7</w:t>
      </w:r>
      <w:r w:rsidR="00B508CB">
        <w:rPr>
          <w:rFonts w:eastAsia="Times New Roman" w:cs="Times New Roman"/>
          <w:szCs w:val="19"/>
          <w:lang w:eastAsia="pl-PL"/>
        </w:rPr>
        <w:t xml:space="preserve"> mld zł i stanowiły 62,9</w:t>
      </w:r>
      <w:r w:rsidRPr="006B1976">
        <w:rPr>
          <w:rFonts w:eastAsia="Times New Roman" w:cs="Times New Roman"/>
          <w:szCs w:val="19"/>
          <w:lang w:eastAsia="pl-PL"/>
        </w:rPr>
        <w:t xml:space="preserve">% przychodów wszystkich badanych przedsiębiorstw. </w:t>
      </w:r>
      <w:r w:rsidR="00B508CB" w:rsidRPr="00B508CB">
        <w:rPr>
          <w:rFonts w:eastAsia="Times New Roman" w:cs="Times New Roman"/>
          <w:szCs w:val="19"/>
          <w:lang w:eastAsia="pl-PL"/>
        </w:rPr>
        <w:t>Jednostki średnie (o liczbie pracujących 50–24</w:t>
      </w:r>
      <w:r w:rsidR="00B508CB">
        <w:rPr>
          <w:rFonts w:eastAsia="Times New Roman" w:cs="Times New Roman"/>
          <w:szCs w:val="19"/>
          <w:lang w:eastAsia="pl-PL"/>
        </w:rPr>
        <w:t>9 osób) uzyskały 24,5</w:t>
      </w:r>
      <w:r w:rsidR="00B508CB" w:rsidRPr="00B508CB">
        <w:rPr>
          <w:rFonts w:eastAsia="Times New Roman" w:cs="Times New Roman"/>
          <w:szCs w:val="19"/>
          <w:lang w:eastAsia="pl-PL"/>
        </w:rPr>
        <w:t>%, a małe (o liczbi</w:t>
      </w:r>
      <w:r w:rsidR="00B508CB">
        <w:rPr>
          <w:rFonts w:eastAsia="Times New Roman" w:cs="Times New Roman"/>
          <w:szCs w:val="19"/>
          <w:lang w:eastAsia="pl-PL"/>
        </w:rPr>
        <w:t>e pracujących 10–49 osób) – 12,6</w:t>
      </w:r>
      <w:r w:rsidR="00B508CB" w:rsidRPr="00B508CB">
        <w:rPr>
          <w:rFonts w:eastAsia="Times New Roman" w:cs="Times New Roman"/>
          <w:szCs w:val="19"/>
          <w:lang w:eastAsia="pl-PL"/>
        </w:rPr>
        <w:t>% przychodów ogółem.</w:t>
      </w:r>
    </w:p>
    <w:p w14:paraId="5C9841CC" w14:textId="39B38809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0B36E92" wp14:editId="6B5B34E2">
                <wp:simplePos x="0" y="0"/>
                <wp:positionH relativeFrom="page">
                  <wp:posOffset>5772150</wp:posOffset>
                </wp:positionH>
                <wp:positionV relativeFrom="paragraph">
                  <wp:posOffset>969645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2023 roku wynik finansowy brutto przedsiębiorstw wyniósł 343,0 mld zł, a wynik finansowy netto 278,6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D00" w14:textId="54D0D2D4" w:rsidR="009B74E7" w:rsidRPr="00846E02" w:rsidRDefault="009B74E7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4A13AB">
                              <w:rPr>
                                <w:bCs w:val="0"/>
                              </w:rPr>
                              <w:t>2023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68152B">
                              <w:rPr>
                                <w:bCs w:val="0"/>
                              </w:rPr>
                              <w:t>wyniósł 343,0</w:t>
                            </w:r>
                            <w:r>
                              <w:rPr>
                                <w:bCs w:val="0"/>
                              </w:rPr>
                              <w:t xml:space="preserve"> mld zł, a </w:t>
                            </w:r>
                            <w:r w:rsidR="000E5B25">
                              <w:rPr>
                                <w:bCs w:val="0"/>
                              </w:rPr>
                              <w:t>wynik f</w:t>
                            </w:r>
                            <w:r w:rsidR="0068152B">
                              <w:rPr>
                                <w:bCs w:val="0"/>
                              </w:rPr>
                              <w:t>inansowy netto 278,6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E9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2023 roku wynik finansowy brutto przedsiębiorstw wyniósł 343,0 mld zł, a wynik finansowy netto 278,6 mld zł" style="position:absolute;margin-left:454.5pt;margin-top:76.35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" filled="f" stroked="f">
                <v:textbox>
                  <w:txbxContent>
                    <w:p w14:paraId="7399FD00" w14:textId="54D0D2D4" w:rsidR="009B74E7" w:rsidRPr="00846E02" w:rsidRDefault="009B74E7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4A13AB">
                        <w:rPr>
                          <w:bCs w:val="0"/>
                        </w:rPr>
                        <w:t>2023</w:t>
                      </w:r>
                      <w:r w:rsidRPr="00846E02">
                        <w:rPr>
                          <w:bCs w:val="0"/>
                        </w:rPr>
                        <w:t xml:space="preserve"> roku</w:t>
                      </w:r>
                      <w:r>
                        <w:rPr>
                          <w:bCs w:val="0"/>
                        </w:rPr>
                        <w:t xml:space="preserve"> wynik finansowy brutto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 w:rsidR="0068152B">
                        <w:rPr>
                          <w:bCs w:val="0"/>
                        </w:rPr>
                        <w:t>wyniósł 343,0</w:t>
                      </w:r>
                      <w:r>
                        <w:rPr>
                          <w:bCs w:val="0"/>
                        </w:rPr>
                        <w:t xml:space="preserve"> mld zł, a </w:t>
                      </w:r>
                      <w:r w:rsidR="000E5B25">
                        <w:rPr>
                          <w:bCs w:val="0"/>
                        </w:rPr>
                        <w:t>wynik f</w:t>
                      </w:r>
                      <w:r w:rsidR="0068152B">
                        <w:rPr>
                          <w:bCs w:val="0"/>
                        </w:rPr>
                        <w:t>inansowy netto 278,6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6B1976">
        <w:rPr>
          <w:rFonts w:eastAsia="Times New Roman" w:cs="Times New Roman"/>
          <w:szCs w:val="19"/>
          <w:lang w:eastAsia="pl-PL"/>
        </w:rPr>
        <w:t xml:space="preserve">Koszty ogółem w </w:t>
      </w:r>
      <w:r w:rsidR="003902FB">
        <w:rPr>
          <w:rFonts w:eastAsia="Times New Roman" w:cs="Times New Roman"/>
          <w:szCs w:val="19"/>
          <w:lang w:eastAsia="pl-PL"/>
        </w:rPr>
        <w:t xml:space="preserve">2023 roku wyniosły </w:t>
      </w:r>
      <w:r w:rsidR="003902FB" w:rsidRPr="003902FB">
        <w:rPr>
          <w:rFonts w:eastAsia="Times New Roman" w:cs="Times New Roman"/>
          <w:szCs w:val="19"/>
          <w:lang w:eastAsia="pl-PL"/>
        </w:rPr>
        <w:t>5 814,1</w:t>
      </w:r>
      <w:r w:rsidR="004E20C3">
        <w:rPr>
          <w:rFonts w:eastAsia="Times New Roman" w:cs="Times New Roman"/>
          <w:szCs w:val="19"/>
          <w:lang w:eastAsia="pl-PL"/>
        </w:rPr>
        <w:t xml:space="preserve"> mld zł.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3902FB">
        <w:rPr>
          <w:rFonts w:eastAsia="Times New Roman" w:cs="Times New Roman"/>
          <w:szCs w:val="19"/>
          <w:lang w:eastAsia="pl-PL"/>
        </w:rPr>
        <w:t>W strukturze kosztów ogółem 96,3</w:t>
      </w:r>
      <w:r w:rsidR="006B1976" w:rsidRPr="006B1976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561FB5">
        <w:rPr>
          <w:rFonts w:eastAsia="Times New Roman" w:cs="Times New Roman"/>
          <w:szCs w:val="19"/>
          <w:lang w:eastAsia="pl-PL"/>
        </w:rPr>
        <w:t>owarów i materiałów (</w:t>
      </w:r>
      <w:r w:rsidR="000E0342" w:rsidRPr="000E0342">
        <w:rPr>
          <w:rFonts w:eastAsia="Times New Roman" w:cs="Times New Roman"/>
          <w:szCs w:val="19"/>
          <w:lang w:eastAsia="pl-PL"/>
        </w:rPr>
        <w:t>34,7% kosztów ogółem to wartość sprzedanych towarów i materiałów, a 61,6% – koszt własny sprzedanych produktów</w:t>
      </w:r>
      <w:r w:rsidR="006B1976" w:rsidRPr="006B1976">
        <w:rPr>
          <w:rFonts w:eastAsia="Times New Roman" w:cs="Times New Roman"/>
          <w:szCs w:val="19"/>
          <w:lang w:eastAsia="pl-PL"/>
        </w:rPr>
        <w:t>), p</w:t>
      </w:r>
      <w:r w:rsidR="003E6F8A">
        <w:rPr>
          <w:rFonts w:eastAsia="Times New Roman" w:cs="Times New Roman"/>
          <w:szCs w:val="19"/>
          <w:lang w:eastAsia="pl-PL"/>
        </w:rPr>
        <w:t>ozostałe koszty operacyjne – 1,5%, a koszty finansowe – 2,2</w:t>
      </w:r>
      <w:r w:rsidR="006B1976" w:rsidRPr="006B1976">
        <w:rPr>
          <w:rFonts w:eastAsia="Times New Roman" w:cs="Times New Roman"/>
          <w:szCs w:val="19"/>
          <w:lang w:eastAsia="pl-PL"/>
        </w:rPr>
        <w:t>%. Koszty ogółem poniesione przez przeds</w:t>
      </w:r>
      <w:r w:rsidR="00AE55E9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AE55E9" w:rsidRPr="00AE55E9">
        <w:rPr>
          <w:rFonts w:eastAsia="Times New Roman" w:cs="Times New Roman"/>
          <w:szCs w:val="19"/>
          <w:lang w:eastAsia="pl-PL"/>
        </w:rPr>
        <w:t>3 671,8</w:t>
      </w:r>
      <w:r w:rsidR="00AE55E9">
        <w:rPr>
          <w:rFonts w:eastAsia="Times New Roman" w:cs="Times New Roman"/>
          <w:szCs w:val="19"/>
          <w:lang w:eastAsia="pl-PL"/>
        </w:rPr>
        <w:t xml:space="preserve"> mld zł i stanowiły 63,2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% kosztów wszystkich badanych przedsiębiorstw. </w:t>
      </w:r>
      <w:r w:rsidR="00AE55E9">
        <w:rPr>
          <w:rFonts w:eastAsia="Times New Roman" w:cs="Times New Roman"/>
          <w:szCs w:val="19"/>
          <w:lang w:eastAsia="pl-PL"/>
        </w:rPr>
        <w:t>Jednostki średnie poniosły 24,3%, a małe 12,5</w:t>
      </w:r>
      <w:r w:rsidR="00AE55E9" w:rsidRPr="00AE55E9">
        <w:rPr>
          <w:rFonts w:eastAsia="Times New Roman" w:cs="Times New Roman"/>
          <w:szCs w:val="19"/>
          <w:lang w:eastAsia="pl-PL"/>
        </w:rPr>
        <w:t>% kosztów ogółem.</w:t>
      </w:r>
    </w:p>
    <w:p w14:paraId="582113F6" w14:textId="5C72CD8E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Wy</w:t>
      </w:r>
      <w:r w:rsidR="00E334C8">
        <w:rPr>
          <w:rFonts w:eastAsia="Times New Roman" w:cs="Times New Roman"/>
          <w:szCs w:val="19"/>
          <w:lang w:eastAsia="pl-PL"/>
        </w:rPr>
        <w:t>ni</w:t>
      </w:r>
      <w:r w:rsidR="008C1701">
        <w:rPr>
          <w:rFonts w:eastAsia="Times New Roman" w:cs="Times New Roman"/>
          <w:szCs w:val="19"/>
          <w:lang w:eastAsia="pl-PL"/>
        </w:rPr>
        <w:t xml:space="preserve">k finansowy brutto wyniósł </w:t>
      </w:r>
      <w:r w:rsidR="008C1701" w:rsidRPr="008C1701">
        <w:rPr>
          <w:rFonts w:eastAsia="Times New Roman" w:cs="Times New Roman"/>
          <w:szCs w:val="19"/>
          <w:lang w:eastAsia="pl-PL"/>
        </w:rPr>
        <w:t>343,0</w:t>
      </w:r>
      <w:r w:rsidR="001B7A93">
        <w:rPr>
          <w:rFonts w:eastAsia="Times New Roman" w:cs="Times New Roman"/>
          <w:szCs w:val="19"/>
          <w:lang w:eastAsia="pl-PL"/>
        </w:rPr>
        <w:t xml:space="preserve"> mld zł, natomiast o</w:t>
      </w:r>
      <w:r w:rsidRPr="006B1976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>
        <w:rPr>
          <w:rFonts w:eastAsia="Times New Roman" w:cs="Times New Roman"/>
          <w:szCs w:val="19"/>
          <w:lang w:eastAsia="pl-PL"/>
        </w:rPr>
        <w:t>finansowego brutto –</w:t>
      </w:r>
      <w:r w:rsidR="008C1701">
        <w:rPr>
          <w:rFonts w:eastAsia="Times New Roman" w:cs="Times New Roman"/>
          <w:szCs w:val="19"/>
          <w:lang w:eastAsia="pl-PL"/>
        </w:rPr>
        <w:t xml:space="preserve"> </w:t>
      </w:r>
      <w:r w:rsidR="008C1701" w:rsidRPr="008C1701">
        <w:rPr>
          <w:rFonts w:eastAsia="Times New Roman" w:cs="Times New Roman"/>
          <w:szCs w:val="19"/>
          <w:lang w:eastAsia="pl-PL"/>
        </w:rPr>
        <w:t>64,4</w:t>
      </w:r>
      <w:r w:rsidRPr="006B1976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E334C8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>
        <w:rPr>
          <w:rFonts w:eastAsia="Times New Roman" w:cs="Times New Roman"/>
          <w:szCs w:val="19"/>
          <w:lang w:eastAsia="pl-PL"/>
        </w:rPr>
        <w:br/>
      </w:r>
      <w:r w:rsidR="008C1701" w:rsidRPr="008C1701">
        <w:rPr>
          <w:rFonts w:eastAsia="Times New Roman" w:cs="Times New Roman"/>
          <w:szCs w:val="19"/>
          <w:lang w:eastAsia="pl-PL"/>
        </w:rPr>
        <w:t>278,6</w:t>
      </w:r>
      <w:r w:rsidRPr="006B1976">
        <w:rPr>
          <w:rFonts w:eastAsia="Times New Roman" w:cs="Times New Roman"/>
          <w:szCs w:val="19"/>
          <w:lang w:eastAsia="pl-PL"/>
        </w:rPr>
        <w:t xml:space="preserve"> mld zł</w:t>
      </w:r>
      <w:r w:rsidR="00D84B12">
        <w:rPr>
          <w:rFonts w:eastAsia="Times New Roman" w:cs="Times New Roman"/>
          <w:szCs w:val="19"/>
          <w:lang w:eastAsia="pl-PL"/>
        </w:rPr>
        <w:t>.</w:t>
      </w:r>
    </w:p>
    <w:p w14:paraId="0807B0F1" w14:textId="621954F2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</w:t>
      </w:r>
      <w:r w:rsidR="00FF48D0">
        <w:rPr>
          <w:rFonts w:eastAsia="Times New Roman" w:cs="Times New Roman"/>
          <w:szCs w:val="19"/>
          <w:lang w:eastAsia="pl-PL"/>
        </w:rPr>
        <w:t>2023</w:t>
      </w:r>
      <w:r w:rsidRPr="006B1976">
        <w:rPr>
          <w:rFonts w:eastAsia="Times New Roman" w:cs="Times New Roman"/>
          <w:szCs w:val="19"/>
          <w:lang w:eastAsia="pl-PL"/>
        </w:rPr>
        <w:t xml:space="preserve"> roku nakłady inwestycyjne ogółem badanych przedsi</w:t>
      </w:r>
      <w:r w:rsidR="00DD00CC">
        <w:rPr>
          <w:rFonts w:eastAsia="Times New Roman" w:cs="Times New Roman"/>
          <w:szCs w:val="19"/>
          <w:lang w:eastAsia="pl-PL"/>
        </w:rPr>
        <w:t>ębiorstw o liczbie pracujących 1</w:t>
      </w:r>
      <w:r w:rsidRPr="006B1976">
        <w:rPr>
          <w:rFonts w:eastAsia="Times New Roman" w:cs="Times New Roman"/>
          <w:szCs w:val="19"/>
          <w:lang w:eastAsia="pl-PL"/>
        </w:rPr>
        <w:t xml:space="preserve">0 i więcej osób prowadzących </w:t>
      </w:r>
      <w:r w:rsidR="00DD00CC">
        <w:rPr>
          <w:rFonts w:eastAsia="Times New Roman" w:cs="Times New Roman"/>
          <w:szCs w:val="19"/>
          <w:lang w:eastAsia="pl-PL"/>
        </w:rPr>
        <w:t xml:space="preserve">księgi rachunkowe wyniosły </w:t>
      </w:r>
      <w:r w:rsidR="00DD00CC" w:rsidRPr="00DD00CC">
        <w:rPr>
          <w:rFonts w:eastAsia="Times New Roman" w:cs="Times New Roman"/>
          <w:szCs w:val="19"/>
          <w:lang w:eastAsia="pl-PL"/>
        </w:rPr>
        <w:t>252,2</w:t>
      </w:r>
      <w:r w:rsidR="00EA182D">
        <w:rPr>
          <w:rFonts w:eastAsia="Times New Roman" w:cs="Times New Roman"/>
          <w:szCs w:val="19"/>
          <w:lang w:eastAsia="pl-PL"/>
        </w:rPr>
        <w:t xml:space="preserve"> mld zł. </w:t>
      </w:r>
      <w:r w:rsidR="00EA182D" w:rsidRPr="00EA182D">
        <w:rPr>
          <w:rFonts w:eastAsia="Times New Roman" w:cs="Times New Roman"/>
          <w:szCs w:val="19"/>
          <w:lang w:eastAsia="pl-PL"/>
        </w:rPr>
        <w:t xml:space="preserve">Przedsiębiorstwa duże, tj. o liczbie pracujących 250 </w:t>
      </w:r>
      <w:r w:rsidR="00FD3BE9">
        <w:rPr>
          <w:rFonts w:eastAsia="Times New Roman" w:cs="Times New Roman"/>
          <w:szCs w:val="19"/>
          <w:lang w:eastAsia="pl-PL"/>
        </w:rPr>
        <w:t>osób i więcej, zrealizowały 73,4</w:t>
      </w:r>
      <w:r w:rsidR="00EA182D" w:rsidRPr="00EA182D">
        <w:rPr>
          <w:rFonts w:eastAsia="Times New Roman" w:cs="Times New Roman"/>
          <w:szCs w:val="19"/>
          <w:lang w:eastAsia="pl-PL"/>
        </w:rPr>
        <w:t>% ogółu nakładów inwestycyjnych poniesionych przez badane przedsiębiorstwa o liczbie pracujących 10 osób i więcej</w:t>
      </w:r>
      <w:r w:rsidR="00B43D83">
        <w:rPr>
          <w:rFonts w:eastAsia="Times New Roman" w:cs="Times New Roman"/>
          <w:szCs w:val="19"/>
          <w:lang w:eastAsia="pl-PL"/>
        </w:rPr>
        <w:t>,</w:t>
      </w:r>
      <w:r w:rsidR="00EA182D">
        <w:rPr>
          <w:rFonts w:eastAsia="Times New Roman" w:cs="Times New Roman"/>
          <w:szCs w:val="19"/>
          <w:lang w:eastAsia="pl-PL"/>
        </w:rPr>
        <w:t xml:space="preserve"> </w:t>
      </w:r>
      <w:r w:rsidR="00B43D83">
        <w:rPr>
          <w:rFonts w:eastAsia="Times New Roman" w:cs="Times New Roman"/>
          <w:szCs w:val="19"/>
          <w:lang w:eastAsia="pl-PL"/>
        </w:rPr>
        <w:lastRenderedPageBreak/>
        <w:t>j</w:t>
      </w:r>
      <w:r w:rsidR="00EA182D" w:rsidRPr="00EA182D">
        <w:rPr>
          <w:rFonts w:eastAsia="Times New Roman" w:cs="Times New Roman"/>
          <w:szCs w:val="19"/>
          <w:lang w:eastAsia="pl-PL"/>
        </w:rPr>
        <w:t xml:space="preserve">ednostki średnie (o liczbie pracujących od 50 do 249 osób) </w:t>
      </w:r>
      <w:r w:rsidR="00B43D83">
        <w:rPr>
          <w:rFonts w:eastAsia="Times New Roman" w:cs="Times New Roman"/>
          <w:szCs w:val="19"/>
          <w:lang w:eastAsia="pl-PL"/>
        </w:rPr>
        <w:t>–</w:t>
      </w:r>
      <w:r w:rsidR="00D52728">
        <w:rPr>
          <w:rFonts w:eastAsia="Times New Roman" w:cs="Times New Roman"/>
          <w:szCs w:val="19"/>
          <w:lang w:eastAsia="pl-PL"/>
        </w:rPr>
        <w:t xml:space="preserve"> </w:t>
      </w:r>
      <w:r w:rsidR="00EA182D" w:rsidRPr="00EA182D">
        <w:rPr>
          <w:rFonts w:eastAsia="Times New Roman" w:cs="Times New Roman"/>
          <w:szCs w:val="19"/>
          <w:lang w:eastAsia="pl-PL"/>
        </w:rPr>
        <w:t>1</w:t>
      </w:r>
      <w:bookmarkStart w:id="0" w:name="_GoBack"/>
      <w:bookmarkEnd w:id="0"/>
      <w:r w:rsidR="00EA182D" w:rsidRPr="00EA182D">
        <w:rPr>
          <w:rFonts w:eastAsia="Times New Roman" w:cs="Times New Roman"/>
          <w:szCs w:val="19"/>
          <w:lang w:eastAsia="pl-PL"/>
        </w:rPr>
        <w:t>8,0%</w:t>
      </w:r>
      <w:r w:rsidR="00B43D83">
        <w:rPr>
          <w:rFonts w:eastAsia="Times New Roman" w:cs="Times New Roman"/>
          <w:szCs w:val="19"/>
          <w:lang w:eastAsia="pl-PL"/>
        </w:rPr>
        <w:t xml:space="preserve"> nakładów</w:t>
      </w:r>
      <w:r w:rsidR="00EA182D" w:rsidRPr="00EA182D">
        <w:rPr>
          <w:rFonts w:eastAsia="Times New Roman" w:cs="Times New Roman"/>
          <w:szCs w:val="19"/>
          <w:lang w:eastAsia="pl-PL"/>
        </w:rPr>
        <w:t>, a jednostki małe (o liczb</w:t>
      </w:r>
      <w:r w:rsidR="00FD3BE9">
        <w:rPr>
          <w:rFonts w:eastAsia="Times New Roman" w:cs="Times New Roman"/>
          <w:szCs w:val="19"/>
          <w:lang w:eastAsia="pl-PL"/>
        </w:rPr>
        <w:t>ie pracujących 10-49 osób) – 8,6</w:t>
      </w:r>
      <w:r w:rsidR="00EA182D" w:rsidRPr="00EA182D">
        <w:rPr>
          <w:rFonts w:eastAsia="Times New Roman" w:cs="Times New Roman"/>
          <w:szCs w:val="19"/>
          <w:lang w:eastAsia="pl-PL"/>
        </w:rPr>
        <w:t>%.</w:t>
      </w:r>
    </w:p>
    <w:p w14:paraId="593B6E12" w14:textId="35695F9D" w:rsidR="00F87422" w:rsidRDefault="005764E9" w:rsidP="00097009">
      <w:pPr>
        <w:pStyle w:val="LID"/>
        <w:contextualSpacing/>
      </w:pPr>
      <w:r w:rsidRPr="00553C9F">
        <w:t xml:space="preserve">Tablica 1. Podstawowe dane o badanych </w:t>
      </w:r>
      <w:r w:rsidR="004751DD">
        <w:t>przedsiębiorstwach w</w:t>
      </w:r>
      <w:r w:rsidR="008A1E3B">
        <w:t xml:space="preserve"> </w:t>
      </w:r>
      <w:r w:rsidR="005F3909">
        <w:t>2023</w:t>
      </w:r>
      <w:r w:rsidR="004751DD">
        <w:t xml:space="preserve"> roku</w:t>
      </w:r>
    </w:p>
    <w:p w14:paraId="7E45B5B3" w14:textId="77777777" w:rsidR="005A7261" w:rsidRPr="00097009" w:rsidRDefault="005A7261" w:rsidP="00097009">
      <w:pPr>
        <w:pStyle w:val="LID"/>
        <w:contextualSpacing/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5A7261" w:rsidRPr="005A7261" w14:paraId="3F149CDC" w14:textId="77777777" w:rsidTr="005A7261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E7CC1B" w14:textId="77777777" w:rsidR="005A7261" w:rsidRPr="005A7261" w:rsidRDefault="005A7261" w:rsidP="005A726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8E0EEA" w14:textId="77777777" w:rsidR="005A7261" w:rsidRPr="005A7261" w:rsidRDefault="005A7261" w:rsidP="005A726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BDED816" w14:textId="77777777" w:rsidR="005A7261" w:rsidRPr="005A7261" w:rsidRDefault="005A7261" w:rsidP="005A726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5A7261" w:rsidRPr="005A7261" w14:paraId="10AEC00B" w14:textId="77777777" w:rsidTr="005A7261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4D267BC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6E25988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91A621" w14:textId="77777777" w:rsidR="005A7261" w:rsidRPr="005A7261" w:rsidRDefault="005A7261" w:rsidP="005A726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10-49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9EECCC" w14:textId="77777777" w:rsidR="005A7261" w:rsidRPr="005A7261" w:rsidRDefault="005A7261" w:rsidP="005A726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5EF196A" w14:textId="77777777" w:rsidR="005A7261" w:rsidRPr="005A7261" w:rsidRDefault="005A7261" w:rsidP="005A726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5A7261" w:rsidRPr="005A7261" w14:paraId="64CAB004" w14:textId="77777777" w:rsidTr="005A726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0A12E1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831402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50 239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A37B7F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32 052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C5B132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14 275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02BA0F5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3 912</w:t>
            </w:r>
          </w:p>
        </w:tc>
      </w:tr>
      <w:tr w:rsidR="005A7261" w:rsidRPr="005A7261" w14:paraId="69A18BB7" w14:textId="77777777" w:rsidTr="005A726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ECF8190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AA51AD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5 647 981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60BFD96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728 894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0C55FB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1 526 677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54B6D00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3 392 410</w:t>
            </w:r>
          </w:p>
        </w:tc>
      </w:tr>
      <w:tr w:rsidR="005A7261" w:rsidRPr="005A7261" w14:paraId="787FDF28" w14:textId="77777777" w:rsidTr="005A726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79C8EA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C1DA640" w14:textId="77777777" w:rsidR="005A7261" w:rsidRPr="005A7261" w:rsidRDefault="005A7261" w:rsidP="005A726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5A7261" w:rsidRPr="005A7261" w14:paraId="2A755257" w14:textId="77777777" w:rsidTr="005A726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A0EFAD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179A4A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6 157 077,8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86C594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778 760,1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E56772F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1 508 655,0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6273DAA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3 869 662,6</w:t>
            </w:r>
          </w:p>
        </w:tc>
      </w:tr>
      <w:tr w:rsidR="005A7261" w:rsidRPr="005A7261" w14:paraId="479A7C47" w14:textId="77777777" w:rsidTr="005A7261">
        <w:trPr>
          <w:trHeight w:val="58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1E49431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160BAB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5 942 978,8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DCA804E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752 466,4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A8FA5E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1 457 883,9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999AD4E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3 732 628,5</w:t>
            </w:r>
          </w:p>
        </w:tc>
      </w:tr>
      <w:tr w:rsidR="005A7261" w:rsidRPr="005A7261" w14:paraId="0D03BB63" w14:textId="77777777" w:rsidTr="005A726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9E7BB3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FC3594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5 814 061,9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A04769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727 771,2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E0360D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1 414 464,7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B865F53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3 671 826,1</w:t>
            </w:r>
          </w:p>
        </w:tc>
      </w:tr>
      <w:tr w:rsidR="005A7261" w:rsidRPr="005A7261" w14:paraId="73AA08C0" w14:textId="77777777" w:rsidTr="005A7261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387C56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06D200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5 599 496,3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B30CE9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705 841,8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03285A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1 366 861,3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12FD925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3 526 793,2</w:t>
            </w:r>
          </w:p>
        </w:tc>
      </w:tr>
      <w:tr w:rsidR="005A7261" w:rsidRPr="005A7261" w14:paraId="2844CA6C" w14:textId="77777777" w:rsidTr="005A726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1EA350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6C0DC0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343 015,8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5868D8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50 988,9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BB2E78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94 190,4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CF258C7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197 836,6</w:t>
            </w:r>
          </w:p>
        </w:tc>
      </w:tr>
      <w:tr w:rsidR="005A7261" w:rsidRPr="005A7261" w14:paraId="035D64B7" w14:textId="77777777" w:rsidTr="005A726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165C16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D7A370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278 623,1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A5EBD0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43 766,6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544229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78 226,5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C7AF031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156 630,1</w:t>
            </w:r>
          </w:p>
        </w:tc>
      </w:tr>
      <w:tr w:rsidR="005A7261" w:rsidRPr="005A7261" w14:paraId="7FCD9797" w14:textId="77777777" w:rsidTr="005A7261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0ED7CF3" w14:textId="77777777" w:rsidR="005A7261" w:rsidRPr="005A7261" w:rsidRDefault="005A7261" w:rsidP="005A726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DF4029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252 171,7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AD1C1F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21 769,8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1C7FB7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45 422,1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C8100" w14:textId="77777777" w:rsidR="005A7261" w:rsidRPr="005A7261" w:rsidRDefault="005A7261" w:rsidP="005A726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A7261">
              <w:rPr>
                <w:rFonts w:eastAsia="Times New Roman" w:cs="Calibri"/>
                <w:color w:val="000000"/>
                <w:szCs w:val="19"/>
                <w:lang w:eastAsia="pl-PL"/>
              </w:rPr>
              <w:t>184 979,8</w:t>
            </w:r>
          </w:p>
        </w:tc>
      </w:tr>
    </w:tbl>
    <w:p w14:paraId="1D509FB6" w14:textId="30E2D0AB" w:rsidR="00F87422" w:rsidRPr="00D65C66" w:rsidRDefault="00F87422" w:rsidP="004F415B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2"/>
        </w:rPr>
      </w:pPr>
    </w:p>
    <w:p w14:paraId="4C5CACC4" w14:textId="453702CA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3C848B91" w14:textId="769CD12F" w:rsidR="00940B58" w:rsidRPr="00940B58" w:rsidRDefault="0034748D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36526BF" wp14:editId="364EE756">
                <wp:simplePos x="0" y="0"/>
                <wp:positionH relativeFrom="rightMargin">
                  <wp:posOffset>184785</wp:posOffset>
                </wp:positionH>
                <wp:positionV relativeFrom="paragraph">
                  <wp:posOffset>2096825</wp:posOffset>
                </wp:positionV>
                <wp:extent cx="1693545" cy="1224280"/>
                <wp:effectExtent l="0" t="0" r="0" b="0"/>
                <wp:wrapTight wrapText="bothSides">
                  <wp:wrapPolygon edited="0">
                    <wp:start x="729" y="0"/>
                    <wp:lineTo x="729" y="21174"/>
                    <wp:lineTo x="20652" y="21174"/>
                    <wp:lineTo x="20652" y="0"/>
                    <wp:lineTo x="729" y="0"/>
                  </wp:wrapPolygon>
                </wp:wrapTight>
                <wp:docPr id="15" name="Pole tekstowe 15" descr="Przychody ogółem przedsiębiorstw z przeważającym kapitałem zagranicznym wyniosły &#10;2 468,7 mld zł, a koszty ich uzyskania 2 351,5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06AF" w14:textId="40146A56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</w:t>
                            </w:r>
                            <w:r w:rsidR="00E23DD8">
                              <w:rPr>
                                <w:bCs w:val="0"/>
                              </w:rPr>
                              <w:t xml:space="preserve">em zagranicznym wyniosły </w:t>
                            </w:r>
                            <w:r w:rsidR="00E23DD8">
                              <w:rPr>
                                <w:bCs w:val="0"/>
                              </w:rPr>
                              <w:br/>
                              <w:t xml:space="preserve">2 </w:t>
                            </w:r>
                            <w:r w:rsidR="00E23DD8" w:rsidRPr="00E23DD8">
                              <w:rPr>
                                <w:bCs w:val="0"/>
                              </w:rPr>
                              <w:t>468,7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  <w:r w:rsidR="00E23DD8">
                              <w:rPr>
                                <w:bCs w:val="0"/>
                              </w:rPr>
                              <w:t xml:space="preserve">, a koszty ich uzyskania </w:t>
                            </w:r>
                            <w:r w:rsidR="00E23DD8" w:rsidRPr="00E23DD8">
                              <w:rPr>
                                <w:bCs w:val="0"/>
                              </w:rPr>
                              <w:t>2 351,5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26BF" id="Pole tekstowe 15" o:spid="_x0000_s1028" type="#_x0000_t202" alt="Przychody ogółem przedsiębiorstw z przeważającym kapitałem zagranicznym wyniosły &#10;2 468,7 mld zł, a koszty ich uzyskania 2 351,5 mld zł" style="position:absolute;margin-left:14.55pt;margin-top:165.1pt;width:133.3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" filled="f" stroked="f">
                <v:textbox>
                  <w:txbxContent>
                    <w:p w14:paraId="7D3A06AF" w14:textId="40146A56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</w:t>
                      </w:r>
                      <w:r w:rsidR="00E23DD8">
                        <w:rPr>
                          <w:bCs w:val="0"/>
                        </w:rPr>
                        <w:t xml:space="preserve">em zagranicznym wyniosły </w:t>
                      </w:r>
                      <w:r w:rsidR="00E23DD8">
                        <w:rPr>
                          <w:bCs w:val="0"/>
                        </w:rPr>
                        <w:br/>
                        <w:t xml:space="preserve">2 </w:t>
                      </w:r>
                      <w:r w:rsidR="00E23DD8" w:rsidRPr="00E23DD8">
                        <w:rPr>
                          <w:bCs w:val="0"/>
                        </w:rPr>
                        <w:t>468,7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  <w:r w:rsidR="00E23DD8">
                        <w:rPr>
                          <w:bCs w:val="0"/>
                        </w:rPr>
                        <w:t xml:space="preserve">, a koszty ich uzyskania </w:t>
                      </w:r>
                      <w:r w:rsidR="00E23DD8" w:rsidRPr="00E23DD8">
                        <w:rPr>
                          <w:bCs w:val="0"/>
                        </w:rPr>
                        <w:t>2 351,5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>W badanej zbiorowości przedsi</w:t>
      </w:r>
      <w:r w:rsidR="001A06C4">
        <w:rPr>
          <w:rFonts w:eastAsia="Times New Roman" w:cs="Times New Roman"/>
          <w:szCs w:val="19"/>
          <w:lang w:eastAsia="pl-PL"/>
        </w:rPr>
        <w:t xml:space="preserve">ębiorstw o liczbie </w:t>
      </w:r>
      <w:r w:rsidR="00B55011">
        <w:rPr>
          <w:rFonts w:eastAsia="Times New Roman" w:cs="Times New Roman"/>
          <w:szCs w:val="19"/>
          <w:lang w:eastAsia="pl-PL"/>
        </w:rPr>
        <w:t>pracujących 1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0 i więcej osób </w:t>
      </w:r>
      <w:r w:rsidR="001A06C4">
        <w:rPr>
          <w:rFonts w:eastAsia="Times New Roman" w:cs="Times New Roman"/>
          <w:szCs w:val="19"/>
          <w:lang w:eastAsia="pl-PL"/>
        </w:rPr>
        <w:t>prowadzących księgi rachunkowe</w:t>
      </w:r>
      <w:r w:rsidR="00B55011">
        <w:rPr>
          <w:rFonts w:eastAsia="Times New Roman" w:cs="Times New Roman"/>
          <w:szCs w:val="19"/>
          <w:lang w:eastAsia="pl-PL"/>
        </w:rPr>
        <w:t xml:space="preserve"> </w:t>
      </w:r>
      <w:r w:rsidR="00B55011" w:rsidRPr="00B55011">
        <w:rPr>
          <w:rFonts w:eastAsia="Times New Roman" w:cs="Times New Roman"/>
          <w:szCs w:val="19"/>
          <w:lang w:eastAsia="pl-PL"/>
        </w:rPr>
        <w:t>8 014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jednostek posiadało przeważający udział kapitału z</w:t>
      </w:r>
      <w:r w:rsidR="00B55011">
        <w:rPr>
          <w:rFonts w:eastAsia="Times New Roman" w:cs="Times New Roman"/>
          <w:szCs w:val="19"/>
          <w:lang w:eastAsia="pl-PL"/>
        </w:rPr>
        <w:t>agranicznego. Stanowiły one 16,0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 wszystkich badanych przedsiębiorstw. </w:t>
      </w:r>
      <w:r w:rsidR="004A419E">
        <w:rPr>
          <w:rFonts w:eastAsia="Times New Roman" w:cs="Times New Roman"/>
          <w:szCs w:val="19"/>
          <w:lang w:eastAsia="pl-PL"/>
        </w:rPr>
        <w:t>Wśród tych jednostek 43,6</w:t>
      </w:r>
      <w:r w:rsidR="004A419E" w:rsidRPr="004A419E">
        <w:rPr>
          <w:rFonts w:eastAsia="Times New Roman" w:cs="Times New Roman"/>
          <w:szCs w:val="19"/>
          <w:lang w:eastAsia="pl-PL"/>
        </w:rPr>
        <w:t>% stanowiły jednostki małe (o liczbie pracujących od 10 do 49 osób). Udział jednostek średnich (o liczbie pracujących</w:t>
      </w:r>
      <w:r w:rsidR="004A419E">
        <w:rPr>
          <w:rFonts w:eastAsia="Times New Roman" w:cs="Times New Roman"/>
          <w:szCs w:val="19"/>
          <w:lang w:eastAsia="pl-PL"/>
        </w:rPr>
        <w:t xml:space="preserve"> od 50 do 249 osób) wyniósł 36,1</w:t>
      </w:r>
      <w:r w:rsidR="004A419E" w:rsidRPr="004A419E">
        <w:rPr>
          <w:rFonts w:eastAsia="Times New Roman" w:cs="Times New Roman"/>
          <w:szCs w:val="19"/>
          <w:lang w:eastAsia="pl-PL"/>
        </w:rPr>
        <w:t>%, a jednostek dużych (o liczbie pracu</w:t>
      </w:r>
      <w:r w:rsidR="004A419E">
        <w:rPr>
          <w:rFonts w:eastAsia="Times New Roman" w:cs="Times New Roman"/>
          <w:szCs w:val="19"/>
          <w:lang w:eastAsia="pl-PL"/>
        </w:rPr>
        <w:t>jących 250 osób i więcej) – 20,3</w:t>
      </w:r>
      <w:r w:rsidR="004A419E" w:rsidRPr="004A419E">
        <w:rPr>
          <w:rFonts w:eastAsia="Times New Roman" w:cs="Times New Roman"/>
          <w:szCs w:val="19"/>
          <w:lang w:eastAsia="pl-PL"/>
        </w:rPr>
        <w:t>%.</w:t>
      </w:r>
      <w:r w:rsidR="004A419E">
        <w:rPr>
          <w:rFonts w:eastAsia="Times New Roman" w:cs="Times New Roman"/>
          <w:szCs w:val="19"/>
          <w:lang w:eastAsia="pl-PL"/>
        </w:rPr>
        <w:t xml:space="preserve"> Według stanu na 31 grudnia</w:t>
      </w:r>
      <w:r w:rsidR="00D369E7">
        <w:rPr>
          <w:rFonts w:eastAsia="Times New Roman" w:cs="Times New Roman"/>
          <w:szCs w:val="19"/>
          <w:lang w:eastAsia="pl-PL"/>
        </w:rPr>
        <w:t xml:space="preserve"> 202</w:t>
      </w:r>
      <w:r w:rsidR="009D47E3">
        <w:rPr>
          <w:rFonts w:eastAsia="Times New Roman" w:cs="Times New Roman"/>
          <w:szCs w:val="19"/>
          <w:lang w:eastAsia="pl-PL"/>
        </w:rPr>
        <w:t>3</w:t>
      </w:r>
      <w:r w:rsidR="00D369E7">
        <w:rPr>
          <w:rFonts w:eastAsia="Times New Roman" w:cs="Times New Roman"/>
          <w:szCs w:val="19"/>
          <w:lang w:eastAsia="pl-PL"/>
        </w:rPr>
        <w:t xml:space="preserve"> roku </w:t>
      </w:r>
      <w:r w:rsidR="00940B58" w:rsidRPr="00940B58">
        <w:rPr>
          <w:rFonts w:eastAsia="Times New Roman" w:cs="Times New Roman"/>
          <w:szCs w:val="19"/>
          <w:lang w:eastAsia="pl-PL"/>
        </w:rPr>
        <w:t>w przedsiębiorstwach z przeważającym udziałem kapitału zagranicznego obj</w:t>
      </w:r>
      <w:r w:rsidR="00D34CF8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D34CF8" w:rsidRPr="00D34CF8">
        <w:rPr>
          <w:rFonts w:eastAsia="Times New Roman" w:cs="Times New Roman"/>
          <w:szCs w:val="19"/>
          <w:lang w:eastAsia="pl-PL"/>
        </w:rPr>
        <w:t>2 033,3</w:t>
      </w:r>
      <w:r w:rsidR="00880241">
        <w:rPr>
          <w:rFonts w:eastAsia="Times New Roman" w:cs="Times New Roman"/>
          <w:szCs w:val="19"/>
          <w:lang w:eastAsia="pl-PL"/>
        </w:rPr>
        <w:t xml:space="preserve"> tys. osó</w:t>
      </w:r>
      <w:r w:rsidR="00D34CF8">
        <w:rPr>
          <w:rFonts w:eastAsia="Times New Roman" w:cs="Times New Roman"/>
          <w:szCs w:val="19"/>
          <w:lang w:eastAsia="pl-PL"/>
        </w:rPr>
        <w:t>b.</w:t>
      </w:r>
      <w:r w:rsidR="00880241">
        <w:rPr>
          <w:rFonts w:eastAsia="Times New Roman" w:cs="Times New Roman"/>
          <w:szCs w:val="19"/>
          <w:lang w:eastAsia="pl-PL"/>
        </w:rPr>
        <w:t xml:space="preserve"> </w:t>
      </w:r>
      <w:r w:rsidR="00D34CF8" w:rsidRPr="00D34CF8">
        <w:rPr>
          <w:rFonts w:eastAsia="Times New Roman" w:cs="Times New Roman"/>
          <w:szCs w:val="19"/>
          <w:lang w:eastAsia="pl-PL"/>
        </w:rPr>
        <w:t>W jednostkach małych o liczbie pracującyc</w:t>
      </w:r>
      <w:r w:rsidR="00D34CF8">
        <w:rPr>
          <w:rFonts w:eastAsia="Times New Roman" w:cs="Times New Roman"/>
          <w:szCs w:val="19"/>
          <w:lang w:eastAsia="pl-PL"/>
        </w:rPr>
        <w:t>h od 10 do 49 osób pracowało 4,4</w:t>
      </w:r>
      <w:r w:rsidR="00D34CF8" w:rsidRPr="00D34CF8">
        <w:rPr>
          <w:rFonts w:eastAsia="Times New Roman" w:cs="Times New Roman"/>
          <w:szCs w:val="19"/>
          <w:lang w:eastAsia="pl-PL"/>
        </w:rPr>
        <w:t>%, w śred</w:t>
      </w:r>
      <w:r w:rsidR="00D34CF8">
        <w:rPr>
          <w:rFonts w:eastAsia="Times New Roman" w:cs="Times New Roman"/>
          <w:szCs w:val="19"/>
          <w:lang w:eastAsia="pl-PL"/>
        </w:rPr>
        <w:t>nich (50-249 pracujących) – 17,1</w:t>
      </w:r>
      <w:r w:rsidR="00D34CF8" w:rsidRPr="00D34CF8">
        <w:rPr>
          <w:rFonts w:eastAsia="Times New Roman" w:cs="Times New Roman"/>
          <w:szCs w:val="19"/>
          <w:lang w:eastAsia="pl-PL"/>
        </w:rPr>
        <w:t>%, a w dużych (250 pracujących i więcej) – 78,5%.</w:t>
      </w:r>
      <w:r w:rsidR="00D34CF8">
        <w:rPr>
          <w:rFonts w:eastAsia="Times New Roman" w:cs="Times New Roman"/>
          <w:szCs w:val="19"/>
          <w:lang w:eastAsia="pl-PL"/>
        </w:rPr>
        <w:t xml:space="preserve"> </w:t>
      </w:r>
      <w:r w:rsidR="006508A2">
        <w:rPr>
          <w:rFonts w:eastAsia="Times New Roman" w:cs="Times New Roman"/>
          <w:szCs w:val="19"/>
          <w:lang w:eastAsia="pl-PL"/>
        </w:rPr>
        <w:t>Przeciętnie w przedsiębiorstwie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z przeważającym udziałem kapitału zagranicz</w:t>
      </w:r>
      <w:r w:rsidR="00442E58">
        <w:rPr>
          <w:rFonts w:eastAsia="Times New Roman" w:cs="Times New Roman"/>
          <w:szCs w:val="19"/>
          <w:lang w:eastAsia="pl-PL"/>
        </w:rPr>
        <w:t>n</w:t>
      </w:r>
      <w:r w:rsidR="005D6651">
        <w:rPr>
          <w:rFonts w:eastAsia="Times New Roman" w:cs="Times New Roman"/>
          <w:szCs w:val="19"/>
          <w:lang w:eastAsia="pl-PL"/>
        </w:rPr>
        <w:t>ego według sta</w:t>
      </w:r>
      <w:r w:rsidR="00F30AF4">
        <w:rPr>
          <w:rFonts w:eastAsia="Times New Roman" w:cs="Times New Roman"/>
          <w:szCs w:val="19"/>
          <w:lang w:eastAsia="pl-PL"/>
        </w:rPr>
        <w:t>nu na koniec 2023 roku pracowały</w:t>
      </w:r>
      <w:r w:rsidR="005D6651">
        <w:rPr>
          <w:rFonts w:eastAsia="Times New Roman" w:cs="Times New Roman"/>
          <w:szCs w:val="19"/>
          <w:lang w:eastAsia="pl-PL"/>
        </w:rPr>
        <w:t xml:space="preserve"> 254 osoby</w:t>
      </w:r>
      <w:r w:rsidR="00FB1731">
        <w:rPr>
          <w:rFonts w:eastAsia="Times New Roman" w:cs="Times New Roman"/>
          <w:szCs w:val="19"/>
          <w:lang w:eastAsia="pl-PL"/>
        </w:rPr>
        <w:t>, w pod</w:t>
      </w:r>
      <w:r w:rsidR="005D6651">
        <w:rPr>
          <w:rFonts w:eastAsia="Times New Roman" w:cs="Times New Roman"/>
          <w:szCs w:val="19"/>
          <w:lang w:eastAsia="pl-PL"/>
        </w:rPr>
        <w:t>miocie dużym – 981 osób</w:t>
      </w:r>
      <w:r w:rsidR="00FB1731">
        <w:rPr>
          <w:rFonts w:eastAsia="Times New Roman" w:cs="Times New Roman"/>
          <w:szCs w:val="19"/>
          <w:lang w:eastAsia="pl-PL"/>
        </w:rPr>
        <w:t>, w średnim – 120</w:t>
      </w:r>
      <w:r w:rsidR="00442E58">
        <w:rPr>
          <w:rFonts w:eastAsia="Times New Roman" w:cs="Times New Roman"/>
          <w:szCs w:val="19"/>
          <w:lang w:eastAsia="pl-PL"/>
        </w:rPr>
        <w:t xml:space="preserve"> osób</w:t>
      </w:r>
      <w:r w:rsidR="005D6651">
        <w:rPr>
          <w:rFonts w:eastAsia="Times New Roman" w:cs="Times New Roman"/>
          <w:szCs w:val="19"/>
          <w:lang w:eastAsia="pl-PL"/>
        </w:rPr>
        <w:t>, małym – 26 osób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. </w:t>
      </w:r>
    </w:p>
    <w:p w14:paraId="7BB355F7" w14:textId="24ECE760" w:rsidR="00940B58" w:rsidRPr="00940B58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B2D13">
        <w:rPr>
          <w:rFonts w:eastAsia="Times New Roman" w:cs="Times New Roman"/>
          <w:spacing w:val="-4"/>
          <w:szCs w:val="19"/>
          <w:lang w:eastAsia="pl-PL"/>
        </w:rPr>
        <w:t>Przychody ogółem t</w:t>
      </w:r>
      <w:r w:rsidR="00FB1731" w:rsidRPr="008B2D13">
        <w:rPr>
          <w:rFonts w:eastAsia="Times New Roman" w:cs="Times New Roman"/>
          <w:spacing w:val="-4"/>
          <w:szCs w:val="19"/>
          <w:lang w:eastAsia="pl-PL"/>
        </w:rPr>
        <w:t xml:space="preserve">ych podmiotów wyniosły </w:t>
      </w:r>
      <w:r w:rsidR="00F32756" w:rsidRPr="008B2D13">
        <w:rPr>
          <w:rFonts w:eastAsia="Times New Roman" w:cs="Times New Roman"/>
          <w:spacing w:val="-4"/>
          <w:szCs w:val="19"/>
          <w:lang w:eastAsia="pl-PL"/>
        </w:rPr>
        <w:t xml:space="preserve">2 468,7 </w:t>
      </w:r>
      <w:r w:rsidRPr="008B2D13">
        <w:rPr>
          <w:rFonts w:eastAsia="Times New Roman" w:cs="Times New Roman"/>
          <w:spacing w:val="-4"/>
          <w:szCs w:val="19"/>
          <w:lang w:eastAsia="pl-PL"/>
        </w:rPr>
        <w:t>mld zł, a koszt</w:t>
      </w:r>
      <w:r w:rsidR="00F32756" w:rsidRPr="008B2D13">
        <w:rPr>
          <w:rFonts w:eastAsia="Times New Roman" w:cs="Times New Roman"/>
          <w:spacing w:val="-4"/>
          <w:szCs w:val="19"/>
          <w:lang w:eastAsia="pl-PL"/>
        </w:rPr>
        <w:t>y ich uzyskania 2 351,5</w:t>
      </w:r>
      <w:r w:rsidRPr="008B2D13">
        <w:rPr>
          <w:rFonts w:eastAsia="Times New Roman" w:cs="Times New Roman"/>
          <w:spacing w:val="-4"/>
          <w:szCs w:val="19"/>
          <w:lang w:eastAsia="pl-PL"/>
        </w:rPr>
        <w:t xml:space="preserve"> mld zł.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940B58">
        <w:rPr>
          <w:rFonts w:eastAsia="Times New Roman" w:cs="Times New Roman"/>
          <w:szCs w:val="19"/>
          <w:lang w:eastAsia="pl-PL"/>
        </w:rPr>
        <w:t>Wynik finansowy brutto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 xml:space="preserve">granicznego w </w:t>
      </w:r>
      <w:r w:rsidR="00684B5B">
        <w:rPr>
          <w:rFonts w:eastAsia="Times New Roman" w:cs="Times New Roman"/>
          <w:szCs w:val="19"/>
          <w:lang w:eastAsia="pl-PL"/>
        </w:rPr>
        <w:t>2023</w:t>
      </w:r>
      <w:r>
        <w:rPr>
          <w:rFonts w:eastAsia="Times New Roman" w:cs="Times New Roman"/>
          <w:szCs w:val="19"/>
          <w:lang w:eastAsia="pl-PL"/>
        </w:rPr>
        <w:t xml:space="preserve"> roku wyniósł </w:t>
      </w:r>
      <w:r w:rsidR="00F32756" w:rsidRPr="00F32756">
        <w:rPr>
          <w:rFonts w:eastAsia="Times New Roman" w:cs="Times New Roman"/>
          <w:szCs w:val="19"/>
          <w:lang w:eastAsia="pl-PL"/>
        </w:rPr>
        <w:t>117,2</w:t>
      </w:r>
      <w:r w:rsidRPr="00940B58">
        <w:rPr>
          <w:rFonts w:eastAsia="Times New Roman" w:cs="Times New Roman"/>
          <w:szCs w:val="19"/>
          <w:lang w:eastAsia="pl-PL"/>
        </w:rPr>
        <w:t xml:space="preserve"> mld zł. Obowiązkowe obciążenia wyniku finansowego brutto uks</w:t>
      </w:r>
      <w:r>
        <w:rPr>
          <w:rFonts w:eastAsia="Times New Roman" w:cs="Times New Roman"/>
          <w:szCs w:val="19"/>
          <w:lang w:eastAsia="pl-PL"/>
        </w:rPr>
        <w:t xml:space="preserve">ztałtowały się na poziomie </w:t>
      </w:r>
      <w:r w:rsidR="00F32756">
        <w:rPr>
          <w:rFonts w:eastAsia="Times New Roman" w:cs="Times New Roman"/>
          <w:szCs w:val="19"/>
          <w:lang w:eastAsia="pl-PL"/>
        </w:rPr>
        <w:t>22,1</w:t>
      </w:r>
      <w:r w:rsidRPr="00940B58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>granicznego osiągnął poziom 95,1 mld zł i stanowił 34,1</w:t>
      </w:r>
      <w:r w:rsidRPr="00940B58">
        <w:rPr>
          <w:rFonts w:eastAsia="Times New Roman" w:cs="Times New Roman"/>
          <w:szCs w:val="19"/>
          <w:lang w:eastAsia="pl-PL"/>
        </w:rPr>
        <w:t>% wyniku finansowego nett</w:t>
      </w:r>
      <w:r>
        <w:rPr>
          <w:rFonts w:eastAsia="Times New Roman" w:cs="Times New Roman"/>
          <w:szCs w:val="19"/>
          <w:lang w:eastAsia="pl-PL"/>
        </w:rPr>
        <w:t xml:space="preserve">o wszystkich badanych podmiotów </w:t>
      </w:r>
      <w:r w:rsidRPr="00940B58">
        <w:rPr>
          <w:rFonts w:eastAsia="Times New Roman" w:cs="Times New Roman"/>
          <w:szCs w:val="19"/>
          <w:lang w:eastAsia="pl-PL"/>
        </w:rPr>
        <w:t>prowadzących księgi rachunkowe o liczbie pracuj</w:t>
      </w:r>
      <w:r w:rsidR="00F32756">
        <w:rPr>
          <w:rFonts w:eastAsia="Times New Roman" w:cs="Times New Roman"/>
          <w:szCs w:val="19"/>
          <w:lang w:eastAsia="pl-PL"/>
        </w:rPr>
        <w:t>ących 1</w:t>
      </w:r>
      <w:r w:rsidRPr="00940B58">
        <w:rPr>
          <w:rFonts w:eastAsia="Times New Roman" w:cs="Times New Roman"/>
          <w:szCs w:val="19"/>
          <w:lang w:eastAsia="pl-PL"/>
        </w:rPr>
        <w:t>0 i więcej osób.</w:t>
      </w:r>
    </w:p>
    <w:p w14:paraId="3017AAFE" w14:textId="19CB756B" w:rsidR="005764E9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Nakłady inwestycyjne ogółem badanych przedsiębiorstw z przeważającym udziałem kapitału zagranicznego w</w:t>
      </w:r>
      <w:r w:rsidR="00A3285F">
        <w:rPr>
          <w:rFonts w:eastAsia="Times New Roman" w:cs="Times New Roman"/>
          <w:szCs w:val="19"/>
          <w:lang w:eastAsia="pl-PL"/>
        </w:rPr>
        <w:t xml:space="preserve"> </w:t>
      </w:r>
      <w:r w:rsidR="00CF3E3E">
        <w:rPr>
          <w:rFonts w:eastAsia="Times New Roman" w:cs="Times New Roman"/>
          <w:szCs w:val="19"/>
          <w:lang w:eastAsia="pl-PL"/>
        </w:rPr>
        <w:t>2023 roku</w:t>
      </w:r>
      <w:r w:rsidR="004E0F47">
        <w:rPr>
          <w:rFonts w:eastAsia="Times New Roman" w:cs="Times New Roman"/>
          <w:szCs w:val="19"/>
          <w:lang w:eastAsia="pl-PL"/>
        </w:rPr>
        <w:t xml:space="preserve"> wyniosły </w:t>
      </w:r>
      <w:r w:rsidR="004E0F47" w:rsidRPr="004E0F47">
        <w:rPr>
          <w:rFonts w:eastAsia="Times New Roman" w:cs="Times New Roman"/>
          <w:szCs w:val="19"/>
          <w:lang w:eastAsia="pl-PL"/>
        </w:rPr>
        <w:t>92,2</w:t>
      </w:r>
      <w:r w:rsidR="00A3285F">
        <w:rPr>
          <w:rFonts w:eastAsia="Times New Roman" w:cs="Times New Roman"/>
          <w:szCs w:val="19"/>
          <w:lang w:eastAsia="pl-PL"/>
        </w:rPr>
        <w:t xml:space="preserve"> mld zł</w:t>
      </w:r>
      <w:r w:rsidR="004E0F47">
        <w:rPr>
          <w:rFonts w:eastAsia="Times New Roman" w:cs="Times New Roman"/>
          <w:szCs w:val="19"/>
          <w:lang w:eastAsia="pl-PL"/>
        </w:rPr>
        <w:t xml:space="preserve"> i stanowiły 36,6</w:t>
      </w:r>
      <w:r w:rsidRPr="00940B58">
        <w:rPr>
          <w:rFonts w:eastAsia="Times New Roman" w:cs="Times New Roman"/>
          <w:szCs w:val="19"/>
          <w:lang w:eastAsia="pl-PL"/>
        </w:rPr>
        <w:t>% nakładów inwestycyjnych ogółem badanych podmiotów prowadzących księgi ra</w:t>
      </w:r>
      <w:r w:rsidR="004E0F47">
        <w:rPr>
          <w:rFonts w:eastAsia="Times New Roman" w:cs="Times New Roman"/>
          <w:szCs w:val="19"/>
          <w:lang w:eastAsia="pl-PL"/>
        </w:rPr>
        <w:t>chunkowe o liczbie pracujących 1</w:t>
      </w:r>
      <w:r w:rsidRPr="00940B58">
        <w:rPr>
          <w:rFonts w:eastAsia="Times New Roman" w:cs="Times New Roman"/>
          <w:szCs w:val="19"/>
          <w:lang w:eastAsia="pl-PL"/>
        </w:rPr>
        <w:t xml:space="preserve">0 i więcej osób. </w:t>
      </w:r>
      <w:r w:rsidR="00CD532E" w:rsidRPr="00CD532E">
        <w:rPr>
          <w:rFonts w:eastAsia="Times New Roman" w:cs="Times New Roman"/>
          <w:szCs w:val="19"/>
          <w:lang w:eastAsia="pl-PL"/>
        </w:rPr>
        <w:t>Udział w nakładach jednostek dużych (o liczbie pracujących</w:t>
      </w:r>
      <w:r w:rsidR="00CD532E">
        <w:rPr>
          <w:rFonts w:eastAsia="Times New Roman" w:cs="Times New Roman"/>
          <w:szCs w:val="19"/>
          <w:lang w:eastAsia="pl-PL"/>
        </w:rPr>
        <w:t xml:space="preserve"> 250 osób i więcej) wyniósł 78,6</w:t>
      </w:r>
      <w:r w:rsidR="00CD532E" w:rsidRPr="00CD532E">
        <w:rPr>
          <w:rFonts w:eastAsia="Times New Roman" w:cs="Times New Roman"/>
          <w:szCs w:val="19"/>
          <w:lang w:eastAsia="pl-PL"/>
        </w:rPr>
        <w:t>%, jednostek średnich (o liczbie pracu</w:t>
      </w:r>
      <w:r w:rsidR="00CD532E">
        <w:rPr>
          <w:rFonts w:eastAsia="Times New Roman" w:cs="Times New Roman"/>
          <w:szCs w:val="19"/>
          <w:lang w:eastAsia="pl-PL"/>
        </w:rPr>
        <w:t>jących od 50 do 249 osób) – 15,4</w:t>
      </w:r>
      <w:r w:rsidR="00CD532E" w:rsidRPr="00CD532E">
        <w:rPr>
          <w:rFonts w:eastAsia="Times New Roman" w:cs="Times New Roman"/>
          <w:szCs w:val="19"/>
          <w:lang w:eastAsia="pl-PL"/>
        </w:rPr>
        <w:t>%, a jednostek małych (o liczbie pra</w:t>
      </w:r>
      <w:r w:rsidR="00CD532E">
        <w:rPr>
          <w:rFonts w:eastAsia="Times New Roman" w:cs="Times New Roman"/>
          <w:szCs w:val="19"/>
          <w:lang w:eastAsia="pl-PL"/>
        </w:rPr>
        <w:t>cujących od 10 do 49 osób) – 6,0</w:t>
      </w:r>
      <w:r w:rsidR="00CD532E" w:rsidRPr="00CD532E">
        <w:rPr>
          <w:rFonts w:eastAsia="Times New Roman" w:cs="Times New Roman"/>
          <w:szCs w:val="19"/>
          <w:lang w:eastAsia="pl-PL"/>
        </w:rPr>
        <w:t>%.</w:t>
      </w:r>
    </w:p>
    <w:p w14:paraId="2B842B46" w14:textId="5FA0A448" w:rsidR="00D65C66" w:rsidRPr="00EF15FA" w:rsidRDefault="004751DD" w:rsidP="00EF15FA">
      <w:pPr>
        <w:pStyle w:val="LID"/>
        <w:contextualSpacing/>
      </w:pPr>
      <w:r>
        <w:lastRenderedPageBreak/>
        <w:t xml:space="preserve">Tablica 2. </w:t>
      </w:r>
      <w:r w:rsidRPr="004751DD">
        <w:t xml:space="preserve">Podstawowe dane o badanych przedsiębiorstwach z przeważającym udziałem kapitału zagranicznego w </w:t>
      </w:r>
      <w:r w:rsidR="005F3909">
        <w:t>2023</w:t>
      </w:r>
      <w:r w:rsidRPr="004751DD">
        <w:t xml:space="preserve"> roku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9E5346" w:rsidRPr="009E5346" w14:paraId="5C37FA99" w14:textId="77777777" w:rsidTr="009E5346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7D74A1" w14:textId="77777777" w:rsidR="009E5346" w:rsidRPr="009E5346" w:rsidRDefault="009E5346" w:rsidP="009E53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F017BB" w14:textId="77777777" w:rsidR="009E5346" w:rsidRPr="009E5346" w:rsidRDefault="009E5346" w:rsidP="009E53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8CB5991" w14:textId="77777777" w:rsidR="009E5346" w:rsidRPr="009E5346" w:rsidRDefault="009E5346" w:rsidP="009E53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9E5346" w:rsidRPr="009E5346" w14:paraId="3B13395A" w14:textId="77777777" w:rsidTr="009E5346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A95A123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953A897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775968" w14:textId="77777777" w:rsidR="009E5346" w:rsidRPr="009E5346" w:rsidRDefault="009E5346" w:rsidP="009E53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10-49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2ADDF99" w14:textId="77777777" w:rsidR="009E5346" w:rsidRPr="009E5346" w:rsidRDefault="009E5346" w:rsidP="009E53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367AAE1" w14:textId="77777777" w:rsidR="009E5346" w:rsidRPr="009E5346" w:rsidRDefault="009E5346" w:rsidP="009E53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9E5346" w:rsidRPr="009E5346" w14:paraId="2BB675BC" w14:textId="77777777" w:rsidTr="009E534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8C13B3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DCAA57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8 014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7FD698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3 496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588353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2 891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4B2D588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1 627</w:t>
            </w:r>
          </w:p>
        </w:tc>
      </w:tr>
      <w:tr w:rsidR="009E5346" w:rsidRPr="009E5346" w14:paraId="10AF8AE1" w14:textId="77777777" w:rsidTr="009E534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CF7109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302189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2 033 317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83789B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89 377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B6CB79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347 346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4A8897E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1 596 594</w:t>
            </w:r>
          </w:p>
        </w:tc>
      </w:tr>
      <w:tr w:rsidR="009E5346" w:rsidRPr="009E5346" w14:paraId="67535272" w14:textId="77777777" w:rsidTr="009E534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96FA6FD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B661C2B" w14:textId="77777777" w:rsidR="009E5346" w:rsidRPr="009E5346" w:rsidRDefault="009E5346" w:rsidP="009E53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9E5346" w:rsidRPr="009E5346" w14:paraId="68BDC2F9" w14:textId="77777777" w:rsidTr="009E534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8EBB6E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B92089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2 468 677,4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21FCBE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175 876,1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E9CEC0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542 907,8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7AD91C3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1 749 893,6</w:t>
            </w:r>
          </w:p>
        </w:tc>
      </w:tr>
      <w:tr w:rsidR="009E5346" w:rsidRPr="009E5346" w14:paraId="770F2708" w14:textId="77777777" w:rsidTr="009E5346">
        <w:trPr>
          <w:trHeight w:val="570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EDC231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3FB5AF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2 384 438,3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29B2EB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167 066,4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C1D1FD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522 582,6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5A1B0FA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1 694 789,3</w:t>
            </w:r>
          </w:p>
        </w:tc>
      </w:tr>
      <w:tr w:rsidR="009E5346" w:rsidRPr="009E5346" w14:paraId="06EDF3EE" w14:textId="77777777" w:rsidTr="009E534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59514C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909FF5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2 351 525,9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55618E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166 283,3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8C5F79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515 180,7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D378B75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1 670 061,9</w:t>
            </w:r>
          </w:p>
        </w:tc>
      </w:tr>
      <w:tr w:rsidR="009E5346" w:rsidRPr="009E5346" w14:paraId="5DF69375" w14:textId="77777777" w:rsidTr="009E5346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1B39EA4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2D9E7BA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2 268 950,9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9B7EA5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158 293,7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566300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496 032,0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120AF6D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1 614 625,2</w:t>
            </w:r>
          </w:p>
        </w:tc>
      </w:tr>
      <w:tr w:rsidR="009E5346" w:rsidRPr="009E5346" w14:paraId="79F1EF93" w14:textId="77777777" w:rsidTr="009E534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783C572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3A98D4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117 151,5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05E4DD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9 592,8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29E932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27 727,0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FE4071E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79 831,7</w:t>
            </w:r>
          </w:p>
        </w:tc>
      </w:tr>
      <w:tr w:rsidR="009E5346" w:rsidRPr="009E5346" w14:paraId="017B6E1C" w14:textId="77777777" w:rsidTr="009E534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80C6E6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5B3FFE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95 065,1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BB2D654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7 711,5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D5334D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22 705,8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C1DE232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64 647,8</w:t>
            </w:r>
          </w:p>
        </w:tc>
      </w:tr>
      <w:tr w:rsidR="009E5346" w:rsidRPr="009E5346" w14:paraId="230481BF" w14:textId="77777777" w:rsidTr="009E534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3BE8C2" w14:textId="77777777" w:rsidR="009E5346" w:rsidRPr="009E5346" w:rsidRDefault="009E5346" w:rsidP="009E5346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5D4A58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92 221,7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F9FEB1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5 523,1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AC9549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14 239,8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7C1D9" w14:textId="77777777" w:rsidR="009E5346" w:rsidRPr="009E5346" w:rsidRDefault="009E5346" w:rsidP="009E534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E5346">
              <w:rPr>
                <w:rFonts w:eastAsia="Times New Roman" w:cs="Calibri"/>
                <w:color w:val="000000"/>
                <w:szCs w:val="19"/>
                <w:lang w:eastAsia="pl-PL"/>
              </w:rPr>
              <w:t>72 458,9</w:t>
            </w:r>
          </w:p>
        </w:tc>
      </w:tr>
    </w:tbl>
    <w:p w14:paraId="4AD9D4BB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21C2E08E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4C2D5A2A" w14:textId="2DDF4011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spółki osobowe, spółki kapitałowe, spółki cywilne prowadzące działalność na podstawie umowy zawartej zgodnie z ustawą z dnia 23 kwietnia 1964 r. – Kodeks cywilny (Dz. U. z 202</w:t>
      </w:r>
      <w:r w:rsidR="005D2CBB">
        <w:rPr>
          <w:color w:val="000000"/>
          <w:szCs w:val="19"/>
        </w:rPr>
        <w:t>3</w:t>
      </w:r>
      <w:r w:rsidRPr="00A47272">
        <w:rPr>
          <w:color w:val="000000"/>
          <w:szCs w:val="19"/>
        </w:rPr>
        <w:t xml:space="preserve"> </w:t>
      </w:r>
      <w:r w:rsidR="00FF7F15">
        <w:rPr>
          <w:color w:val="000000"/>
          <w:szCs w:val="19"/>
        </w:rPr>
        <w:t xml:space="preserve">r. </w:t>
      </w:r>
      <w:r w:rsidRPr="00A47272">
        <w:rPr>
          <w:color w:val="000000"/>
          <w:szCs w:val="19"/>
        </w:rPr>
        <w:t>poz. 1</w:t>
      </w:r>
      <w:r w:rsidR="005D2CBB">
        <w:rPr>
          <w:color w:val="000000"/>
          <w:szCs w:val="19"/>
        </w:rPr>
        <w:t>610</w:t>
      </w:r>
      <w:r w:rsidRPr="00A47272">
        <w:rPr>
          <w:color w:val="000000"/>
          <w:szCs w:val="19"/>
        </w:rPr>
        <w:t>), spółki przewidziane w przepisach innych ustaw niż ustawa z dnia 15 września 2000 r. – Kodeks spółek handlowych (Dz. U. z 202</w:t>
      </w:r>
      <w:r w:rsidR="00FF7F1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r. poz. 1</w:t>
      </w:r>
      <w:r w:rsidR="00FF7F15">
        <w:rPr>
          <w:color w:val="000000"/>
          <w:szCs w:val="19"/>
        </w:rPr>
        <w:t>8</w:t>
      </w:r>
      <w:r w:rsidRPr="00A47272">
        <w:rPr>
          <w:color w:val="000000"/>
          <w:szCs w:val="19"/>
        </w:rPr>
        <w:t xml:space="preserve">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2E8C80A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374EE5C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8D0C07B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2B751556" w14:textId="065F460A" w:rsidR="00B74F14" w:rsidRPr="000E710B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45C0583D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7F05E762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208AA8E5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lastRenderedPageBreak/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27E0A46" w14:textId="77777777" w:rsidR="00B74F14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7297FB04" w14:textId="11EEBDFD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</w:p>
    <w:p w14:paraId="4B85CAE7" w14:textId="0C47DA92" w:rsidR="00B74F14" w:rsidRPr="00114B3A" w:rsidRDefault="00B74F14" w:rsidP="009A4698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formularzu F-01/I-01</w:t>
      </w:r>
      <w:r w:rsidR="00934534">
        <w:rPr>
          <w:b/>
          <w:szCs w:val="19"/>
        </w:rPr>
        <w:t>,</w:t>
      </w:r>
      <w:r>
        <w:rPr>
          <w:b/>
          <w:szCs w:val="19"/>
        </w:rPr>
        <w:t xml:space="preserve"> </w:t>
      </w:r>
      <w:r w:rsidRPr="00114B3A">
        <w:rPr>
          <w:b/>
          <w:szCs w:val="19"/>
        </w:rPr>
        <w:t>według poniższych przekrojów:</w:t>
      </w:r>
    </w:p>
    <w:p w14:paraId="66C5E2E5" w14:textId="77777777" w:rsidR="00B74F14" w:rsidRPr="00163865" w:rsidRDefault="00B74F14" w:rsidP="009A4698">
      <w:pPr>
        <w:pStyle w:val="NormalnyWeb"/>
        <w:spacing w:before="0" w:beforeAutospacing="0" w:after="120" w:afterAutospacing="0"/>
        <w:contextualSpacing/>
        <w:rPr>
          <w:rStyle w:val="Pogrubienie"/>
          <w:rFonts w:ascii="Fira Sans" w:hAnsi="Fira Sans" w:cs="Arial"/>
          <w:bCs w:val="0"/>
          <w:color w:val="222222"/>
          <w:sz w:val="19"/>
          <w:szCs w:val="19"/>
        </w:rPr>
      </w:pPr>
    </w:p>
    <w:p w14:paraId="509E695F" w14:textId="434EBA39" w:rsidR="00B74F14" w:rsidRPr="00482AB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color w:val="222222"/>
          <w:sz w:val="19"/>
          <w:szCs w:val="19"/>
        </w:rPr>
      </w:pPr>
      <w:r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Dla przedsiębiorstw o liczbie pracujących 10 i więcej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półroczne (narastająco)</w:t>
      </w:r>
      <w:r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683D36DA" w14:textId="1B41F722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0F6E452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145EC71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1308E832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57C07F0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ED650F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252C27" w14:textId="712D1236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 xml:space="preserve">przedsiębiorstwa </w:t>
      </w:r>
      <w:r w:rsidR="005E5818">
        <w:rPr>
          <w:rFonts w:ascii="Fira Sans" w:hAnsi="Fira Sans" w:cs="Arial"/>
          <w:color w:val="222222"/>
          <w:sz w:val="19"/>
          <w:szCs w:val="19"/>
        </w:rPr>
        <w:t>wykazujące zakupy z importu.</w:t>
      </w:r>
    </w:p>
    <w:p w14:paraId="221BD319" w14:textId="5C6C9405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b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</w:t>
      </w:r>
      <w:r w:rsidR="00482AB2">
        <w:rPr>
          <w:rFonts w:ascii="Fira Sans" w:hAnsi="Fira Sans" w:cs="Arial"/>
          <w:b/>
          <w:color w:val="222222"/>
          <w:sz w:val="19"/>
          <w:szCs w:val="19"/>
        </w:rPr>
        <w:t xml:space="preserve">stw o liczbie pracujących 10-49 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półroczne (narastająco)</w:t>
      </w:r>
      <w:r w:rsidR="00482AB2"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207E3489" w14:textId="6BB57D56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24B2261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616B19C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64C93C6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171E92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ADEB8B7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3943A694" w14:textId="22155C3F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</w:t>
      </w:r>
      <w:r w:rsidR="005E5818">
        <w:rPr>
          <w:rFonts w:ascii="Fira Sans" w:hAnsi="Fira Sans" w:cs="Arial"/>
          <w:color w:val="222222"/>
          <w:sz w:val="19"/>
          <w:szCs w:val="19"/>
        </w:rPr>
        <w:t>twa wykazujące zakupy z importu.</w:t>
      </w:r>
    </w:p>
    <w:p w14:paraId="735A42A5" w14:textId="1F0124C3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przedsiębiorstw o liczbie pracujących 50 i więcej</w:t>
      </w:r>
      <w:r w:rsidR="00482AB2">
        <w:rPr>
          <w:rFonts w:ascii="Fira Sans" w:hAnsi="Fira Sans" w:cs="Arial"/>
          <w:color w:val="222222"/>
          <w:sz w:val="19"/>
          <w:szCs w:val="19"/>
        </w:rPr>
        <w:t xml:space="preserve"> 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– </w:t>
      </w:r>
      <w:r w:rsidR="00482AB2" w:rsidRPr="00482AB2">
        <w:rPr>
          <w:rStyle w:val="Pogrubienie"/>
          <w:rFonts w:ascii="Fira Sans" w:hAnsi="Fira Sans" w:cs="Arial"/>
          <w:color w:val="222222"/>
          <w:sz w:val="19"/>
          <w:szCs w:val="19"/>
        </w:rPr>
        <w:t>dane dostępne za</w:t>
      </w:r>
      <w:r w:rsidR="00482AB2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 okresy kwartalne (narastająco)</w:t>
      </w:r>
      <w:r w:rsidR="00482AB2"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:</w:t>
      </w:r>
    </w:p>
    <w:p w14:paraId="68BBADB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sekcji, działów, grup i klas PKD,</w:t>
      </w:r>
    </w:p>
    <w:p w14:paraId="03038C5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3A2A9C3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0FB720C8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7F71516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394BBCF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klas wielkości,</w:t>
      </w:r>
    </w:p>
    <w:p w14:paraId="299D61EB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 własności według klas wielkości,</w:t>
      </w:r>
    </w:p>
    <w:p w14:paraId="15C23676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klas wielkości,</w:t>
      </w:r>
    </w:p>
    <w:p w14:paraId="56B008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eksporterzy i importerzy według klas wielkości,</w:t>
      </w:r>
    </w:p>
    <w:p w14:paraId="3A3AB3EF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15A260" w14:textId="52D6A1EC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klasy wielkości (50-249 oraz 250 i więcej pracujących) według sekcji i działów PKD</w:t>
      </w:r>
      <w:r w:rsidR="00351A51">
        <w:rPr>
          <w:rFonts w:ascii="Fira Sans" w:hAnsi="Fira Sans" w:cs="Arial"/>
          <w:color w:val="222222"/>
          <w:sz w:val="19"/>
          <w:szCs w:val="19"/>
        </w:rPr>
        <w:t>.</w:t>
      </w:r>
    </w:p>
    <w:p w14:paraId="6BC12BCD" w14:textId="46225194" w:rsidR="00B74F14" w:rsidRPr="00114B3A" w:rsidRDefault="008056E7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</w:rPr>
      </w:pPr>
      <w:r>
        <w:rPr>
          <w:rFonts w:cs="MyriadPro-Regular"/>
          <w:szCs w:val="19"/>
        </w:rPr>
        <w:t>Trwają prace nad przygotowaniem</w:t>
      </w:r>
      <w:r w:rsidR="00B74F14" w:rsidRPr="00114B3A">
        <w:rPr>
          <w:rFonts w:cs="MyriadPro-Regular"/>
          <w:szCs w:val="19"/>
        </w:rPr>
        <w:t xml:space="preserve"> powyższego zestawu danych w formacie </w:t>
      </w:r>
      <w:proofErr w:type="spellStart"/>
      <w:r w:rsidR="00B74F14" w:rsidRPr="00114B3A">
        <w:rPr>
          <w:rFonts w:cs="MyriadPro-Regular"/>
          <w:szCs w:val="19"/>
        </w:rPr>
        <w:t>csv</w:t>
      </w:r>
      <w:proofErr w:type="spellEnd"/>
      <w:r w:rsidR="00B74F14" w:rsidRPr="00114B3A">
        <w:rPr>
          <w:rFonts w:cs="MyriadPro-Regular"/>
          <w:szCs w:val="19"/>
        </w:rPr>
        <w:t>.</w:t>
      </w:r>
    </w:p>
    <w:p w14:paraId="6CBA5A4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4426F525" w14:textId="77777777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259756B3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39E5C4B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8F8CD86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CB7F13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16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6B79CFA1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63ADD4DF" w:rsidR="00DE2400" w:rsidRDefault="004C50D9" w:rsidP="004C50D9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423E5C2" wp14:editId="245A00B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8EF850F" w14:textId="77777777" w:rsidR="00EF5525" w:rsidRDefault="00EF5525" w:rsidP="00EF5525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17D0935A" w14:textId="3B7B3F49" w:rsidR="00EF5525" w:rsidRPr="00256A0B" w:rsidRDefault="00B43D83" w:rsidP="00EF5525">
            <w:pPr>
              <w:rPr>
                <w:rFonts w:cs="Arial"/>
                <w:color w:val="0000FF"/>
                <w:sz w:val="18"/>
                <w:szCs w:val="18"/>
                <w:u w:val="single"/>
                <w:shd w:val="clear" w:color="auto" w:fill="F0F0F0"/>
              </w:rPr>
            </w:pPr>
            <w:hyperlink r:id="rId23" w:tooltip="Informacje sygnalne. Wyniki finansowe przedsiębiorstw" w:history="1">
              <w:r w:rsidR="00EF5525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B43D83" w:rsidP="008223FC">
            <w:pPr>
              <w:rPr>
                <w:color w:val="0000FF"/>
                <w:sz w:val="18"/>
                <w:szCs w:val="18"/>
              </w:rPr>
            </w:pPr>
            <w:hyperlink r:id="rId24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5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B43D83" w:rsidP="00F93103">
            <w:pPr>
              <w:rPr>
                <w:sz w:val="18"/>
                <w:szCs w:val="18"/>
              </w:rPr>
            </w:pPr>
            <w:hyperlink r:id="rId26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B43D83" w:rsidP="00F93103">
            <w:pPr>
              <w:rPr>
                <w:sz w:val="18"/>
                <w:szCs w:val="18"/>
              </w:rPr>
            </w:pPr>
            <w:hyperlink r:id="rId27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B43D83" w:rsidP="00F93103">
            <w:pPr>
              <w:rPr>
                <w:sz w:val="18"/>
                <w:szCs w:val="18"/>
              </w:rPr>
            </w:pPr>
            <w:hyperlink r:id="rId28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B43D83" w:rsidP="00F93103">
            <w:pPr>
              <w:rPr>
                <w:sz w:val="18"/>
                <w:szCs w:val="18"/>
              </w:rPr>
            </w:pPr>
            <w:hyperlink r:id="rId29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B43D83" w:rsidP="00F93103">
            <w:pPr>
              <w:rPr>
                <w:sz w:val="18"/>
                <w:szCs w:val="18"/>
              </w:rPr>
            </w:pPr>
            <w:hyperlink r:id="rId30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B43D83" w:rsidP="00F93103">
            <w:pPr>
              <w:rPr>
                <w:sz w:val="18"/>
                <w:szCs w:val="18"/>
              </w:rPr>
            </w:pPr>
            <w:hyperlink r:id="rId31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B43D83" w:rsidP="00F93103">
            <w:pPr>
              <w:rPr>
                <w:sz w:val="18"/>
                <w:szCs w:val="18"/>
              </w:rPr>
            </w:pPr>
            <w:hyperlink r:id="rId32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96AAF" w14:textId="77777777" w:rsidR="004038FC" w:rsidRDefault="004038FC" w:rsidP="000662E2">
      <w:pPr>
        <w:spacing w:after="0" w:line="240" w:lineRule="auto"/>
      </w:pPr>
      <w:r>
        <w:separator/>
      </w:r>
    </w:p>
  </w:endnote>
  <w:endnote w:type="continuationSeparator" w:id="0">
    <w:p w14:paraId="6B64D31C" w14:textId="77777777" w:rsidR="004038FC" w:rsidRDefault="004038F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D1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D1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D1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E62F2" w14:textId="77777777" w:rsidR="004038FC" w:rsidRDefault="004038FC" w:rsidP="000662E2">
      <w:pPr>
        <w:spacing w:after="0" w:line="240" w:lineRule="auto"/>
      </w:pPr>
      <w:r>
        <w:separator/>
      </w:r>
    </w:p>
  </w:footnote>
  <w:footnote w:type="continuationSeparator" w:id="0">
    <w:p w14:paraId="5C099B5B" w14:textId="77777777" w:rsidR="004038FC" w:rsidRDefault="004038FC" w:rsidP="000662E2">
      <w:pPr>
        <w:spacing w:after="0" w:line="240" w:lineRule="auto"/>
      </w:pPr>
      <w:r>
        <w:continuationSeparator/>
      </w:r>
    </w:p>
  </w:footnote>
  <w:footnote w:id="1">
    <w:p w14:paraId="70A2B909" w14:textId="566885E3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PKD’2007 objętych badaniem według zestawu danych F-01/I-01 (opis metodologii na str. 3).</w:t>
      </w:r>
    </w:p>
  </w:footnote>
  <w:footnote w:id="2">
    <w:p w14:paraId="6A72DF24" w14:textId="0EABBD14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CF3E3E">
        <w:rPr>
          <w:sz w:val="16"/>
          <w:szCs w:val="16"/>
        </w:rPr>
        <w:t xml:space="preserve"> z kapitałem zagranicznym w 2022</w:t>
      </w:r>
      <w:r w:rsidRPr="007D71D5">
        <w:rPr>
          <w:sz w:val="16"/>
          <w:szCs w:val="16"/>
        </w:rPr>
        <w:t xml:space="preserve"> r</w:t>
      </w:r>
      <w:r w:rsidR="001A381A">
        <w:rPr>
          <w:sz w:val="16"/>
          <w:szCs w:val="16"/>
        </w:rPr>
        <w:t>oku</w:t>
      </w:r>
      <w:r w:rsidRPr="007D71D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057488A4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54F98E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8.04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083B98D" w:rsidR="00F37172" w:rsidRPr="00A01B40" w:rsidRDefault="00252876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18366D">
                            <w:t>8</w:t>
                          </w:r>
                          <w:r w:rsidR="00930F57">
                            <w:t>.04.2024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8.04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PGDut0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6083B98D" w:rsidR="00F37172" w:rsidRPr="00A01B40" w:rsidRDefault="00252876" w:rsidP="00F049AB">
                    <w:pPr>
                      <w:pStyle w:val="Datainformacjisygnalnej"/>
                    </w:pPr>
                    <w:r>
                      <w:t>1</w:t>
                    </w:r>
                    <w:r w:rsidR="0018366D">
                      <w:t>8</w:t>
                    </w:r>
                    <w:r w:rsidR="00930F57">
                      <w:t>.04.2024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4pt;height:125.25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6AC"/>
    <w:rsid w:val="000108B8"/>
    <w:rsid w:val="000152F5"/>
    <w:rsid w:val="000171CF"/>
    <w:rsid w:val="00022056"/>
    <w:rsid w:val="00023F4D"/>
    <w:rsid w:val="00030250"/>
    <w:rsid w:val="00031E11"/>
    <w:rsid w:val="0004582E"/>
    <w:rsid w:val="000470AA"/>
    <w:rsid w:val="00051907"/>
    <w:rsid w:val="0005298A"/>
    <w:rsid w:val="000547D4"/>
    <w:rsid w:val="00057CA1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759"/>
    <w:rsid w:val="00077EE1"/>
    <w:rsid w:val="000806F7"/>
    <w:rsid w:val="00090180"/>
    <w:rsid w:val="0009551C"/>
    <w:rsid w:val="00097009"/>
    <w:rsid w:val="00097840"/>
    <w:rsid w:val="000A7803"/>
    <w:rsid w:val="000B0727"/>
    <w:rsid w:val="000B1E93"/>
    <w:rsid w:val="000B2172"/>
    <w:rsid w:val="000B56F8"/>
    <w:rsid w:val="000C135D"/>
    <w:rsid w:val="000C5021"/>
    <w:rsid w:val="000C6B65"/>
    <w:rsid w:val="000C78F5"/>
    <w:rsid w:val="000D1D43"/>
    <w:rsid w:val="000D225C"/>
    <w:rsid w:val="000D2A5C"/>
    <w:rsid w:val="000D39F0"/>
    <w:rsid w:val="000D4670"/>
    <w:rsid w:val="000E0342"/>
    <w:rsid w:val="000E0918"/>
    <w:rsid w:val="000E5B25"/>
    <w:rsid w:val="000E69E2"/>
    <w:rsid w:val="000E70A9"/>
    <w:rsid w:val="000E79A9"/>
    <w:rsid w:val="000F1D9C"/>
    <w:rsid w:val="001011C3"/>
    <w:rsid w:val="00103124"/>
    <w:rsid w:val="00106258"/>
    <w:rsid w:val="00106DA3"/>
    <w:rsid w:val="00110214"/>
    <w:rsid w:val="00110D87"/>
    <w:rsid w:val="00112263"/>
    <w:rsid w:val="00112399"/>
    <w:rsid w:val="00114DB9"/>
    <w:rsid w:val="00116087"/>
    <w:rsid w:val="00116351"/>
    <w:rsid w:val="00117711"/>
    <w:rsid w:val="00122587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2FDE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5A8D"/>
    <w:rsid w:val="00165DE0"/>
    <w:rsid w:val="00167276"/>
    <w:rsid w:val="00167C3B"/>
    <w:rsid w:val="00173373"/>
    <w:rsid w:val="0017650A"/>
    <w:rsid w:val="0018366D"/>
    <w:rsid w:val="00183E9E"/>
    <w:rsid w:val="001951DA"/>
    <w:rsid w:val="00196F4E"/>
    <w:rsid w:val="0019780D"/>
    <w:rsid w:val="001A06C4"/>
    <w:rsid w:val="001A0E5C"/>
    <w:rsid w:val="001A1039"/>
    <w:rsid w:val="001A381A"/>
    <w:rsid w:val="001A4114"/>
    <w:rsid w:val="001A6107"/>
    <w:rsid w:val="001A7BB9"/>
    <w:rsid w:val="001B053D"/>
    <w:rsid w:val="001B3132"/>
    <w:rsid w:val="001B32E1"/>
    <w:rsid w:val="001B3369"/>
    <w:rsid w:val="001B33AA"/>
    <w:rsid w:val="001B73E4"/>
    <w:rsid w:val="001B7A93"/>
    <w:rsid w:val="001C1489"/>
    <w:rsid w:val="001C3269"/>
    <w:rsid w:val="001C445B"/>
    <w:rsid w:val="001C790D"/>
    <w:rsid w:val="001C7BA5"/>
    <w:rsid w:val="001D0A85"/>
    <w:rsid w:val="001D19B6"/>
    <w:rsid w:val="001D1DB4"/>
    <w:rsid w:val="001D23F1"/>
    <w:rsid w:val="001D25F9"/>
    <w:rsid w:val="001D388C"/>
    <w:rsid w:val="001D41EF"/>
    <w:rsid w:val="001D5E53"/>
    <w:rsid w:val="001D61ED"/>
    <w:rsid w:val="001D7F7F"/>
    <w:rsid w:val="001E5305"/>
    <w:rsid w:val="001E5B2D"/>
    <w:rsid w:val="001E7332"/>
    <w:rsid w:val="001F10BB"/>
    <w:rsid w:val="001F48C3"/>
    <w:rsid w:val="0020041B"/>
    <w:rsid w:val="00200E19"/>
    <w:rsid w:val="0020156C"/>
    <w:rsid w:val="00202F30"/>
    <w:rsid w:val="00215766"/>
    <w:rsid w:val="00216634"/>
    <w:rsid w:val="00233E64"/>
    <w:rsid w:val="00242D31"/>
    <w:rsid w:val="00252876"/>
    <w:rsid w:val="00253AE0"/>
    <w:rsid w:val="0025481E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72F9B"/>
    <w:rsid w:val="00273D09"/>
    <w:rsid w:val="00276811"/>
    <w:rsid w:val="00282699"/>
    <w:rsid w:val="00285054"/>
    <w:rsid w:val="00291478"/>
    <w:rsid w:val="002926DF"/>
    <w:rsid w:val="00296697"/>
    <w:rsid w:val="002A65A4"/>
    <w:rsid w:val="002B0472"/>
    <w:rsid w:val="002B04F2"/>
    <w:rsid w:val="002B2537"/>
    <w:rsid w:val="002B6B12"/>
    <w:rsid w:val="002B70BD"/>
    <w:rsid w:val="002B7F83"/>
    <w:rsid w:val="002C21F0"/>
    <w:rsid w:val="002C61BB"/>
    <w:rsid w:val="002C75B2"/>
    <w:rsid w:val="002D01DF"/>
    <w:rsid w:val="002D412A"/>
    <w:rsid w:val="002D425F"/>
    <w:rsid w:val="002E2B73"/>
    <w:rsid w:val="002E3EB3"/>
    <w:rsid w:val="002E4D20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3E1F"/>
    <w:rsid w:val="00314F86"/>
    <w:rsid w:val="003164BA"/>
    <w:rsid w:val="00317F4D"/>
    <w:rsid w:val="00322EDD"/>
    <w:rsid w:val="00325CDD"/>
    <w:rsid w:val="00326199"/>
    <w:rsid w:val="00326BCE"/>
    <w:rsid w:val="003309FA"/>
    <w:rsid w:val="00332320"/>
    <w:rsid w:val="003325FE"/>
    <w:rsid w:val="00332AA3"/>
    <w:rsid w:val="003338CD"/>
    <w:rsid w:val="00334DCC"/>
    <w:rsid w:val="0034626A"/>
    <w:rsid w:val="0034748D"/>
    <w:rsid w:val="00347D72"/>
    <w:rsid w:val="00351A51"/>
    <w:rsid w:val="00353104"/>
    <w:rsid w:val="00353F45"/>
    <w:rsid w:val="00357611"/>
    <w:rsid w:val="00361319"/>
    <w:rsid w:val="00362FF7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7472C"/>
    <w:rsid w:val="00377F1F"/>
    <w:rsid w:val="003843DB"/>
    <w:rsid w:val="00385D4F"/>
    <w:rsid w:val="00387726"/>
    <w:rsid w:val="003901C3"/>
    <w:rsid w:val="003902FB"/>
    <w:rsid w:val="00391411"/>
    <w:rsid w:val="00393761"/>
    <w:rsid w:val="00394E26"/>
    <w:rsid w:val="00396691"/>
    <w:rsid w:val="00396698"/>
    <w:rsid w:val="00397D18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6ED"/>
    <w:rsid w:val="003D2B55"/>
    <w:rsid w:val="003D2F72"/>
    <w:rsid w:val="003D4F95"/>
    <w:rsid w:val="003D5F42"/>
    <w:rsid w:val="003D60A9"/>
    <w:rsid w:val="003E4367"/>
    <w:rsid w:val="003E4658"/>
    <w:rsid w:val="003E6F8A"/>
    <w:rsid w:val="003F47E7"/>
    <w:rsid w:val="003F4C97"/>
    <w:rsid w:val="003F666D"/>
    <w:rsid w:val="003F74C2"/>
    <w:rsid w:val="003F7993"/>
    <w:rsid w:val="003F7FE6"/>
    <w:rsid w:val="00400193"/>
    <w:rsid w:val="00403044"/>
    <w:rsid w:val="004038FC"/>
    <w:rsid w:val="00407264"/>
    <w:rsid w:val="00413738"/>
    <w:rsid w:val="004160B4"/>
    <w:rsid w:val="00416EAF"/>
    <w:rsid w:val="00416FDA"/>
    <w:rsid w:val="004212E7"/>
    <w:rsid w:val="00422B20"/>
    <w:rsid w:val="00423C88"/>
    <w:rsid w:val="0042446D"/>
    <w:rsid w:val="004272CA"/>
    <w:rsid w:val="00427BF8"/>
    <w:rsid w:val="00431C02"/>
    <w:rsid w:val="00432507"/>
    <w:rsid w:val="0043254E"/>
    <w:rsid w:val="00436653"/>
    <w:rsid w:val="00437395"/>
    <w:rsid w:val="00440E36"/>
    <w:rsid w:val="00442E58"/>
    <w:rsid w:val="00445047"/>
    <w:rsid w:val="00446749"/>
    <w:rsid w:val="0045002B"/>
    <w:rsid w:val="00451D1B"/>
    <w:rsid w:val="00451EF6"/>
    <w:rsid w:val="00453EB7"/>
    <w:rsid w:val="00454EA1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1DD"/>
    <w:rsid w:val="00482AB2"/>
    <w:rsid w:val="00483E9F"/>
    <w:rsid w:val="00485A2C"/>
    <w:rsid w:val="0049621B"/>
    <w:rsid w:val="004A0392"/>
    <w:rsid w:val="004A13AB"/>
    <w:rsid w:val="004A1D19"/>
    <w:rsid w:val="004A4106"/>
    <w:rsid w:val="004A419E"/>
    <w:rsid w:val="004A6050"/>
    <w:rsid w:val="004B198F"/>
    <w:rsid w:val="004B5C2A"/>
    <w:rsid w:val="004B62A1"/>
    <w:rsid w:val="004C1895"/>
    <w:rsid w:val="004C4B60"/>
    <w:rsid w:val="004C4F63"/>
    <w:rsid w:val="004C50D9"/>
    <w:rsid w:val="004C6D40"/>
    <w:rsid w:val="004E0121"/>
    <w:rsid w:val="004E0F47"/>
    <w:rsid w:val="004E20C3"/>
    <w:rsid w:val="004E3757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2AC9"/>
    <w:rsid w:val="00505A92"/>
    <w:rsid w:val="005123B0"/>
    <w:rsid w:val="005203F1"/>
    <w:rsid w:val="00521BC3"/>
    <w:rsid w:val="00523AD1"/>
    <w:rsid w:val="0052403C"/>
    <w:rsid w:val="00525CA9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1FB5"/>
    <w:rsid w:val="005641B7"/>
    <w:rsid w:val="00564C2C"/>
    <w:rsid w:val="005654AA"/>
    <w:rsid w:val="00575E7B"/>
    <w:rsid w:val="005762A7"/>
    <w:rsid w:val="005764E9"/>
    <w:rsid w:val="0057774C"/>
    <w:rsid w:val="00580895"/>
    <w:rsid w:val="00583FD0"/>
    <w:rsid w:val="00586F21"/>
    <w:rsid w:val="00587B47"/>
    <w:rsid w:val="00587CEE"/>
    <w:rsid w:val="005907AA"/>
    <w:rsid w:val="005916D7"/>
    <w:rsid w:val="0059427F"/>
    <w:rsid w:val="00597E81"/>
    <w:rsid w:val="005A1228"/>
    <w:rsid w:val="005A3DD0"/>
    <w:rsid w:val="005A698C"/>
    <w:rsid w:val="005A7261"/>
    <w:rsid w:val="005B2597"/>
    <w:rsid w:val="005B32D0"/>
    <w:rsid w:val="005B41AB"/>
    <w:rsid w:val="005B6C60"/>
    <w:rsid w:val="005C04A4"/>
    <w:rsid w:val="005C0CAC"/>
    <w:rsid w:val="005D062E"/>
    <w:rsid w:val="005D1BD8"/>
    <w:rsid w:val="005D2CBB"/>
    <w:rsid w:val="005D2F6B"/>
    <w:rsid w:val="005D34F8"/>
    <w:rsid w:val="005D6651"/>
    <w:rsid w:val="005E0799"/>
    <w:rsid w:val="005E10F9"/>
    <w:rsid w:val="005E1200"/>
    <w:rsid w:val="005E1EF1"/>
    <w:rsid w:val="005E361F"/>
    <w:rsid w:val="005E3B1A"/>
    <w:rsid w:val="005E41EB"/>
    <w:rsid w:val="005E5818"/>
    <w:rsid w:val="005F3909"/>
    <w:rsid w:val="005F45EE"/>
    <w:rsid w:val="005F5A80"/>
    <w:rsid w:val="005F6E05"/>
    <w:rsid w:val="00600561"/>
    <w:rsid w:val="006044FF"/>
    <w:rsid w:val="00604F2C"/>
    <w:rsid w:val="00606C1B"/>
    <w:rsid w:val="00607CC5"/>
    <w:rsid w:val="00610153"/>
    <w:rsid w:val="0061179B"/>
    <w:rsid w:val="006125F9"/>
    <w:rsid w:val="00616199"/>
    <w:rsid w:val="00621BCA"/>
    <w:rsid w:val="00621F67"/>
    <w:rsid w:val="00623444"/>
    <w:rsid w:val="00633014"/>
    <w:rsid w:val="0063437B"/>
    <w:rsid w:val="0064017E"/>
    <w:rsid w:val="00641B8B"/>
    <w:rsid w:val="006443F0"/>
    <w:rsid w:val="00647330"/>
    <w:rsid w:val="006508A2"/>
    <w:rsid w:val="00654BB6"/>
    <w:rsid w:val="00654DD9"/>
    <w:rsid w:val="0065608B"/>
    <w:rsid w:val="00656298"/>
    <w:rsid w:val="006627D0"/>
    <w:rsid w:val="00663A20"/>
    <w:rsid w:val="0066421C"/>
    <w:rsid w:val="006673CA"/>
    <w:rsid w:val="006729D4"/>
    <w:rsid w:val="00673C26"/>
    <w:rsid w:val="00674DE5"/>
    <w:rsid w:val="00677ACA"/>
    <w:rsid w:val="006812AF"/>
    <w:rsid w:val="0068152B"/>
    <w:rsid w:val="0068327D"/>
    <w:rsid w:val="00684B5B"/>
    <w:rsid w:val="00691534"/>
    <w:rsid w:val="006923D6"/>
    <w:rsid w:val="00693880"/>
    <w:rsid w:val="00694AF0"/>
    <w:rsid w:val="006A3332"/>
    <w:rsid w:val="006A39FB"/>
    <w:rsid w:val="006A4686"/>
    <w:rsid w:val="006A5F66"/>
    <w:rsid w:val="006A66EA"/>
    <w:rsid w:val="006B06D3"/>
    <w:rsid w:val="006B0E9E"/>
    <w:rsid w:val="006B1976"/>
    <w:rsid w:val="006B2455"/>
    <w:rsid w:val="006B486D"/>
    <w:rsid w:val="006B5672"/>
    <w:rsid w:val="006B5AE4"/>
    <w:rsid w:val="006B7831"/>
    <w:rsid w:val="006C674F"/>
    <w:rsid w:val="006D1507"/>
    <w:rsid w:val="006D3C5B"/>
    <w:rsid w:val="006D4054"/>
    <w:rsid w:val="006E02EC"/>
    <w:rsid w:val="006E0442"/>
    <w:rsid w:val="006E0B8D"/>
    <w:rsid w:val="006E21CC"/>
    <w:rsid w:val="006E3AF2"/>
    <w:rsid w:val="006E3C4F"/>
    <w:rsid w:val="006E47F3"/>
    <w:rsid w:val="006E6F41"/>
    <w:rsid w:val="006E73E6"/>
    <w:rsid w:val="006F0BE9"/>
    <w:rsid w:val="006F3782"/>
    <w:rsid w:val="00702D97"/>
    <w:rsid w:val="00714656"/>
    <w:rsid w:val="007153E3"/>
    <w:rsid w:val="007211B1"/>
    <w:rsid w:val="00722D35"/>
    <w:rsid w:val="00725A18"/>
    <w:rsid w:val="00726B03"/>
    <w:rsid w:val="00727561"/>
    <w:rsid w:val="007277DA"/>
    <w:rsid w:val="00730B7A"/>
    <w:rsid w:val="00731D27"/>
    <w:rsid w:val="0073558D"/>
    <w:rsid w:val="00736490"/>
    <w:rsid w:val="007440F4"/>
    <w:rsid w:val="0074565A"/>
    <w:rsid w:val="00746187"/>
    <w:rsid w:val="00752289"/>
    <w:rsid w:val="00754A09"/>
    <w:rsid w:val="00757511"/>
    <w:rsid w:val="00757C5F"/>
    <w:rsid w:val="00762355"/>
    <w:rsid w:val="0076254F"/>
    <w:rsid w:val="00773B3B"/>
    <w:rsid w:val="00774D54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A2DC1"/>
    <w:rsid w:val="007A3970"/>
    <w:rsid w:val="007A58D5"/>
    <w:rsid w:val="007B58EB"/>
    <w:rsid w:val="007B6630"/>
    <w:rsid w:val="007C58DD"/>
    <w:rsid w:val="007C64F5"/>
    <w:rsid w:val="007C7D79"/>
    <w:rsid w:val="007D0869"/>
    <w:rsid w:val="007D14C4"/>
    <w:rsid w:val="007D3319"/>
    <w:rsid w:val="007D335D"/>
    <w:rsid w:val="007D3B37"/>
    <w:rsid w:val="007D605C"/>
    <w:rsid w:val="007D71D5"/>
    <w:rsid w:val="007E2CD4"/>
    <w:rsid w:val="007E3314"/>
    <w:rsid w:val="007E3514"/>
    <w:rsid w:val="007E4B03"/>
    <w:rsid w:val="007E6752"/>
    <w:rsid w:val="007E6A8C"/>
    <w:rsid w:val="007E7211"/>
    <w:rsid w:val="007E7E95"/>
    <w:rsid w:val="007F0B49"/>
    <w:rsid w:val="007F324B"/>
    <w:rsid w:val="007F48B8"/>
    <w:rsid w:val="007F542D"/>
    <w:rsid w:val="007F58C0"/>
    <w:rsid w:val="007F7A8F"/>
    <w:rsid w:val="008050E9"/>
    <w:rsid w:val="0080553C"/>
    <w:rsid w:val="008056E7"/>
    <w:rsid w:val="00805B46"/>
    <w:rsid w:val="00805DB4"/>
    <w:rsid w:val="00820E10"/>
    <w:rsid w:val="0082105D"/>
    <w:rsid w:val="008223FC"/>
    <w:rsid w:val="0082252F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67F32"/>
    <w:rsid w:val="00873000"/>
    <w:rsid w:val="0087478A"/>
    <w:rsid w:val="00875E1E"/>
    <w:rsid w:val="00877F6C"/>
    <w:rsid w:val="00880241"/>
    <w:rsid w:val="008821B2"/>
    <w:rsid w:val="0088258A"/>
    <w:rsid w:val="00886332"/>
    <w:rsid w:val="00887D4B"/>
    <w:rsid w:val="0089016A"/>
    <w:rsid w:val="008925F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F75"/>
    <w:rsid w:val="008B09AF"/>
    <w:rsid w:val="008B0E9B"/>
    <w:rsid w:val="008B12D2"/>
    <w:rsid w:val="008B2D13"/>
    <w:rsid w:val="008C0C29"/>
    <w:rsid w:val="008C1701"/>
    <w:rsid w:val="008C2DD9"/>
    <w:rsid w:val="008C3708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5CF"/>
    <w:rsid w:val="009153F7"/>
    <w:rsid w:val="00917394"/>
    <w:rsid w:val="00920AAE"/>
    <w:rsid w:val="009227A6"/>
    <w:rsid w:val="00923B3A"/>
    <w:rsid w:val="0093019B"/>
    <w:rsid w:val="00930F57"/>
    <w:rsid w:val="00933EC1"/>
    <w:rsid w:val="00934534"/>
    <w:rsid w:val="00940B58"/>
    <w:rsid w:val="009446AD"/>
    <w:rsid w:val="009449EC"/>
    <w:rsid w:val="00944F3D"/>
    <w:rsid w:val="00950796"/>
    <w:rsid w:val="009530DB"/>
    <w:rsid w:val="00953676"/>
    <w:rsid w:val="009547E5"/>
    <w:rsid w:val="00956F30"/>
    <w:rsid w:val="00961210"/>
    <w:rsid w:val="0096263D"/>
    <w:rsid w:val="00966C9A"/>
    <w:rsid w:val="009705EE"/>
    <w:rsid w:val="00971F43"/>
    <w:rsid w:val="00977927"/>
    <w:rsid w:val="0098135C"/>
    <w:rsid w:val="0098156A"/>
    <w:rsid w:val="0099015A"/>
    <w:rsid w:val="00991BAC"/>
    <w:rsid w:val="009950C6"/>
    <w:rsid w:val="0099757D"/>
    <w:rsid w:val="009A3EF6"/>
    <w:rsid w:val="009A4698"/>
    <w:rsid w:val="009A63AF"/>
    <w:rsid w:val="009A6EA0"/>
    <w:rsid w:val="009B5B7E"/>
    <w:rsid w:val="009B74E7"/>
    <w:rsid w:val="009C1335"/>
    <w:rsid w:val="009C1AB2"/>
    <w:rsid w:val="009C4A79"/>
    <w:rsid w:val="009C58FF"/>
    <w:rsid w:val="009C5FD8"/>
    <w:rsid w:val="009C61B6"/>
    <w:rsid w:val="009C7251"/>
    <w:rsid w:val="009D05F6"/>
    <w:rsid w:val="009D47E3"/>
    <w:rsid w:val="009E2E91"/>
    <w:rsid w:val="009E3BFF"/>
    <w:rsid w:val="009E4516"/>
    <w:rsid w:val="009E4D7B"/>
    <w:rsid w:val="009E5346"/>
    <w:rsid w:val="00A01B40"/>
    <w:rsid w:val="00A033EC"/>
    <w:rsid w:val="00A04526"/>
    <w:rsid w:val="00A05BC0"/>
    <w:rsid w:val="00A070F2"/>
    <w:rsid w:val="00A11047"/>
    <w:rsid w:val="00A12EAC"/>
    <w:rsid w:val="00A139F5"/>
    <w:rsid w:val="00A20B1F"/>
    <w:rsid w:val="00A22B05"/>
    <w:rsid w:val="00A30235"/>
    <w:rsid w:val="00A3285F"/>
    <w:rsid w:val="00A32E16"/>
    <w:rsid w:val="00A365F4"/>
    <w:rsid w:val="00A43CBB"/>
    <w:rsid w:val="00A47D80"/>
    <w:rsid w:val="00A53132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710D"/>
    <w:rsid w:val="00AB1529"/>
    <w:rsid w:val="00AB4FBD"/>
    <w:rsid w:val="00AB64F3"/>
    <w:rsid w:val="00AB675D"/>
    <w:rsid w:val="00AB6D25"/>
    <w:rsid w:val="00AC7C4D"/>
    <w:rsid w:val="00AD0E56"/>
    <w:rsid w:val="00AE05C9"/>
    <w:rsid w:val="00AE1A1C"/>
    <w:rsid w:val="00AE21A9"/>
    <w:rsid w:val="00AE229B"/>
    <w:rsid w:val="00AE2D4B"/>
    <w:rsid w:val="00AE3D6B"/>
    <w:rsid w:val="00AE4F99"/>
    <w:rsid w:val="00AE55E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35787"/>
    <w:rsid w:val="00B423D1"/>
    <w:rsid w:val="00B43D83"/>
    <w:rsid w:val="00B45AAA"/>
    <w:rsid w:val="00B47359"/>
    <w:rsid w:val="00B508CB"/>
    <w:rsid w:val="00B54A91"/>
    <w:rsid w:val="00B55011"/>
    <w:rsid w:val="00B653AB"/>
    <w:rsid w:val="00B65F9E"/>
    <w:rsid w:val="00B66B19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6FF1"/>
    <w:rsid w:val="00B97589"/>
    <w:rsid w:val="00B97E81"/>
    <w:rsid w:val="00BA0078"/>
    <w:rsid w:val="00BA1968"/>
    <w:rsid w:val="00BA2BA1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D14F1"/>
    <w:rsid w:val="00BD45FD"/>
    <w:rsid w:val="00BD4E33"/>
    <w:rsid w:val="00BD5A20"/>
    <w:rsid w:val="00BE3067"/>
    <w:rsid w:val="00BF0619"/>
    <w:rsid w:val="00BF0E3F"/>
    <w:rsid w:val="00BF21F6"/>
    <w:rsid w:val="00C030DE"/>
    <w:rsid w:val="00C051A8"/>
    <w:rsid w:val="00C178DB"/>
    <w:rsid w:val="00C22105"/>
    <w:rsid w:val="00C227C3"/>
    <w:rsid w:val="00C22A86"/>
    <w:rsid w:val="00C244B6"/>
    <w:rsid w:val="00C2587F"/>
    <w:rsid w:val="00C27BF1"/>
    <w:rsid w:val="00C33EE9"/>
    <w:rsid w:val="00C3702F"/>
    <w:rsid w:val="00C37793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7C0E"/>
    <w:rsid w:val="00C81EBB"/>
    <w:rsid w:val="00C86901"/>
    <w:rsid w:val="00C90C9B"/>
    <w:rsid w:val="00C91149"/>
    <w:rsid w:val="00C91687"/>
    <w:rsid w:val="00C91DC8"/>
    <w:rsid w:val="00C924A8"/>
    <w:rsid w:val="00C94432"/>
    <w:rsid w:val="00C945FE"/>
    <w:rsid w:val="00C96ECF"/>
    <w:rsid w:val="00C96FAA"/>
    <w:rsid w:val="00C97A04"/>
    <w:rsid w:val="00CA107B"/>
    <w:rsid w:val="00CA2468"/>
    <w:rsid w:val="00CA431D"/>
    <w:rsid w:val="00CA484D"/>
    <w:rsid w:val="00CA4FB6"/>
    <w:rsid w:val="00CB2F90"/>
    <w:rsid w:val="00CB65D5"/>
    <w:rsid w:val="00CB6AD4"/>
    <w:rsid w:val="00CC020C"/>
    <w:rsid w:val="00CC051D"/>
    <w:rsid w:val="00CC281F"/>
    <w:rsid w:val="00CC739E"/>
    <w:rsid w:val="00CD1EBB"/>
    <w:rsid w:val="00CD28CF"/>
    <w:rsid w:val="00CD2AA9"/>
    <w:rsid w:val="00CD532E"/>
    <w:rsid w:val="00CD58B7"/>
    <w:rsid w:val="00CD7967"/>
    <w:rsid w:val="00CD7EE2"/>
    <w:rsid w:val="00CE101E"/>
    <w:rsid w:val="00CE104A"/>
    <w:rsid w:val="00CE35A3"/>
    <w:rsid w:val="00CF18EE"/>
    <w:rsid w:val="00CF30BD"/>
    <w:rsid w:val="00CF3E3E"/>
    <w:rsid w:val="00CF4099"/>
    <w:rsid w:val="00D00796"/>
    <w:rsid w:val="00D01848"/>
    <w:rsid w:val="00D0375A"/>
    <w:rsid w:val="00D10A04"/>
    <w:rsid w:val="00D15B67"/>
    <w:rsid w:val="00D2095E"/>
    <w:rsid w:val="00D22B81"/>
    <w:rsid w:val="00D261A2"/>
    <w:rsid w:val="00D308F3"/>
    <w:rsid w:val="00D34CF8"/>
    <w:rsid w:val="00D35DA0"/>
    <w:rsid w:val="00D369E7"/>
    <w:rsid w:val="00D372EB"/>
    <w:rsid w:val="00D3774D"/>
    <w:rsid w:val="00D44192"/>
    <w:rsid w:val="00D45EEB"/>
    <w:rsid w:val="00D52728"/>
    <w:rsid w:val="00D54DD4"/>
    <w:rsid w:val="00D55DD3"/>
    <w:rsid w:val="00D603E9"/>
    <w:rsid w:val="00D6114D"/>
    <w:rsid w:val="00D616D2"/>
    <w:rsid w:val="00D61F4F"/>
    <w:rsid w:val="00D63208"/>
    <w:rsid w:val="00D63B5F"/>
    <w:rsid w:val="00D64926"/>
    <w:rsid w:val="00D65C66"/>
    <w:rsid w:val="00D70EF7"/>
    <w:rsid w:val="00D733C8"/>
    <w:rsid w:val="00D743A1"/>
    <w:rsid w:val="00D74B36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0F65"/>
    <w:rsid w:val="00DC1A82"/>
    <w:rsid w:val="00DC275C"/>
    <w:rsid w:val="00DC5A9A"/>
    <w:rsid w:val="00DC6708"/>
    <w:rsid w:val="00DC68BF"/>
    <w:rsid w:val="00DD00CC"/>
    <w:rsid w:val="00DD011A"/>
    <w:rsid w:val="00DE197F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56D3"/>
    <w:rsid w:val="00E17B77"/>
    <w:rsid w:val="00E20FA8"/>
    <w:rsid w:val="00E2193F"/>
    <w:rsid w:val="00E231AB"/>
    <w:rsid w:val="00E23337"/>
    <w:rsid w:val="00E23D97"/>
    <w:rsid w:val="00E23DD8"/>
    <w:rsid w:val="00E24094"/>
    <w:rsid w:val="00E259EA"/>
    <w:rsid w:val="00E25D33"/>
    <w:rsid w:val="00E26E99"/>
    <w:rsid w:val="00E31705"/>
    <w:rsid w:val="00E32061"/>
    <w:rsid w:val="00E334C8"/>
    <w:rsid w:val="00E33EFE"/>
    <w:rsid w:val="00E33F48"/>
    <w:rsid w:val="00E355ED"/>
    <w:rsid w:val="00E40D45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5FAD"/>
    <w:rsid w:val="00E76D26"/>
    <w:rsid w:val="00E76EB4"/>
    <w:rsid w:val="00E76EE5"/>
    <w:rsid w:val="00E80544"/>
    <w:rsid w:val="00E82259"/>
    <w:rsid w:val="00E84E1D"/>
    <w:rsid w:val="00E8733E"/>
    <w:rsid w:val="00E87AAD"/>
    <w:rsid w:val="00E93058"/>
    <w:rsid w:val="00E95036"/>
    <w:rsid w:val="00E95B8E"/>
    <w:rsid w:val="00EA182D"/>
    <w:rsid w:val="00EA1B61"/>
    <w:rsid w:val="00EA59ED"/>
    <w:rsid w:val="00EA6761"/>
    <w:rsid w:val="00EB011C"/>
    <w:rsid w:val="00EB0E48"/>
    <w:rsid w:val="00EB11D0"/>
    <w:rsid w:val="00EB1390"/>
    <w:rsid w:val="00EB2A70"/>
    <w:rsid w:val="00EB2C71"/>
    <w:rsid w:val="00EB3333"/>
    <w:rsid w:val="00EB4340"/>
    <w:rsid w:val="00EB556D"/>
    <w:rsid w:val="00EB5A7D"/>
    <w:rsid w:val="00EB73BC"/>
    <w:rsid w:val="00EC334A"/>
    <w:rsid w:val="00ED1D4D"/>
    <w:rsid w:val="00ED55C0"/>
    <w:rsid w:val="00ED682B"/>
    <w:rsid w:val="00ED75DA"/>
    <w:rsid w:val="00EE09B7"/>
    <w:rsid w:val="00EE3E73"/>
    <w:rsid w:val="00EE41D5"/>
    <w:rsid w:val="00EE481C"/>
    <w:rsid w:val="00EE6872"/>
    <w:rsid w:val="00EF15FA"/>
    <w:rsid w:val="00EF1FDB"/>
    <w:rsid w:val="00EF5525"/>
    <w:rsid w:val="00EF6434"/>
    <w:rsid w:val="00F01205"/>
    <w:rsid w:val="00F0166F"/>
    <w:rsid w:val="00F01F2E"/>
    <w:rsid w:val="00F037A4"/>
    <w:rsid w:val="00F049AB"/>
    <w:rsid w:val="00F06DBB"/>
    <w:rsid w:val="00F07B1D"/>
    <w:rsid w:val="00F142DB"/>
    <w:rsid w:val="00F159F1"/>
    <w:rsid w:val="00F167CB"/>
    <w:rsid w:val="00F22694"/>
    <w:rsid w:val="00F22CAE"/>
    <w:rsid w:val="00F2442B"/>
    <w:rsid w:val="00F27C8F"/>
    <w:rsid w:val="00F30587"/>
    <w:rsid w:val="00F30AF4"/>
    <w:rsid w:val="00F32749"/>
    <w:rsid w:val="00F32756"/>
    <w:rsid w:val="00F37172"/>
    <w:rsid w:val="00F4477E"/>
    <w:rsid w:val="00F46269"/>
    <w:rsid w:val="00F52EF2"/>
    <w:rsid w:val="00F60BA8"/>
    <w:rsid w:val="00F67D8F"/>
    <w:rsid w:val="00F713C5"/>
    <w:rsid w:val="00F72D7E"/>
    <w:rsid w:val="00F738A1"/>
    <w:rsid w:val="00F802BE"/>
    <w:rsid w:val="00F80E93"/>
    <w:rsid w:val="00F81B4C"/>
    <w:rsid w:val="00F86024"/>
    <w:rsid w:val="00F8611A"/>
    <w:rsid w:val="00F87422"/>
    <w:rsid w:val="00F87591"/>
    <w:rsid w:val="00F93103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851"/>
    <w:rsid w:val="00FC6DA3"/>
    <w:rsid w:val="00FC6DDC"/>
    <w:rsid w:val="00FD03D1"/>
    <w:rsid w:val="00FD08AE"/>
    <w:rsid w:val="00FD1E89"/>
    <w:rsid w:val="00FD3111"/>
    <w:rsid w:val="00FD3BE9"/>
    <w:rsid w:val="00FD5EA7"/>
    <w:rsid w:val="00FE36CF"/>
    <w:rsid w:val="00FE3F82"/>
    <w:rsid w:val="00FF0246"/>
    <w:rsid w:val="00FF20D4"/>
    <w:rsid w:val="00FF48D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wyniki-finansowe-przedsiebiorstw-w-okresie-styczen-wrzesien-2023-roku,40,4.html" TargetMode="External"/><Relationship Id="rId28" Type="http://schemas.openxmlformats.org/officeDocument/2006/relationships/hyperlink" Target="http://stat.gov.pl/metainformacje/slownik-pojec/pojecia-stosowane-w-statystyce-publicznej/587,pojeci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orm.stat.gov.pl/formularze/2023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58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583,pojecie.html" TargetMode="External"/><Relationship Id="rId30" Type="http://schemas.openxmlformats.org/officeDocument/2006/relationships/hyperlink" Target="http://stat.gov.pl/metainformacje/slownik-pojec/pojecia-stosowane-w-statystyce-publicznej/584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Informacja_sygnalna_wyniki_finansowe_przedsiębiorstw_01-12 2023.docx.docx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130E9-5266-4C87-AC11-05A513278415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E7834E28-1DF4-4F2A-BCFD-161A338E0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5</Pages>
  <Words>2194</Words>
  <Characters>13165</Characters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</vt:lpstr>
    </vt:vector>
  </TitlesOfParts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2022-03-21T10:42:00Z</dcterms:created>
  <dcterms:modified xsi:type="dcterms:W3CDTF">2024-04-16T14:26:00Z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