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1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2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E56AD8" w14:textId="77777777" w:rsidR="00A00D1C" w:rsidRDefault="009C0FB5" w:rsidP="00A00D1C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</w:rPr>
      </w:pPr>
      <w:r w:rsidRPr="009C0FB5">
        <w:rPr>
          <w:rFonts w:ascii="Fira Sans Extra Condensed SemiB" w:hAnsi="Fira Sans Extra Condensed SemiB"/>
          <w:color w:val="000000" w:themeColor="text1"/>
          <w:sz w:val="40"/>
          <w:szCs w:val="26"/>
        </w:rPr>
        <w:t xml:space="preserve">Koniunktura </w:t>
      </w:r>
      <w:r w:rsidR="00A00D1C">
        <w:rPr>
          <w:rFonts w:ascii="Fira Sans Extra Condensed SemiB" w:hAnsi="Fira Sans Extra Condensed SemiB"/>
          <w:color w:val="000000" w:themeColor="text1"/>
          <w:sz w:val="40"/>
          <w:szCs w:val="26"/>
        </w:rPr>
        <w:t xml:space="preserve">w gospodarstwach rolnych </w:t>
      </w:r>
    </w:p>
    <w:p w14:paraId="1740D463" w14:textId="77777777" w:rsidR="000F4581" w:rsidRDefault="0032208A" w:rsidP="00A00D1C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</w:rPr>
      </w:pPr>
      <w:r>
        <w:rPr>
          <w:rFonts w:ascii="Fira Sans Extra Condensed SemiB" w:hAnsi="Fira Sans Extra Condensed SemiB"/>
          <w:color w:val="000000" w:themeColor="text1"/>
          <w:sz w:val="40"/>
          <w:szCs w:val="26"/>
        </w:rPr>
        <w:t>w II półroczu 2023</w:t>
      </w:r>
      <w:r w:rsidR="00A00D1C">
        <w:rPr>
          <w:rFonts w:ascii="Fira Sans Extra Condensed SemiB" w:hAnsi="Fira Sans Extra Condensed SemiB"/>
          <w:color w:val="000000" w:themeColor="text1"/>
          <w:sz w:val="40"/>
          <w:szCs w:val="26"/>
        </w:rPr>
        <w:t xml:space="preserve"> r.</w:t>
      </w:r>
    </w:p>
    <w:p w14:paraId="2D208D5E" w14:textId="77777777" w:rsidR="000C2B9D" w:rsidRPr="008040A3" w:rsidRDefault="000C2B9D" w:rsidP="00A00D1C">
      <w:pPr>
        <w:spacing w:after="0" w:line="240" w:lineRule="auto"/>
        <w:rPr>
          <w:rFonts w:ascii="Fira Sans Extra Condensed SemiB" w:hAnsi="Fira Sans Extra Condensed SemiB"/>
          <w:sz w:val="40"/>
          <w:szCs w:val="32"/>
        </w:rPr>
      </w:pPr>
    </w:p>
    <w:p w14:paraId="54DC19DA" w14:textId="1B249149" w:rsidR="00DA1D07" w:rsidRPr="0030263A" w:rsidRDefault="000A5463" w:rsidP="00AB7B3A">
      <w:pPr>
        <w:spacing w:before="120" w:after="240"/>
        <w:rPr>
          <w:rFonts w:ascii="Fira Sans" w:eastAsia="Times New Roman" w:hAnsi="Fira Sans" w:cs="Calibri"/>
          <w:b/>
          <w:bCs/>
          <w:noProof/>
          <w:color w:val="000000"/>
          <w:sz w:val="18"/>
          <w:szCs w:val="18"/>
          <w:lang w:eastAsia="pl-PL"/>
        </w:rPr>
      </w:pPr>
      <w:r w:rsidRPr="008040A3">
        <w:rPr>
          <w:rFonts w:ascii="Fira Sans" w:hAnsi="Fira Sans"/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2947456" behindDoc="0" locked="0" layoutInCell="1" allowOverlap="1" wp14:anchorId="01F5012B" wp14:editId="188CABE6">
                <wp:simplePos x="0" y="0"/>
                <wp:positionH relativeFrom="margin">
                  <wp:posOffset>-171450</wp:posOffset>
                </wp:positionH>
                <wp:positionV relativeFrom="paragraph">
                  <wp:posOffset>246380</wp:posOffset>
                </wp:positionV>
                <wp:extent cx="2204085" cy="1152525"/>
                <wp:effectExtent l="0" t="0" r="5715" b="9525"/>
                <wp:wrapSquare wrapText="bothSides"/>
                <wp:docPr id="6" name="Pole tekstowe 2" descr="43,6&#10;Odsetek gospodarstw rolnych, w których ogólna sytuacja pogorszyła się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CD8D7" w14:textId="27887F2B" w:rsidR="00E14EFF" w:rsidRPr="0030263A" w:rsidRDefault="00E14EFF" w:rsidP="00E706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eastAsiaTheme="minorEastAsia" w:hAnsi="Fira Sans SemiBold" w:cs="Fira Sans SemiBold"/>
                                <w:color w:val="FFFFFF"/>
                                <w:sz w:val="40"/>
                                <w:szCs w:val="40"/>
                                <w:lang w:eastAsia="pl-PL"/>
                              </w:rPr>
                              <w:t>-35,6</w:t>
                            </w:r>
                          </w:p>
                          <w:p w14:paraId="6B47A285" w14:textId="77777777" w:rsidR="00E14EFF" w:rsidRPr="007D605C" w:rsidRDefault="00E14EFF" w:rsidP="0030263A">
                            <w:pPr>
                              <w:suppressAutoHyphens/>
                              <w:spacing w:before="12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Wskaźnik zmiany sytuacji ogólnej gospodarstwa rolnego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5012B" id="Pole tekstowe 2" o:spid="_x0000_s1026" alt="43,6&#10;Odsetek gospodarstw rolnych, w których ogólna sytuacja pogorszyła się." style="position:absolute;margin-left:-13.5pt;margin-top:19.4pt;width:173.55pt;height:90.75pt;z-index:25294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7DeQIAAIIEAAAOAAAAZHJzL2Uyb0RvYy54bWysVF1u1DAQfkfiDpaReCqbH7Z/odmqtBQh&#10;FVpROIDXdhKzjifY3k22j9yCc/QIhXsxdrbtAm+IXcmasT3ffPN5JkfHQ6vJSlqnwJQ0m6SUSMNB&#10;KFOX9POn8xcHlDjPjGAajCzpWjp6PHv65KjvCplDA1pISxDEuKLvStp43xVJ4ngjW+Ym0EmDhxXY&#10;lnl0bZ0Iy3pEb3WSp+le0oMVnQUuncPds/GQziJ+VUnuL6vKSU90SZGbj6uN6zysyeyIFbVlXaP4&#10;hgb7BxYtUwaTPkCdMc/I0qq/oFrFLTio/IRDm0BVKS5jDVhNlv5RzXXDOhlrQXFc9yCT+3+w/MPq&#10;yhIlSrpHiWEtPtEVaEm8XDgPvSQ5JUI6jpJNX+7sPX82nLy6FCioXJAaXAeCWed7YkGbNW92SE8W&#10;/u7Wok2gvrvVhhG39kvGvzDSQQ3W3ax/fsNN9eP7JMjfd65AFtcd8vDDaxiwjaKUrrsAvnDEwGnD&#10;TC1PrIW+kUxg+VmITLZCRxwXQOb9exBYB1t6iEBDZdvwNqg2QXRsg/XD08vBE46beZ5O04NdSjie&#10;Zdlujv+YgxX34R0W+lZCS4JRUgtLIz5ig8UcbHXhfODEivt7IaUDrcS50jo6tp6faktWLDRjmp3t&#10;729S/HZNG9KX9DAQCFEGQnzs01Z5HBat2pIepOEXwlkRNHljRLQ9U3q0kYk2G5GCLqNCfpgPeDEo&#10;NwexRrksjEOBQ4xGA/aGkh4HoqTu65JZSYl+Z1Dyw2w6DRMUnenufo6O3T6Zb58wwxGqpJ6S0Tz1&#10;cerGik7waSoV9XpksuGKjR5l3AxlmKRtP956/HTMfgEAAP//AwBQSwMEFAAGAAgAAAAhACRDea/f&#10;AAAACgEAAA8AAABkcnMvZG93bnJldi54bWxMj8FOwzAQRO9I/IO1SFyi1q4jQRXiVBQpHOiJFO5u&#10;vI0j4nUUu034e8wJjqsdzbxX7hY3sCtOofekYLMWwJBab3rqFHwc69UWWIiajB48oYJvDLCrbm9K&#10;XRg/0ztem9ixVEKh0ApsjGPBeWgtOh3WfkRKv7OfnI7pnDpuJj2ncjdwKcQDd7qntGD1iC8W26/m&#10;4hTsp/OhEfkS7P74dsjqOvt8nTOl7u+W5ydgEZf4F4Zf/IQOVWI6+QuZwAYFK/mYXKKCfJsUUiCX&#10;YgPspEBKkQOvSv5fofoBAAD//wMAUEsBAi0AFAAGAAgAAAAhALaDOJL+AAAA4QEAABMAAAAAAAAA&#10;AAAAAAAAAAAAAFtDb250ZW50X1R5cGVzXS54bWxQSwECLQAUAAYACAAAACEAOP0h/9YAAACUAQAA&#10;CwAAAAAAAAAAAAAAAAAvAQAAX3JlbHMvLnJlbHNQSwECLQAUAAYACAAAACEAv18uw3kCAACCBAAA&#10;DgAAAAAAAAAAAAAAAAAuAgAAZHJzL2Uyb0RvYy54bWxQSwECLQAUAAYACAAAACEAJEN5r98AAAAK&#10;AQAADwAAAAAAAAAAAAAAAADTBAAAZHJzL2Rvd25yZXYueG1sUEsFBgAAAAAEAAQA8wAAAN8FAAAA&#10;AA==&#10;" fillcolor="#001d77" stroked="f">
                <v:stroke joinstyle="miter"/>
                <v:textbox>
                  <w:txbxContent>
                    <w:p w14:paraId="7AECD8D7" w14:textId="27887F2B" w:rsidR="00E14EFF" w:rsidRPr="0030263A" w:rsidRDefault="00E14EFF" w:rsidP="00E706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eastAsiaTheme="minorEastAsia" w:hAnsi="Fira Sans SemiBold" w:cs="Fira Sans SemiBold"/>
                          <w:color w:val="FFFFFF"/>
                          <w:sz w:val="40"/>
                          <w:szCs w:val="40"/>
                          <w:lang w:eastAsia="pl-PL"/>
                        </w:rPr>
                        <w:t>-35,6</w:t>
                      </w:r>
                    </w:p>
                    <w:p w14:paraId="6B47A285" w14:textId="77777777" w:rsidR="00E14EFF" w:rsidRPr="007D605C" w:rsidRDefault="00E14EFF" w:rsidP="0030263A">
                      <w:pPr>
                        <w:suppressAutoHyphens/>
                        <w:spacing w:before="120" w:after="0" w:line="240" w:lineRule="auto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Wskaźnik zmiany sytuacji ogólnej gospodarstwa rolnego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73F7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W ocenie rolników</w:t>
      </w:r>
      <w:r w:rsidR="00DD25F7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 zarówno</w:t>
      </w:r>
      <w:r w:rsidR="00273F7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 </w:t>
      </w:r>
      <w:r w:rsidR="00AE0502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zmiany jakie miały miejsce w II </w:t>
      </w:r>
      <w:r w:rsidR="00273F7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półroczu 2023 r.</w:t>
      </w:r>
      <w:r w:rsidR="00335E02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,</w:t>
      </w:r>
      <w:r w:rsidR="00273F7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 jak i bieżąca (grudzień 2023 r.) sytuacja gospodarstw rolnych kształtowały się niekorzystnie. Również prognozy na I półrocze 2024 r. są pesymistyczne. Nastroje rolników były jednak mniej negatywne w porównaniu </w:t>
      </w:r>
      <w:r w:rsidR="008D3901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z</w:t>
      </w:r>
      <w:r w:rsidR="00273F7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 po</w:t>
      </w:r>
      <w:r w:rsidR="00DD25F7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p</w:t>
      </w:r>
      <w:r w:rsidR="0039759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rzednią</w:t>
      </w:r>
      <w:r w:rsidR="00167AC7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 edycją</w:t>
      </w:r>
      <w:r w:rsidR="00273F7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 badania. Odnotowano wzrost wartości wskaźnika zmiany sytuacji</w:t>
      </w:r>
      <w:r w:rsidR="00AE0502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 ogólnej gospodarstwa rolnego o </w:t>
      </w:r>
      <w:r w:rsidR="00273F7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3,6</w:t>
      </w:r>
      <w:r w:rsidR="0039759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 </w:t>
      </w:r>
      <w:r w:rsidR="00AE0502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p. proc. </w:t>
      </w:r>
      <w:r w:rsidR="00AB7B3A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w porównaniu z I </w:t>
      </w:r>
      <w:r w:rsidR="00273F7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półroczem</w:t>
      </w:r>
      <w:r w:rsid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 </w:t>
      </w:r>
      <w:r w:rsidR="00273F7D" w:rsidRPr="008040A3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2023 r</w:t>
      </w:r>
      <w:r w:rsidR="00273F7D" w:rsidRPr="00BA3E13">
        <w:rPr>
          <w:rFonts w:ascii="Fira Sans" w:eastAsia="Times New Roman" w:hAnsi="Fira Sans" w:cs="Calibri"/>
          <w:b/>
          <w:bCs/>
          <w:noProof/>
          <w:color w:val="000000"/>
          <w:sz w:val="18"/>
          <w:szCs w:val="18"/>
          <w:lang w:eastAsia="pl-PL"/>
        </w:rPr>
        <w:t>.</w:t>
      </w:r>
    </w:p>
    <w:p w14:paraId="1AD89DB5" w14:textId="77777777" w:rsidR="00273F7D" w:rsidRPr="00273F7D" w:rsidRDefault="00273F7D" w:rsidP="00273F7D">
      <w:pPr>
        <w:rPr>
          <w:rFonts w:ascii="Fira Sans" w:hAnsi="Fira Sans"/>
          <w:color w:val="000000" w:themeColor="text1"/>
          <w:sz w:val="19"/>
          <w:szCs w:val="19"/>
        </w:rPr>
      </w:pPr>
      <w:r w:rsidRPr="00273F7D">
        <w:rPr>
          <w:rFonts w:ascii="Fira Sans" w:hAnsi="Fira Sans"/>
          <w:color w:val="000000" w:themeColor="text1"/>
          <w:sz w:val="19"/>
          <w:szCs w:val="19"/>
        </w:rPr>
        <w:t>Oceny różniły się w zależności od formy prawnej gospodarstwa rolnego, powierzchni użytków rolnych, ukierunkowania produkcyjnego gospodarstw rolny</w:t>
      </w:r>
      <w:r w:rsidR="00C040ED">
        <w:rPr>
          <w:rFonts w:ascii="Fira Sans" w:hAnsi="Fira Sans"/>
          <w:color w:val="000000" w:themeColor="text1"/>
          <w:sz w:val="19"/>
          <w:szCs w:val="19"/>
        </w:rPr>
        <w:t>ch, rodzaju prowadzonych upraw i </w:t>
      </w:r>
      <w:r w:rsidRPr="00273F7D">
        <w:rPr>
          <w:rFonts w:ascii="Fira Sans" w:hAnsi="Fira Sans"/>
          <w:color w:val="000000" w:themeColor="text1"/>
          <w:sz w:val="19"/>
          <w:szCs w:val="19"/>
        </w:rPr>
        <w:t>gatunków/grup użytkowych utrzymywanych zwierząt go</w:t>
      </w:r>
      <w:r w:rsidR="00C040ED">
        <w:rPr>
          <w:rFonts w:ascii="Fira Sans" w:hAnsi="Fira Sans"/>
          <w:color w:val="000000" w:themeColor="text1"/>
          <w:sz w:val="19"/>
          <w:szCs w:val="19"/>
        </w:rPr>
        <w:t>spodarskich, a także od wieku i </w:t>
      </w:r>
      <w:r w:rsidRPr="00273F7D">
        <w:rPr>
          <w:rFonts w:ascii="Fira Sans" w:hAnsi="Fira Sans"/>
          <w:color w:val="000000" w:themeColor="text1"/>
          <w:sz w:val="19"/>
          <w:szCs w:val="19"/>
        </w:rPr>
        <w:t>wykształcenia osoby kierującej gospodarstwem rolnym.</w:t>
      </w:r>
    </w:p>
    <w:p w14:paraId="0326F69C" w14:textId="77777777" w:rsidR="00273F7D" w:rsidRPr="00273F7D" w:rsidRDefault="00273F7D" w:rsidP="00273F7D">
      <w:pPr>
        <w:rPr>
          <w:rFonts w:ascii="Fira Sans" w:hAnsi="Fira Sans"/>
          <w:color w:val="000000" w:themeColor="text1"/>
          <w:sz w:val="19"/>
          <w:szCs w:val="19"/>
        </w:rPr>
      </w:pPr>
      <w:r w:rsidRPr="00273F7D">
        <w:rPr>
          <w:rFonts w:ascii="Fira Sans" w:hAnsi="Fira Sans"/>
          <w:color w:val="000000" w:themeColor="text1"/>
          <w:sz w:val="19"/>
          <w:szCs w:val="19"/>
        </w:rPr>
        <w:t xml:space="preserve">Analiza sald odpowiedzi wykazała m. in., że: </w:t>
      </w:r>
    </w:p>
    <w:p w14:paraId="08CF6796" w14:textId="77777777" w:rsidR="00273F7D" w:rsidRPr="00273F7D" w:rsidRDefault="00273F7D" w:rsidP="00273F7D">
      <w:pPr>
        <w:numPr>
          <w:ilvl w:val="0"/>
          <w:numId w:val="3"/>
        </w:numPr>
        <w:rPr>
          <w:rFonts w:ascii="Fira Sans" w:hAnsi="Fira Sans"/>
          <w:color w:val="000000" w:themeColor="text1"/>
          <w:sz w:val="19"/>
          <w:szCs w:val="19"/>
        </w:rPr>
      </w:pPr>
      <w:r w:rsidRPr="00273F7D">
        <w:rPr>
          <w:rFonts w:ascii="Fira Sans" w:hAnsi="Fira Sans"/>
          <w:color w:val="000000" w:themeColor="text1"/>
          <w:sz w:val="19"/>
          <w:szCs w:val="19"/>
        </w:rPr>
        <w:t>osoby kierujące gospodarstwami indywidualnymi wyraziły bardziej pesymistyczne opinie o zmianach jakie zaszły w II półroczu 2023 r., a także o sytuacji bieżącej (grudzień 2023 r.), niż użytkownicy gospodarstw osób prawnych i niemających osobowości prawnej,</w:t>
      </w:r>
    </w:p>
    <w:p w14:paraId="17C59FB7" w14:textId="01CD852D" w:rsidR="00273F7D" w:rsidRDefault="00AE0502" w:rsidP="00273F7D">
      <w:pPr>
        <w:numPr>
          <w:ilvl w:val="0"/>
          <w:numId w:val="3"/>
        </w:numPr>
        <w:rPr>
          <w:rFonts w:ascii="Fira Sans" w:hAnsi="Fira Sans"/>
          <w:color w:val="000000" w:themeColor="text1"/>
          <w:sz w:val="19"/>
          <w:szCs w:val="19"/>
        </w:rPr>
      </w:pPr>
      <w:r w:rsidRPr="00D33600">
        <w:rPr>
          <w:noProof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2948480" behindDoc="1" locked="0" layoutInCell="1" allowOverlap="1" wp14:anchorId="738F3FE4" wp14:editId="648AA068">
                <wp:simplePos x="0" y="0"/>
                <wp:positionH relativeFrom="column">
                  <wp:posOffset>5271135</wp:posOffset>
                </wp:positionH>
                <wp:positionV relativeFrom="paragraph">
                  <wp:posOffset>398780</wp:posOffset>
                </wp:positionV>
                <wp:extent cx="1784350" cy="2751455"/>
                <wp:effectExtent l="0" t="0" r="0" b="0"/>
                <wp:wrapTight wrapText="bothSides">
                  <wp:wrapPolygon edited="0">
                    <wp:start x="692" y="0"/>
                    <wp:lineTo x="692" y="21386"/>
                    <wp:lineTo x="20754" y="21386"/>
                    <wp:lineTo x="20754" y="0"/>
                    <wp:lineTo x="692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275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11F7" w14:textId="77777777" w:rsidR="00E14EFF" w:rsidRPr="00AE0502" w:rsidRDefault="00E14EFF" w:rsidP="00AE0502">
                            <w:pPr>
                              <w:pStyle w:val="Tekstkomentarza"/>
                              <w:rPr>
                                <w:rFonts w:ascii="Fira Sans" w:hAnsi="Fira Sans"/>
                                <w:color w:val="001D77"/>
                                <w:sz w:val="18"/>
                                <w:szCs w:val="16"/>
                              </w:rPr>
                            </w:pPr>
                            <w:r w:rsidRPr="00AE0502">
                              <w:rPr>
                                <w:rFonts w:ascii="Fira Sans" w:hAnsi="Fira Sans"/>
                                <w:color w:val="001D77"/>
                                <w:sz w:val="18"/>
                                <w:szCs w:val="16"/>
                              </w:rPr>
                              <w:t>Wskaźnik zmiany sytuacji ogólnej gospodarstwa rolnego jest wskaźnikiem złożonym. Obliczany jest jako średnia arytmetyczna sald odpowiedz</w:t>
                            </w:r>
                            <w:r>
                              <w:rPr>
                                <w:rFonts w:ascii="Fira Sans" w:hAnsi="Fira Sans"/>
                                <w:color w:val="001D77"/>
                                <w:sz w:val="18"/>
                                <w:szCs w:val="16"/>
                              </w:rPr>
                              <w:t>i na pytania dotyczące zmiany i </w:t>
                            </w:r>
                            <w:r w:rsidRPr="00AE0502">
                              <w:rPr>
                                <w:rFonts w:ascii="Fira Sans" w:hAnsi="Fira Sans"/>
                                <w:color w:val="001D77"/>
                                <w:sz w:val="18"/>
                                <w:szCs w:val="16"/>
                              </w:rPr>
                              <w:t>przewidywanej sytuacji gospodarstwa rolnego. Przyjmuje wartości od -100 do +100, przy czym wartości poniżej zera są oceniane jako negatywne (wskaz</w:t>
                            </w:r>
                            <w:r>
                              <w:rPr>
                                <w:rFonts w:ascii="Fira Sans" w:hAnsi="Fira Sans"/>
                                <w:color w:val="001D77"/>
                                <w:sz w:val="18"/>
                                <w:szCs w:val="16"/>
                              </w:rPr>
                              <w:t>ujące na gorszą koniunkturę), a </w:t>
                            </w:r>
                            <w:r w:rsidRPr="00AE0502">
                              <w:rPr>
                                <w:rFonts w:ascii="Fira Sans" w:hAnsi="Fira Sans"/>
                                <w:color w:val="001D77"/>
                                <w:sz w:val="18"/>
                                <w:szCs w:val="16"/>
                              </w:rPr>
                              <w:t>powyżej zera – jako pozytywne (wskazujące na dobrą koniunkturę). Wskaźnik przyjmujący wartość równą zero oznacza sytuację, gdy koniunktura nie zmienia się.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F3FE4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7" type="#_x0000_t202" style="position:absolute;left:0;text-align:left;margin-left:415.05pt;margin-top:31.4pt;width:140.5pt;height:216.65pt;z-index:-2503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8AEgIAAAEEAAAOAAAAZHJzL2Uyb0RvYy54bWysU8GO0zAQvSPxD5bvNG1p2G7UdLXssghp&#10;gZUWPmDqOI21tsfYbpPy9YydtlRwQ+Rg2RnPm3lvnlc3g9FsL31QaGs+m0w5k1Zgo+y25t+/PbxZ&#10;chYi2AY0Wlnzgwz8Zv361ap3lZxjh7qRnhGIDVXvat7F6KqiCKKTBsIEnbQUbNEbiHT026Lx0BO6&#10;0cV8On1X9Ogb51HIEOjv/Rjk64zftlLEr20bZGS65tRbzKvP6yatxXoF1daD65Q4tgH/0IUBZano&#10;GeoeIrCdV39BGSU8BmzjRKApsG2VkJkDsZlN/2Dz3IGTmQuJE9xZpvD/YMWX/ZNnqqHZzTmzYGhG&#10;T6gli/IlROwlo/8kUu9CRXefHd2Ow3scKCETDu4RxUtgFu86sFt56z32nYSGmpylzOIidcQJCWTT&#10;f8aGisEuYgYaWm+SgqQJI3Qa1uE8IDlEJlLJq+XibUkhQbH5VTlblGWuAdUp3fkQP0o0LG1q7skB&#10;GR72jyGmdqA6XUnVLD4orbMLtGV9za/LeZkTLiJGRTKpVqbmy2n6Rtsklh9sk5MjKD3uqYC2R9qJ&#10;6cg5DpthlPmk5gabA+ngcfQkvSHadOh/ctaTH2sefuzAS870J0taXs8Wi2TgfFiUV3M6+MvI5jIC&#10;VhBUzSNn4/YuZtOPlG9J81ZlNdJwxk6OLZPPskjHN5GMfHnOt36/3PUvAAAA//8DAFBLAwQUAAYA&#10;CAAAACEAv5JJLt4AAAALAQAADwAAAGRycy9kb3ducmV2LnhtbEyPTU/DMAyG70j7D5GRuLGkY1Rb&#10;qTtNIK5MGx8St6zx2orGqZpsLf+e9MR8s/zo9fPmm9G24kK9bxwjJHMFgrh0puEK4eP99X4FwgfN&#10;RreOCeGXPGyK2U2uM+MG3tPlECoRQ9hnGqEOocuk9GVNVvu564jj7eR6q0Nc+0qaXg8x3LZyoVQq&#10;rW44fqh1R881lT+Hs0X4fDt9fy3Vrnqxj93gRiXZriXi3e24fQIRaAz/MEz6UR2K6HR0ZzZetAir&#10;B5VEFCFdxAoTMA2II8JynSYgi1xedyj+AAAA//8DAFBLAQItABQABgAIAAAAIQC2gziS/gAAAOEB&#10;AAATAAAAAAAAAAAAAAAAAAAAAABbQ29udGVudF9UeXBlc10ueG1sUEsBAi0AFAAGAAgAAAAhADj9&#10;If/WAAAAlAEAAAsAAAAAAAAAAAAAAAAALwEAAF9yZWxzLy5yZWxzUEsBAi0AFAAGAAgAAAAhAIZa&#10;3wASAgAAAQQAAA4AAAAAAAAAAAAAAAAALgIAAGRycy9lMm9Eb2MueG1sUEsBAi0AFAAGAAgAAAAh&#10;AL+SSS7eAAAACwEAAA8AAAAAAAAAAAAAAAAAbAQAAGRycy9kb3ducmV2LnhtbFBLBQYAAAAABAAE&#10;APMAAAB3BQAAAAA=&#10;" filled="f" stroked="f">
                <v:textbox>
                  <w:txbxContent>
                    <w:p w14:paraId="51A011F7" w14:textId="77777777" w:rsidR="00E14EFF" w:rsidRPr="00AE0502" w:rsidRDefault="00E14EFF" w:rsidP="00AE0502">
                      <w:pPr>
                        <w:pStyle w:val="Tekstkomentarza"/>
                        <w:rPr>
                          <w:rFonts w:ascii="Fira Sans" w:hAnsi="Fira Sans"/>
                          <w:color w:val="001D77"/>
                          <w:sz w:val="18"/>
                          <w:szCs w:val="16"/>
                        </w:rPr>
                      </w:pPr>
                      <w:r w:rsidRPr="00AE0502">
                        <w:rPr>
                          <w:rFonts w:ascii="Fira Sans" w:hAnsi="Fira Sans"/>
                          <w:color w:val="001D77"/>
                          <w:sz w:val="18"/>
                          <w:szCs w:val="16"/>
                        </w:rPr>
                        <w:t>Wskaźnik zmiany sytuacji ogólnej gospodarstwa rolnego jest wskaźnikiem złożonym. Obliczany jest jako średnia arytmetyczna sald odpowiedz</w:t>
                      </w:r>
                      <w:r>
                        <w:rPr>
                          <w:rFonts w:ascii="Fira Sans" w:hAnsi="Fira Sans"/>
                          <w:color w:val="001D77"/>
                          <w:sz w:val="18"/>
                          <w:szCs w:val="16"/>
                        </w:rPr>
                        <w:t>i na pytania dotyczące zmiany i </w:t>
                      </w:r>
                      <w:r w:rsidRPr="00AE0502">
                        <w:rPr>
                          <w:rFonts w:ascii="Fira Sans" w:hAnsi="Fira Sans"/>
                          <w:color w:val="001D77"/>
                          <w:sz w:val="18"/>
                          <w:szCs w:val="16"/>
                        </w:rPr>
                        <w:t>przewidywanej sytuacji gospodarstwa rolnego. Przyjmuje wartości od -100 do +100, przy czym wartości poniżej zera są oceniane jako negatywne (wskaz</w:t>
                      </w:r>
                      <w:r>
                        <w:rPr>
                          <w:rFonts w:ascii="Fira Sans" w:hAnsi="Fira Sans"/>
                          <w:color w:val="001D77"/>
                          <w:sz w:val="18"/>
                          <w:szCs w:val="16"/>
                        </w:rPr>
                        <w:t>ujące na gorszą koniunkturę), a </w:t>
                      </w:r>
                      <w:r w:rsidRPr="00AE0502">
                        <w:rPr>
                          <w:rFonts w:ascii="Fira Sans" w:hAnsi="Fira Sans"/>
                          <w:color w:val="001D77"/>
                          <w:sz w:val="18"/>
                          <w:szCs w:val="16"/>
                        </w:rPr>
                        <w:t>powyżej zera – jako pozytywne (wskazujące na dobrą koniunkturę). Wskaźnik przyjmujący wartość równą zero oznacza sytuację, gdy koniunktura nie zmienia się.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3F7D" w:rsidRPr="00273F7D">
        <w:rPr>
          <w:rFonts w:ascii="Fira Sans" w:hAnsi="Fira Sans"/>
          <w:color w:val="000000" w:themeColor="text1"/>
          <w:sz w:val="19"/>
          <w:szCs w:val="19"/>
        </w:rPr>
        <w:t>kierujący gospodarstwami prowadzącymi produkcję roślinną ocenili koniunkturę</w:t>
      </w:r>
      <w:r w:rsidR="00E5342D">
        <w:rPr>
          <w:rFonts w:ascii="Fira Sans" w:hAnsi="Fira Sans"/>
          <w:color w:val="000000" w:themeColor="text1"/>
          <w:sz w:val="19"/>
          <w:szCs w:val="19"/>
        </w:rPr>
        <w:t xml:space="preserve"> mniej korzystnie</w:t>
      </w:r>
      <w:r w:rsidR="00273F7D" w:rsidRPr="00273F7D">
        <w:rPr>
          <w:rFonts w:ascii="Fira Sans" w:hAnsi="Fira Sans"/>
          <w:color w:val="000000" w:themeColor="text1"/>
          <w:sz w:val="19"/>
          <w:szCs w:val="19"/>
        </w:rPr>
        <w:t>,</w:t>
      </w:r>
      <w:r w:rsidR="00E5342D">
        <w:rPr>
          <w:rFonts w:ascii="Fira Sans" w:hAnsi="Fira Sans"/>
          <w:color w:val="000000" w:themeColor="text1"/>
          <w:sz w:val="19"/>
          <w:szCs w:val="19"/>
        </w:rPr>
        <w:t xml:space="preserve"> niż użytkownicy gospodarstw prowadzących produkcję zwierzęcą. Jednocześnie </w:t>
      </w:r>
      <w:r w:rsidR="00273F7D" w:rsidRPr="00273F7D">
        <w:rPr>
          <w:rFonts w:ascii="Fira Sans" w:hAnsi="Fira Sans"/>
          <w:color w:val="000000" w:themeColor="text1"/>
          <w:sz w:val="19"/>
          <w:szCs w:val="19"/>
        </w:rPr>
        <w:t>wyrazili więcej negatywnych opinii na temat przyszłej ogólnej sytuacji</w:t>
      </w:r>
      <w:r w:rsidR="00E5342D">
        <w:rPr>
          <w:rFonts w:ascii="Fira Sans" w:hAnsi="Fira Sans"/>
          <w:color w:val="000000" w:themeColor="text1"/>
          <w:sz w:val="19"/>
          <w:szCs w:val="19"/>
        </w:rPr>
        <w:t xml:space="preserve"> swoich </w:t>
      </w:r>
      <w:r w:rsidR="006450E9">
        <w:rPr>
          <w:rFonts w:ascii="Fira Sans" w:hAnsi="Fira Sans"/>
          <w:color w:val="000000" w:themeColor="text1"/>
          <w:sz w:val="19"/>
          <w:szCs w:val="19"/>
        </w:rPr>
        <w:t>gospodarstw</w:t>
      </w:r>
      <w:r w:rsidR="008A6D84">
        <w:rPr>
          <w:rFonts w:ascii="Fira Sans" w:hAnsi="Fira Sans"/>
          <w:color w:val="000000" w:themeColor="text1"/>
          <w:sz w:val="19"/>
          <w:szCs w:val="19"/>
        </w:rPr>
        <w:t xml:space="preserve"> rolnych,</w:t>
      </w:r>
    </w:p>
    <w:p w14:paraId="138CFF1F" w14:textId="77777777" w:rsidR="003C5758" w:rsidRPr="00BA4A82" w:rsidRDefault="00273F7D" w:rsidP="00273F7D">
      <w:pPr>
        <w:numPr>
          <w:ilvl w:val="0"/>
          <w:numId w:val="3"/>
        </w:numPr>
        <w:rPr>
          <w:rFonts w:ascii="Fira Sans" w:hAnsi="Fira Sans"/>
          <w:color w:val="000000" w:themeColor="text1"/>
          <w:sz w:val="19"/>
          <w:szCs w:val="19"/>
        </w:rPr>
      </w:pPr>
      <w:r w:rsidRPr="00D9133B">
        <w:rPr>
          <w:rFonts w:ascii="Fira Sans" w:hAnsi="Fira Sans"/>
          <w:color w:val="000000" w:themeColor="text1"/>
          <w:sz w:val="19"/>
          <w:szCs w:val="19"/>
        </w:rPr>
        <w:t>najmniej pesymistyczne oceny wyrażali młodzi rolnicy (poniżej 25 lat), a także osoby prowadzące gospodarstwo rolne przez okres 2–5 lat.</w:t>
      </w:r>
    </w:p>
    <w:p w14:paraId="23241614" w14:textId="77777777" w:rsidR="00A00B80" w:rsidRDefault="005612BD" w:rsidP="005612BD">
      <w:pPr>
        <w:spacing w:before="360" w:after="120"/>
        <w:rPr>
          <w:rFonts w:ascii="Fira Sans" w:hAnsi="Fira Sans"/>
          <w:b/>
          <w:spacing w:val="-2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962816" behindDoc="1" locked="0" layoutInCell="1" allowOverlap="1" wp14:anchorId="770D176A" wp14:editId="4C483B89">
            <wp:simplePos x="0" y="0"/>
            <wp:positionH relativeFrom="column">
              <wp:posOffset>-24142</wp:posOffset>
            </wp:positionH>
            <wp:positionV relativeFrom="paragraph">
              <wp:posOffset>432507</wp:posOffset>
            </wp:positionV>
            <wp:extent cx="5239385" cy="2770505"/>
            <wp:effectExtent l="0" t="0" r="0" b="0"/>
            <wp:wrapTight wrapText="bothSides">
              <wp:wrapPolygon edited="0">
                <wp:start x="0" y="0"/>
                <wp:lineTo x="0" y="21387"/>
                <wp:lineTo x="21519" y="21387"/>
                <wp:lineTo x="21519" y="0"/>
                <wp:lineTo x="0" y="0"/>
              </wp:wrapPolygon>
            </wp:wrapTight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3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  <w:r w:rsidR="00A00B80" w:rsidRPr="003F102C">
        <w:rPr>
          <w:rFonts w:ascii="Fira Sans" w:hAnsi="Fira Sans"/>
          <w:b/>
          <w:spacing w:val="-2"/>
          <w:sz w:val="19"/>
          <w:szCs w:val="19"/>
        </w:rPr>
        <w:t>Wykre</w:t>
      </w:r>
      <w:r w:rsidR="00A00B80">
        <w:rPr>
          <w:rFonts w:ascii="Fira Sans" w:hAnsi="Fira Sans"/>
          <w:b/>
          <w:spacing w:val="-2"/>
          <w:sz w:val="19"/>
          <w:szCs w:val="19"/>
        </w:rPr>
        <w:t>s 1.</w:t>
      </w:r>
      <w:r w:rsidR="00BB6EB5">
        <w:rPr>
          <w:rFonts w:ascii="Fira Sans" w:hAnsi="Fira Sans"/>
          <w:b/>
          <w:spacing w:val="-2"/>
          <w:sz w:val="19"/>
          <w:szCs w:val="19"/>
        </w:rPr>
        <w:t xml:space="preserve"> </w:t>
      </w:r>
      <w:r w:rsidR="00A00B80">
        <w:rPr>
          <w:rFonts w:ascii="Fira Sans" w:hAnsi="Fira Sans"/>
          <w:b/>
          <w:spacing w:val="-2"/>
          <w:sz w:val="19"/>
          <w:szCs w:val="19"/>
        </w:rPr>
        <w:t>Wskaźnik zmiany sytuacji ogólnej gospodarstwa rolnego</w:t>
      </w:r>
    </w:p>
    <w:p w14:paraId="3A6FB5E0" w14:textId="77777777" w:rsidR="00273F7D" w:rsidRDefault="00273F7D" w:rsidP="00B60CAC">
      <w:pPr>
        <w:spacing w:before="120" w:after="120"/>
        <w:rPr>
          <w:rFonts w:ascii="Fira Sans" w:hAnsi="Fira Sans"/>
          <w:b/>
          <w:spacing w:val="-2"/>
          <w:sz w:val="19"/>
          <w:szCs w:val="19"/>
        </w:rPr>
      </w:pPr>
    </w:p>
    <w:p w14:paraId="6AA121D6" w14:textId="5CBE559D" w:rsidR="004E2A40" w:rsidRPr="00B60CAC" w:rsidRDefault="00036D9A" w:rsidP="00B60CAC">
      <w:pPr>
        <w:spacing w:before="120" w:after="120"/>
        <w:rPr>
          <w:rFonts w:ascii="Fira Sans" w:hAnsi="Fira Sans"/>
          <w:b/>
          <w:spacing w:val="-2"/>
          <w:sz w:val="19"/>
          <w:szCs w:val="19"/>
        </w:rPr>
      </w:pPr>
      <w:r w:rsidRPr="00036D9A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2986368" behindDoc="1" locked="0" layoutInCell="1" allowOverlap="1" wp14:anchorId="0A20E4B1" wp14:editId="1E9AA2C4">
                <wp:simplePos x="0" y="0"/>
                <wp:positionH relativeFrom="margin">
                  <wp:posOffset>5353050</wp:posOffset>
                </wp:positionH>
                <wp:positionV relativeFrom="paragraph">
                  <wp:posOffset>133985</wp:posOffset>
                </wp:positionV>
                <wp:extent cx="1715770" cy="1737995"/>
                <wp:effectExtent l="0" t="0" r="0" b="0"/>
                <wp:wrapTight wrapText="bothSides">
                  <wp:wrapPolygon edited="0">
                    <wp:start x="719" y="0"/>
                    <wp:lineTo x="719" y="21308"/>
                    <wp:lineTo x="20865" y="21308"/>
                    <wp:lineTo x="20865" y="0"/>
                    <wp:lineTo x="719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5770" cy="173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2F664" w14:textId="77777777" w:rsidR="00E14EFF" w:rsidRPr="005612BD" w:rsidRDefault="00E14EFF" w:rsidP="00036D9A">
                            <w:pPr>
                              <w:spacing w:before="120" w:after="120"/>
                              <w:rPr>
                                <w:rFonts w:ascii="Fira Sans" w:hAnsi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5612BD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 II półroczu 2023 r. 63,4% kierujących gospodarstwami rolnymi zasygnalizowało pogorszenie opła</w:t>
                            </w:r>
                            <w:r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>calności produkcji rolniczej, a </w:t>
                            </w:r>
                            <w:r w:rsidRPr="005612BD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poprawę około 2,4%. Pozostali</w:t>
                            </w:r>
                            <w:r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uznali, że </w:t>
                            </w:r>
                            <w:r w:rsidRPr="005612BD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>opłacalność nie ulegnie zmianie.</w:t>
                            </w:r>
                          </w:p>
                          <w:p w14:paraId="395342EE" w14:textId="77777777" w:rsidR="00E14EFF" w:rsidRPr="005429D3" w:rsidRDefault="00E14EFF" w:rsidP="00036D9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0E4B1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style="position:absolute;margin-left:421.5pt;margin-top:10.55pt;width:135.1pt;height:136.85pt;flip:x;z-index:-25033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yBFgIAAAsEAAAOAAAAZHJzL2Uyb0RvYy54bWysU9Fu2yAUfZ+0f0C8L46zZG6sOFXXrtuk&#10;bqvU7QMIhhgVuAxI7PTrd8FpGnVv0/yAwPdy7j3nHlaXg9FkL3xQYBtaTqaUCMuhVXbb0F8/b99d&#10;UBIisy3TYEVDDyLQy/XbN6ve1WIGHehWeIIgNtS9a2gXo6uLIvBOGBYm4ITFoARvWMSj3xatZz2i&#10;G13MptMPRQ++dR64CAH/3oxBus74Ugoef0gZRCS6odhbzKvP6yatxXrF6q1nrlP82Ab7hy4MUxaL&#10;nqBuWGRk59VfUEZxDwFknHAwBUipuMgckE05fcXmoWNOZC4oTnAnmcL/g+Xf9/eeqLahswUllhmc&#10;0T1oQaJ4DBF6QfA/itS7UGPug8PsOHyEAYedCQd3B/wxEAvXHbNbceU99J1gLTZZppvF2dURJySQ&#10;Tf8NWizGdhEy0CC9IVIr9+UZGtUhWAfHdjiNSgyR8FS8KhdVhSGOsbJ6Xy2Xuc+C1QkojcL5ED8L&#10;MCRtGurRC7kQ29+FmBp7SUnpFm6V1tkP2pK+ocsFUn8VMSqiXbUyDb2Ypm80UOL7ybb5cmRKj3ss&#10;oO1RgMR5ZB+HzTAK/qzrBtoDKuJhdCe+Jtx04J8o6dGZDQ2/d8wLSvRXi6ouy/k8WTkf5otqhgd/&#10;HtmcR5jlCNXQSMm4vY7Z/iOxK1RfqqxGGtPYybFldFwW6fg6kqXPzznr5Q2v/wAAAP//AwBQSwME&#10;FAAGAAgAAAAhAOOTvt/iAAAACwEAAA8AAABkcnMvZG93bnJldi54bWxMj8FOwzAQRO9I/IO1SNyo&#10;4zRACHEqhITEISAakMrRjbdJVHsdxW4b/h73BMfZGc2+KVezNeyIkx8cSRCLBBhS6/RAnYSvz5eb&#10;HJgPirQyjlDCD3pYVZcXpSq0O9Eaj03oWCwhXygJfQhjwblve7TKL9yIFL2dm6wKUU4d15M6xXJr&#10;eJokd9yqgeKHXo343GO7bw5Wgq43m9v7/Viv++9s92redd18vEl5fTU/PQILOIe/MJzxIzpUkWnr&#10;DqQ9MxLybBm3BAmpEMDOASGWKbBtvDxkOfCq5P83VL8AAAD//wMAUEsBAi0AFAAGAAgAAAAhALaD&#10;OJL+AAAA4QEAABMAAAAAAAAAAAAAAAAAAAAAAFtDb250ZW50X1R5cGVzXS54bWxQSwECLQAUAAYA&#10;CAAAACEAOP0h/9YAAACUAQAACwAAAAAAAAAAAAAAAAAvAQAAX3JlbHMvLnJlbHNQSwECLQAUAAYA&#10;CAAAACEApTB8gRYCAAALBAAADgAAAAAAAAAAAAAAAAAuAgAAZHJzL2Uyb0RvYy54bWxQSwECLQAU&#10;AAYACAAAACEA45O+3+IAAAALAQAADwAAAAAAAAAAAAAAAABwBAAAZHJzL2Rvd25yZXYueG1sUEsF&#10;BgAAAAAEAAQA8wAAAH8FAAAAAA==&#10;" filled="f" stroked="f">
                <v:textbox>
                  <w:txbxContent>
                    <w:p w14:paraId="5522F664" w14:textId="77777777" w:rsidR="00E14EFF" w:rsidRPr="005612BD" w:rsidRDefault="00E14EFF" w:rsidP="00036D9A">
                      <w:pPr>
                        <w:spacing w:before="120" w:after="120"/>
                        <w:rPr>
                          <w:rFonts w:ascii="Fira Sans" w:hAnsi="Fira Sans"/>
                          <w:color w:val="001D77"/>
                          <w:spacing w:val="-2"/>
                          <w:sz w:val="18"/>
                          <w:szCs w:val="18"/>
                        </w:rPr>
                      </w:pPr>
                      <w:r w:rsidRPr="005612BD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8"/>
                        </w:rPr>
                        <w:t>W II półroczu 2023 r. 63,4% kierujących gospodarstwami rolnymi zasygnalizowało pogorszenie opła</w:t>
                      </w:r>
                      <w:r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8"/>
                        </w:rPr>
                        <w:t>calności produkcji rolniczej, a </w:t>
                      </w:r>
                      <w:r w:rsidRPr="005612BD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8"/>
                        </w:rPr>
                        <w:t>poprawę około 2,4%. Pozostali</w:t>
                      </w:r>
                      <w:r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8"/>
                        </w:rPr>
                        <w:t xml:space="preserve"> uznali, że </w:t>
                      </w:r>
                      <w:r w:rsidRPr="005612BD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8"/>
                        </w:rPr>
                        <w:t>opłacalność nie ulegnie zmianie.</w:t>
                      </w:r>
                    </w:p>
                    <w:p w14:paraId="395342EE" w14:textId="77777777" w:rsidR="00E14EFF" w:rsidRPr="005429D3" w:rsidRDefault="00E14EFF" w:rsidP="00036D9A">
                      <w:pPr>
                        <w:pStyle w:val="tekstzboku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E2A40" w:rsidRPr="00B60CAC">
        <w:rPr>
          <w:rFonts w:ascii="Fira Sans" w:hAnsi="Fira Sans"/>
          <w:b/>
          <w:spacing w:val="-2"/>
          <w:sz w:val="19"/>
          <w:szCs w:val="19"/>
        </w:rPr>
        <w:t>Zmiana w</w:t>
      </w:r>
      <w:r w:rsidR="00BC6C00">
        <w:rPr>
          <w:rFonts w:ascii="Fira Sans" w:hAnsi="Fira Sans"/>
          <w:b/>
          <w:spacing w:val="-2"/>
          <w:sz w:val="19"/>
          <w:szCs w:val="19"/>
        </w:rPr>
        <w:t xml:space="preserve"> koniunkturze w II półroczu 2023</w:t>
      </w:r>
      <w:r w:rsidR="004E2A40" w:rsidRPr="00B60CAC">
        <w:rPr>
          <w:rFonts w:ascii="Fira Sans" w:hAnsi="Fira Sans"/>
          <w:b/>
          <w:spacing w:val="-2"/>
          <w:sz w:val="19"/>
          <w:szCs w:val="19"/>
        </w:rPr>
        <w:t xml:space="preserve"> r.</w:t>
      </w:r>
    </w:p>
    <w:p w14:paraId="74E29DEC" w14:textId="2D6793CB" w:rsidR="002C2FBF" w:rsidRPr="002C2FBF" w:rsidRDefault="002C2FBF" w:rsidP="002C2FBF">
      <w:pPr>
        <w:spacing w:before="240" w:after="120"/>
        <w:rPr>
          <w:rFonts w:ascii="Fira Sans" w:hAnsi="Fira Sans"/>
          <w:spacing w:val="-2"/>
          <w:sz w:val="19"/>
          <w:szCs w:val="19"/>
        </w:rPr>
      </w:pPr>
      <w:r w:rsidRPr="002C2FBF">
        <w:rPr>
          <w:rFonts w:ascii="Fira Sans" w:hAnsi="Fira Sans"/>
          <w:spacing w:val="-2"/>
          <w:sz w:val="19"/>
          <w:szCs w:val="19"/>
        </w:rPr>
        <w:t>W II półroczu 2023 r. wartoś</w:t>
      </w:r>
      <w:r w:rsidR="004541A0">
        <w:rPr>
          <w:rFonts w:ascii="Fira Sans" w:hAnsi="Fira Sans"/>
          <w:spacing w:val="-2"/>
          <w:sz w:val="19"/>
          <w:szCs w:val="19"/>
        </w:rPr>
        <w:t>ci</w:t>
      </w:r>
      <w:r w:rsidRPr="002C2FBF">
        <w:rPr>
          <w:rFonts w:ascii="Fira Sans" w:hAnsi="Fira Sans"/>
          <w:spacing w:val="-2"/>
          <w:sz w:val="19"/>
          <w:szCs w:val="19"/>
        </w:rPr>
        <w:t xml:space="preserve"> </w:t>
      </w:r>
      <w:r w:rsidR="00BF2D3C">
        <w:rPr>
          <w:rFonts w:ascii="Fira Sans" w:hAnsi="Fira Sans"/>
          <w:spacing w:val="-2"/>
          <w:sz w:val="19"/>
          <w:szCs w:val="19"/>
        </w:rPr>
        <w:t>sald odpowiedzi na pytania dot.</w:t>
      </w:r>
      <w:r w:rsidRPr="002C2FBF">
        <w:rPr>
          <w:rFonts w:ascii="Fira Sans" w:hAnsi="Fira Sans"/>
          <w:spacing w:val="-2"/>
          <w:sz w:val="19"/>
          <w:szCs w:val="19"/>
        </w:rPr>
        <w:t xml:space="preserve"> zmiany ogólnej sytuacji gospodarstw rolnych, zmiany popytu na wytwarzane produkty rolne oraz zmiany opłacalności produkcji rolniczej zwiększyła się</w:t>
      </w:r>
      <w:r w:rsidR="00B57E6A">
        <w:rPr>
          <w:rFonts w:ascii="Fira Sans" w:hAnsi="Fira Sans"/>
          <w:spacing w:val="-2"/>
          <w:sz w:val="19"/>
          <w:szCs w:val="19"/>
        </w:rPr>
        <w:t xml:space="preserve"> w porównaniu z I półroczem 2023</w:t>
      </w:r>
      <w:r w:rsidRPr="002C2FBF">
        <w:rPr>
          <w:rFonts w:ascii="Fira Sans" w:hAnsi="Fira Sans"/>
          <w:spacing w:val="-2"/>
          <w:sz w:val="19"/>
          <w:szCs w:val="19"/>
        </w:rPr>
        <w:t xml:space="preserve"> r., jednocześnie zmniejszyła się w ujęciu rocznym. </w:t>
      </w:r>
    </w:p>
    <w:p w14:paraId="28CAB1DA" w14:textId="498125D5" w:rsidR="002C2FBF" w:rsidRPr="003C5758" w:rsidRDefault="002C2FBF" w:rsidP="002C2FBF">
      <w:pPr>
        <w:spacing w:before="240" w:after="120"/>
        <w:rPr>
          <w:rFonts w:ascii="Fira Sans" w:hAnsi="Fira Sans"/>
          <w:spacing w:val="-2"/>
          <w:sz w:val="19"/>
          <w:szCs w:val="19"/>
        </w:rPr>
      </w:pPr>
      <w:r w:rsidRPr="002C2FBF">
        <w:rPr>
          <w:rFonts w:ascii="Fira Sans" w:hAnsi="Fira Sans"/>
          <w:spacing w:val="-2"/>
          <w:sz w:val="19"/>
          <w:szCs w:val="19"/>
        </w:rPr>
        <w:t>W porównaniu z II półroczem 2022 r. największy wzrost w</w:t>
      </w:r>
      <w:r>
        <w:rPr>
          <w:rFonts w:ascii="Fira Sans" w:hAnsi="Fira Sans"/>
          <w:spacing w:val="-2"/>
          <w:sz w:val="19"/>
          <w:szCs w:val="19"/>
        </w:rPr>
        <w:t xml:space="preserve">artości salda (o 5.6 p. proc.) </w:t>
      </w:r>
      <w:r w:rsidRPr="002C2FBF">
        <w:rPr>
          <w:rFonts w:ascii="Fira Sans" w:hAnsi="Fira Sans"/>
          <w:spacing w:val="-2"/>
          <w:sz w:val="19"/>
          <w:szCs w:val="19"/>
        </w:rPr>
        <w:t xml:space="preserve">odnotowano </w:t>
      </w:r>
      <w:r w:rsidR="00130519">
        <w:rPr>
          <w:rFonts w:ascii="Fira Sans" w:hAnsi="Fira Sans"/>
          <w:spacing w:val="-2"/>
          <w:sz w:val="19"/>
          <w:szCs w:val="19"/>
        </w:rPr>
        <w:t>dla pytania o zmianę opłacalności</w:t>
      </w:r>
      <w:r w:rsidRPr="002C2FBF">
        <w:rPr>
          <w:rFonts w:ascii="Fira Sans" w:hAnsi="Fira Sans"/>
          <w:spacing w:val="-2"/>
          <w:sz w:val="19"/>
          <w:szCs w:val="19"/>
        </w:rPr>
        <w:t xml:space="preserve"> produkcji rolniczej. Pomimo największeg</w:t>
      </w:r>
      <w:r w:rsidR="00FC7A0F">
        <w:rPr>
          <w:rFonts w:ascii="Fira Sans" w:hAnsi="Fira Sans"/>
          <w:spacing w:val="-2"/>
          <w:sz w:val="19"/>
          <w:szCs w:val="19"/>
        </w:rPr>
        <w:t xml:space="preserve">o wzrostu wartości salda, </w:t>
      </w:r>
      <w:r w:rsidRPr="002C2FBF">
        <w:rPr>
          <w:rFonts w:ascii="Fira Sans" w:hAnsi="Fira Sans"/>
          <w:spacing w:val="-2"/>
          <w:sz w:val="19"/>
          <w:szCs w:val="19"/>
        </w:rPr>
        <w:t>opłacalnoś</w:t>
      </w:r>
      <w:r w:rsidR="00FC7A0F">
        <w:rPr>
          <w:rFonts w:ascii="Fira Sans" w:hAnsi="Fira Sans"/>
          <w:spacing w:val="-2"/>
          <w:sz w:val="19"/>
          <w:szCs w:val="19"/>
        </w:rPr>
        <w:t>ć</w:t>
      </w:r>
      <w:r w:rsidRPr="002C2FBF">
        <w:rPr>
          <w:rFonts w:ascii="Fira Sans" w:hAnsi="Fira Sans"/>
          <w:spacing w:val="-2"/>
          <w:sz w:val="19"/>
          <w:szCs w:val="19"/>
        </w:rPr>
        <w:t xml:space="preserve"> produkcji rolniczej jest oceniana najbardziej niekorzystnie przez kierujących gospodarstwami rolnymi</w:t>
      </w:r>
      <w:r w:rsidR="00336DB9">
        <w:rPr>
          <w:rFonts w:ascii="Fira Sans" w:hAnsi="Fira Sans"/>
          <w:spacing w:val="-2"/>
          <w:sz w:val="19"/>
          <w:szCs w:val="19"/>
        </w:rPr>
        <w:t>.</w:t>
      </w:r>
    </w:p>
    <w:p w14:paraId="72F70522" w14:textId="11693926" w:rsidR="00571B3C" w:rsidRPr="005612BD" w:rsidRDefault="00247C30" w:rsidP="005612BD">
      <w:pPr>
        <w:spacing w:before="360" w:after="240"/>
        <w:rPr>
          <w:rFonts w:ascii="Fira Sans" w:hAnsi="Fira Sans"/>
          <w:b/>
          <w:spacing w:val="-2"/>
          <w:sz w:val="19"/>
          <w:szCs w:val="19"/>
        </w:rPr>
      </w:pPr>
      <w:r w:rsidRPr="00D33600">
        <w:rPr>
          <w:noProof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2964864" behindDoc="1" locked="0" layoutInCell="1" allowOverlap="1" wp14:anchorId="0AEED8F4" wp14:editId="4A8C5F65">
                <wp:simplePos x="0" y="0"/>
                <wp:positionH relativeFrom="column">
                  <wp:posOffset>5318760</wp:posOffset>
                </wp:positionH>
                <wp:positionV relativeFrom="paragraph">
                  <wp:posOffset>2719070</wp:posOffset>
                </wp:positionV>
                <wp:extent cx="1784350" cy="1473200"/>
                <wp:effectExtent l="0" t="0" r="0" b="0"/>
                <wp:wrapTight wrapText="bothSides">
                  <wp:wrapPolygon edited="0">
                    <wp:start x="692" y="0"/>
                    <wp:lineTo x="692" y="21228"/>
                    <wp:lineTo x="20754" y="21228"/>
                    <wp:lineTo x="20754" y="0"/>
                    <wp:lineTo x="692" y="0"/>
                  </wp:wrapPolygon>
                </wp:wrapTight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47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0BE18" w14:textId="77777777" w:rsidR="00E14EFF" w:rsidRPr="00C36EA1" w:rsidRDefault="00E14EFF" w:rsidP="00C36EA1">
                            <w:pPr>
                              <w:pStyle w:val="tekstzboku"/>
                              <w:rPr>
                                <w:sz w:val="16"/>
                                <w:szCs w:val="16"/>
                              </w:rPr>
                            </w:pPr>
                            <w:r w:rsidRPr="00190482">
                              <w:rPr>
                                <w:szCs w:val="16"/>
                              </w:rPr>
                              <w:t>Saldo odpowiedzi jest różnicą między procentowym udziałem odpowiedzi pozytywnych oraz procentowym udziałem odpowiedzi negatywnych. Saldo odpowiedzi (w p. proc.) nie uwzględnia wariantu neutralnego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D8F4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9" type="#_x0000_t202" style="position:absolute;margin-left:418.8pt;margin-top:214.1pt;width:140.5pt;height:116pt;z-index:-2503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Q9EQIAAAEEAAAOAAAAZHJzL2Uyb0RvYy54bWysU9tuEzEQfUfiHyy/k82VpqtsqtJShFSg&#10;UuEDJl5v1qrtMbaT3fD1HXuTEMEbYh8sz47nzJzj49VNbzTbSx8U2opPRmPOpBVYK7ut+I/vD++W&#10;nIUItgaNVlb8IAO/Wb99s+pcKafYoq6lZwRiQ9m5ircxurIogmilgTBCJy0lG/QGIoV+W9QeOkI3&#10;upiOx++LDn3tPAoZAv29H5J8nfGbRor4rWmCjExXnGaLefV53aS1WK+g3HpwrRLHMeAfpjCgLDU9&#10;Q91DBLbz6i8oo4THgE0cCTQFNo0SMnMgNpPxH2yeW3AycyFxgjvLFP4frPi6f/JM1XR3JI8FQ3f0&#10;hFqyKF9CxE4y+k8idS6UdPbZ0enYf8CeCjLh4B5RvARm8a4Fu5W33mPXSqhpyEmqLC5KB5yQQDbd&#10;F6ypGewiZqC+8SYpSJowQqdpDucLkn1kIrW8Ws5nC0oJyk3mVzOyQO4B5anc+RA/STQsbSruyQEZ&#10;HvaPIaZxoDwdSd0sPiitswu0ZV3FrxfTRS64yBgVyaRamYovx+kbbJNYfrR1Lo6g9LCnBtoeaSem&#10;A+fYb/os8+yk5gbrA+ngcfAkvSHatOh/cdaRHysefu7AS870Z0taXk/m82TgHMwXV1MK/GVmc5kB&#10;Kwiq4pGzYXsXs+kHyrekeaOyGulyhkmOI5PPskjHN5GMfBnnU79f7voVAAD//wMAUEsDBBQABgAI&#10;AAAAIQBCDMib3wAAAAwBAAAPAAAAZHJzL2Rvd25yZXYueG1sTI/BTsMwDIbvSLxDZCRuLGkZpZS6&#10;EwJxBW2wSdyyxmsrGqdqsrW8PdkJjrY//f7+cjXbXpxo9J1jhGShQBDXznTcIHx+vN7kIHzQbHTv&#10;mBB+yMOqurwodWHcxGs6bUIjYgj7QiO0IQyFlL5uyWq/cANxvB3caHWI49hIM+ophttepkpl0uqO&#10;44dWD/TcUv29OVqE7dvha7dU782LvRsmNyvJ9kEiXl/NT48gAs3hD4azflSHKjrt3ZGNFz1Cfnuf&#10;RRRhmeYpiDORJHlc7RGyTKUgq1L+L1H9AgAA//8DAFBLAQItABQABgAIAAAAIQC2gziS/gAAAOEB&#10;AAATAAAAAAAAAAAAAAAAAAAAAABbQ29udGVudF9UeXBlc10ueG1sUEsBAi0AFAAGAAgAAAAhADj9&#10;If/WAAAAlAEAAAsAAAAAAAAAAAAAAAAALwEAAF9yZWxzLy5yZWxzUEsBAi0AFAAGAAgAAAAhAFAW&#10;xD0RAgAAAQQAAA4AAAAAAAAAAAAAAAAALgIAAGRycy9lMm9Eb2MueG1sUEsBAi0AFAAGAAgAAAAh&#10;AEIMyJvfAAAADAEAAA8AAAAAAAAAAAAAAAAAawQAAGRycy9kb3ducmV2LnhtbFBLBQYAAAAABAAE&#10;APMAAAB3BQAAAAA=&#10;" filled="f" stroked="f">
                <v:textbox>
                  <w:txbxContent>
                    <w:p w14:paraId="64F0BE18" w14:textId="77777777" w:rsidR="00E14EFF" w:rsidRPr="00C36EA1" w:rsidRDefault="00E14EFF" w:rsidP="00C36EA1">
                      <w:pPr>
                        <w:pStyle w:val="tekstzboku"/>
                        <w:rPr>
                          <w:sz w:val="16"/>
                          <w:szCs w:val="16"/>
                        </w:rPr>
                      </w:pPr>
                      <w:r w:rsidRPr="00190482">
                        <w:rPr>
                          <w:szCs w:val="16"/>
                        </w:rPr>
                        <w:t>Saldo odpowiedzi jest różnicą między procentowym udziałem odpowiedzi pozytywnych oraz procentowym udziałem odpowiedzi negatywnych. Saldo odpowiedzi (w p. proc.) nie uwzględnia wariantu neutralnego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7929">
        <w:rPr>
          <w:noProof/>
          <w:lang w:eastAsia="pl-PL"/>
        </w:rPr>
        <w:drawing>
          <wp:anchor distT="0" distB="0" distL="114300" distR="114300" simplePos="0" relativeHeight="253004800" behindDoc="0" locked="0" layoutInCell="1" allowOverlap="1" wp14:anchorId="648D214E" wp14:editId="5AFAC15C">
            <wp:simplePos x="0" y="0"/>
            <wp:positionH relativeFrom="column">
              <wp:posOffset>-107950</wp:posOffset>
            </wp:positionH>
            <wp:positionV relativeFrom="paragraph">
              <wp:posOffset>546735</wp:posOffset>
            </wp:positionV>
            <wp:extent cx="5122545" cy="2726690"/>
            <wp:effectExtent l="0" t="0" r="1905" b="0"/>
            <wp:wrapTopAndBottom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E41760" w:rsidRPr="00B60CAC">
        <w:rPr>
          <w:rFonts w:ascii="Fira Sans" w:hAnsi="Fira Sans"/>
          <w:b/>
          <w:spacing w:val="-2"/>
          <w:sz w:val="19"/>
          <w:szCs w:val="19"/>
        </w:rPr>
        <w:t>Wykres 2</w:t>
      </w:r>
      <w:r w:rsidR="0053606D">
        <w:rPr>
          <w:rFonts w:ascii="Fira Sans" w:hAnsi="Fira Sans"/>
          <w:b/>
          <w:spacing w:val="-2"/>
          <w:sz w:val="19"/>
          <w:szCs w:val="19"/>
        </w:rPr>
        <w:t>. Salda odpowiedzi dotyczące</w:t>
      </w:r>
      <w:r w:rsidR="00EB7AB1" w:rsidRPr="00B60CAC">
        <w:rPr>
          <w:rFonts w:ascii="Fira Sans" w:hAnsi="Fira Sans"/>
          <w:b/>
          <w:spacing w:val="-2"/>
          <w:sz w:val="19"/>
          <w:szCs w:val="19"/>
        </w:rPr>
        <w:t xml:space="preserve"> zmian sytuacji ogólnej gospodarstw rolnych, opłacalności produkcji rolniczej i popyty na produkty rolne</w:t>
      </w:r>
    </w:p>
    <w:p w14:paraId="098CE18A" w14:textId="114B5DA5" w:rsidR="00681A0F" w:rsidRDefault="00681A0F" w:rsidP="005612BD">
      <w:pPr>
        <w:pStyle w:val="LID"/>
        <w:spacing w:before="480" w:after="240"/>
        <w:rPr>
          <w:rFonts w:eastAsia="Times New Roman" w:cs="Calibri"/>
          <w:bCs/>
          <w:color w:val="000000"/>
        </w:rPr>
      </w:pPr>
      <w:r w:rsidRPr="00AE110F">
        <w:rPr>
          <w:rFonts w:eastAsia="Times New Roman" w:cs="Calibri"/>
          <w:bCs/>
          <w:color w:val="000000"/>
        </w:rPr>
        <w:t>Tablica 1. Salda odpowiedzi dotyczące ocen</w:t>
      </w:r>
      <w:r>
        <w:rPr>
          <w:rFonts w:eastAsia="Times New Roman" w:cs="Calibri"/>
          <w:bCs/>
          <w:color w:val="000000"/>
        </w:rPr>
        <w:t xml:space="preserve"> zmian</w:t>
      </w:r>
      <w:r w:rsidRPr="00AE110F">
        <w:rPr>
          <w:rFonts w:eastAsia="Times New Roman" w:cs="Calibri"/>
          <w:bCs/>
          <w:color w:val="000000"/>
        </w:rPr>
        <w:t>: sytuacji ogólnej gospodarstwa rolnego, popytu na produkty rolne</w:t>
      </w:r>
      <w:r w:rsidR="008E3BC3">
        <w:rPr>
          <w:rFonts w:eastAsia="Times New Roman" w:cs="Calibri"/>
          <w:bCs/>
          <w:color w:val="000000"/>
        </w:rPr>
        <w:t xml:space="preserve"> oraz</w:t>
      </w:r>
      <w:r w:rsidR="00623A30">
        <w:rPr>
          <w:rFonts w:eastAsia="Times New Roman" w:cs="Calibri"/>
          <w:bCs/>
          <w:color w:val="000000"/>
        </w:rPr>
        <w:t xml:space="preserve"> </w:t>
      </w:r>
      <w:r w:rsidR="00623A30" w:rsidRPr="00AE110F">
        <w:rPr>
          <w:rFonts w:eastAsia="Times New Roman" w:cs="Calibri"/>
          <w:bCs/>
          <w:color w:val="000000"/>
        </w:rPr>
        <w:t>opłacalności produkcji rolniczej</w:t>
      </w:r>
      <w:r w:rsidR="00623A30">
        <w:rPr>
          <w:rFonts w:eastAsia="Times New Roman" w:cs="Calibri"/>
          <w:bCs/>
          <w:color w:val="000000"/>
        </w:rPr>
        <w:t xml:space="preserve"> </w:t>
      </w:r>
    </w:p>
    <w:tbl>
      <w:tblPr>
        <w:tblW w:w="7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6"/>
        <w:gridCol w:w="1842"/>
        <w:gridCol w:w="2127"/>
        <w:gridCol w:w="2262"/>
      </w:tblGrid>
      <w:tr w:rsidR="00493E8A" w:rsidRPr="00367C61" w14:paraId="16A75243" w14:textId="77777777" w:rsidTr="00110F99">
        <w:trPr>
          <w:trHeight w:val="858"/>
        </w:trPr>
        <w:tc>
          <w:tcPr>
            <w:tcW w:w="1560" w:type="dxa"/>
            <w:vMerge w:val="restart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CB52C18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 xml:space="preserve">Wyszczególnienie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4D698111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Zmiana sytuacji ogólnej gospodarstwa rolnego w ostatnim półroczu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38935D3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Zmiana opłacalności produkcji rolniczej w ostatnim półroczu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8" w:space="0" w:color="001D77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21E2D8E3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Zmiana popytu na produkty rolne w ostatnim półroczu</w:t>
            </w:r>
          </w:p>
        </w:tc>
      </w:tr>
      <w:tr w:rsidR="00493E8A" w:rsidRPr="00367C61" w14:paraId="6B1A0644" w14:textId="77777777" w:rsidTr="00110F99">
        <w:trPr>
          <w:trHeight w:val="445"/>
        </w:trPr>
        <w:tc>
          <w:tcPr>
            <w:tcW w:w="1560" w:type="dxa"/>
            <w:vMerge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vAlign w:val="center"/>
            <w:hideMark/>
          </w:tcPr>
          <w:p w14:paraId="2C0B86FE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  <w:hideMark/>
          </w:tcPr>
          <w:p w14:paraId="51469005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  <w:hideMark/>
          </w:tcPr>
          <w:p w14:paraId="1B0FF02D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1D77"/>
              <w:bottom w:val="single" w:sz="8" w:space="0" w:color="001D77"/>
            </w:tcBorders>
            <w:vAlign w:val="center"/>
            <w:hideMark/>
          </w:tcPr>
          <w:p w14:paraId="4D7DB874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493E8A" w:rsidRPr="00367C61" w14:paraId="3CF944B3" w14:textId="77777777" w:rsidTr="00110F99">
        <w:trPr>
          <w:trHeight w:val="445"/>
        </w:trPr>
        <w:tc>
          <w:tcPr>
            <w:tcW w:w="1560" w:type="dxa"/>
            <w:vMerge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vAlign w:val="center"/>
            <w:hideMark/>
          </w:tcPr>
          <w:p w14:paraId="606F4D85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  <w:hideMark/>
          </w:tcPr>
          <w:p w14:paraId="28FDDA09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  <w:hideMark/>
          </w:tcPr>
          <w:p w14:paraId="2DA24245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1D77"/>
              <w:bottom w:val="single" w:sz="8" w:space="0" w:color="001D77"/>
            </w:tcBorders>
            <w:vAlign w:val="center"/>
            <w:hideMark/>
          </w:tcPr>
          <w:p w14:paraId="44D510FB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493E8A" w:rsidRPr="00367C61" w14:paraId="323C986F" w14:textId="77777777" w:rsidTr="00110F99">
        <w:trPr>
          <w:trHeight w:val="316"/>
        </w:trPr>
        <w:tc>
          <w:tcPr>
            <w:tcW w:w="1560" w:type="dxa"/>
            <w:tcBorders>
              <w:top w:val="nil"/>
              <w:left w:val="nil"/>
              <w:bottom w:val="single" w:sz="12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41CD66DC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237" w:type="dxa"/>
            <w:gridSpan w:val="3"/>
            <w:tcBorders>
              <w:top w:val="single" w:sz="8" w:space="0" w:color="001D77"/>
              <w:left w:val="nil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FEFEBF8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i/>
                <w:iCs/>
                <w:color w:val="000000"/>
                <w:sz w:val="18"/>
                <w:szCs w:val="18"/>
                <w:lang w:eastAsia="pl-PL"/>
              </w:rPr>
              <w:t>saldo odpowiedzi w p. proc.</w:t>
            </w:r>
          </w:p>
        </w:tc>
      </w:tr>
      <w:tr w:rsidR="00493E8A" w:rsidRPr="00367C61" w14:paraId="193482D6" w14:textId="77777777" w:rsidTr="00110F99">
        <w:trPr>
          <w:trHeight w:val="331"/>
        </w:trPr>
        <w:tc>
          <w:tcPr>
            <w:tcW w:w="156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59B0A03B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2019 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7FFE354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-29,4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5EC0FCEF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2CB43A7C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-12,1</w:t>
            </w:r>
          </w:p>
        </w:tc>
      </w:tr>
      <w:tr w:rsidR="00493E8A" w:rsidRPr="00367C61" w14:paraId="594AC6B9" w14:textId="77777777" w:rsidTr="00110F99">
        <w:trPr>
          <w:trHeight w:val="316"/>
        </w:trPr>
        <w:tc>
          <w:tcPr>
            <w:tcW w:w="156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E8C12C7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2019 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EB91743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-25,5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DBE3D4F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-34,3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5642BC9D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-9,4</w:t>
            </w:r>
          </w:p>
        </w:tc>
      </w:tr>
      <w:tr w:rsidR="00493E8A" w:rsidRPr="00367C61" w14:paraId="5082AB1A" w14:textId="77777777" w:rsidTr="00110F99">
        <w:trPr>
          <w:trHeight w:val="316"/>
        </w:trPr>
        <w:tc>
          <w:tcPr>
            <w:tcW w:w="156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4B6926E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2020 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B1C5D08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-23,8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5A29B1EE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-36,5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0C9BCFE1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-16,1</w:t>
            </w:r>
          </w:p>
        </w:tc>
      </w:tr>
      <w:tr w:rsidR="00493E8A" w:rsidRPr="00367C61" w14:paraId="778FC5D4" w14:textId="77777777" w:rsidTr="00110F99">
        <w:trPr>
          <w:trHeight w:val="316"/>
        </w:trPr>
        <w:tc>
          <w:tcPr>
            <w:tcW w:w="156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FEADF69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2020 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0898641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-25,9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6F02D8D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-35,1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67104E11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-15,7</w:t>
            </w:r>
          </w:p>
        </w:tc>
      </w:tr>
      <w:tr w:rsidR="00493E8A" w:rsidRPr="00367C61" w14:paraId="79D881A7" w14:textId="77777777" w:rsidTr="00110F99">
        <w:trPr>
          <w:trHeight w:val="316"/>
        </w:trPr>
        <w:tc>
          <w:tcPr>
            <w:tcW w:w="156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A5462E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2021 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C824FC5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-25,2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4E3AF21C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-38,6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46670931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-7,4</w:t>
            </w:r>
          </w:p>
        </w:tc>
      </w:tr>
      <w:tr w:rsidR="00493E8A" w:rsidRPr="00367C61" w14:paraId="02D16E95" w14:textId="77777777" w:rsidTr="00110F99">
        <w:trPr>
          <w:trHeight w:val="316"/>
        </w:trPr>
        <w:tc>
          <w:tcPr>
            <w:tcW w:w="156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1F2D03E" w14:textId="10574A1F" w:rsidR="00493E8A" w:rsidRPr="00CA6407" w:rsidRDefault="00BF2D3C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 xml:space="preserve">07-12 </w:t>
            </w:r>
            <w:r w:rsidR="00493E8A"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2021 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5B2B95A4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-37,3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2189A7C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-47,0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74EB52B9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-6,0</w:t>
            </w:r>
          </w:p>
        </w:tc>
      </w:tr>
      <w:tr w:rsidR="00493E8A" w:rsidRPr="00367C61" w14:paraId="7636E505" w14:textId="77777777" w:rsidTr="00110F99">
        <w:trPr>
          <w:trHeight w:val="316"/>
        </w:trPr>
        <w:tc>
          <w:tcPr>
            <w:tcW w:w="156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78C08D8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2022 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23C2196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-46,2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7E13D2D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-54,4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06F4BE58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-9,5</w:t>
            </w:r>
          </w:p>
        </w:tc>
      </w:tr>
      <w:tr w:rsidR="00493E8A" w:rsidRPr="00367C61" w14:paraId="12D8B045" w14:textId="77777777" w:rsidTr="00110F99">
        <w:trPr>
          <w:trHeight w:val="316"/>
        </w:trPr>
        <w:tc>
          <w:tcPr>
            <w:tcW w:w="156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2FCF3B8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2022 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2D1E99E9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-37,7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0A033EBD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-51,3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398A89E4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-23,3</w:t>
            </w:r>
          </w:p>
        </w:tc>
      </w:tr>
      <w:tr w:rsidR="00493E8A" w:rsidRPr="00367C61" w14:paraId="21FA82FA" w14:textId="77777777" w:rsidTr="00110F99">
        <w:trPr>
          <w:trHeight w:val="316"/>
        </w:trPr>
        <w:tc>
          <w:tcPr>
            <w:tcW w:w="156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DEF02A3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2023 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7544EA33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-48,9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6FD98F33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-66,6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08578E4B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-33,4</w:t>
            </w:r>
          </w:p>
        </w:tc>
      </w:tr>
      <w:tr w:rsidR="00493E8A" w:rsidRPr="00367C61" w14:paraId="33FF78F4" w14:textId="77777777" w:rsidTr="00110F99">
        <w:trPr>
          <w:trHeight w:val="316"/>
        </w:trPr>
        <w:tc>
          <w:tcPr>
            <w:tcW w:w="1560" w:type="dxa"/>
            <w:tcBorders>
              <w:top w:val="single" w:sz="8" w:space="0" w:color="001D77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7F7F59" w14:textId="77777777" w:rsidR="00493E8A" w:rsidRPr="00CA6407" w:rsidRDefault="00493E8A" w:rsidP="00367C6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2023 r.</w:t>
            </w:r>
          </w:p>
        </w:tc>
        <w:tc>
          <w:tcPr>
            <w:tcW w:w="1842" w:type="dxa"/>
            <w:tcBorders>
              <w:top w:val="single" w:sz="8" w:space="0" w:color="001D77"/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10453A99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-45,5</w:t>
            </w:r>
          </w:p>
        </w:tc>
        <w:tc>
          <w:tcPr>
            <w:tcW w:w="2127" w:type="dxa"/>
            <w:tcBorders>
              <w:top w:val="single" w:sz="8" w:space="0" w:color="001D77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5BB13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-61,0</w:t>
            </w:r>
          </w:p>
        </w:tc>
        <w:tc>
          <w:tcPr>
            <w:tcW w:w="2268" w:type="dxa"/>
            <w:tcBorders>
              <w:top w:val="single" w:sz="8" w:space="0" w:color="001D77"/>
              <w:left w:val="single" w:sz="8" w:space="0" w:color="001D77"/>
            </w:tcBorders>
            <w:shd w:val="clear" w:color="auto" w:fill="auto"/>
            <w:vAlign w:val="center"/>
            <w:hideMark/>
          </w:tcPr>
          <w:p w14:paraId="6A46AA48" w14:textId="77777777" w:rsidR="00493E8A" w:rsidRPr="00CA6407" w:rsidRDefault="00493E8A" w:rsidP="00367C6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-30,3</w:t>
            </w:r>
          </w:p>
        </w:tc>
      </w:tr>
    </w:tbl>
    <w:p w14:paraId="6ACFF896" w14:textId="77777777" w:rsidR="005612BD" w:rsidRDefault="005612BD" w:rsidP="00B60CAC">
      <w:pPr>
        <w:pStyle w:val="LID"/>
        <w:spacing w:after="120"/>
        <w:rPr>
          <w:rFonts w:eastAsia="Times New Roman" w:cs="Calibri"/>
          <w:bCs/>
          <w:color w:val="000000"/>
        </w:rPr>
      </w:pPr>
    </w:p>
    <w:p w14:paraId="47808B6D" w14:textId="77777777" w:rsidR="00002CD0" w:rsidRPr="005612BD" w:rsidRDefault="005612BD" w:rsidP="005612BD">
      <w:pPr>
        <w:spacing w:line="259" w:lineRule="auto"/>
        <w:rPr>
          <w:rFonts w:ascii="Fira Sans" w:eastAsia="Times New Roman" w:hAnsi="Fira Sans" w:cs="Calibri"/>
          <w:b/>
          <w:bCs/>
          <w:noProof/>
          <w:color w:val="000000"/>
          <w:sz w:val="19"/>
          <w:szCs w:val="19"/>
          <w:lang w:eastAsia="pl-PL"/>
        </w:rPr>
      </w:pPr>
      <w:r>
        <w:rPr>
          <w:rFonts w:eastAsia="Times New Roman" w:cs="Calibri"/>
          <w:bCs/>
          <w:color w:val="000000"/>
        </w:rPr>
        <w:br w:type="page"/>
      </w:r>
    </w:p>
    <w:p w14:paraId="2971B508" w14:textId="5342FA92" w:rsidR="003C5758" w:rsidRPr="00190482" w:rsidRDefault="003C5758" w:rsidP="00190482">
      <w:pPr>
        <w:pStyle w:val="LID"/>
        <w:spacing w:after="240"/>
        <w:rPr>
          <w:rFonts w:eastAsia="Times New Roman" w:cs="Calibri"/>
          <w:b w:val="0"/>
          <w:bCs/>
        </w:rPr>
      </w:pPr>
      <w:r w:rsidRPr="00190482">
        <w:rPr>
          <w:rFonts w:eastAsia="Times New Roman" w:cs="Calibri"/>
          <w:b w:val="0"/>
          <w:bCs/>
        </w:rPr>
        <w:lastRenderedPageBreak/>
        <w:t>W bieżącej edycji badania naj</w:t>
      </w:r>
      <w:r w:rsidR="00591004">
        <w:rPr>
          <w:rFonts w:eastAsia="Times New Roman" w:cs="Calibri"/>
          <w:b w:val="0"/>
          <w:bCs/>
        </w:rPr>
        <w:t>mniej</w:t>
      </w:r>
      <w:r w:rsidRPr="00190482">
        <w:rPr>
          <w:rFonts w:eastAsia="Times New Roman" w:cs="Calibri"/>
          <w:b w:val="0"/>
          <w:bCs/>
        </w:rPr>
        <w:t xml:space="preserve"> </w:t>
      </w:r>
      <w:r w:rsidR="00591004">
        <w:rPr>
          <w:rFonts w:eastAsia="Times New Roman" w:cs="Calibri"/>
          <w:b w:val="0"/>
          <w:bCs/>
        </w:rPr>
        <w:t xml:space="preserve">korzystnie </w:t>
      </w:r>
      <w:r w:rsidRPr="00190482">
        <w:rPr>
          <w:rFonts w:eastAsia="Times New Roman" w:cs="Calibri"/>
          <w:b w:val="0"/>
          <w:bCs/>
        </w:rPr>
        <w:t xml:space="preserve">zmianę ogólnej </w:t>
      </w:r>
      <w:r w:rsidR="00591004" w:rsidRPr="00190482">
        <w:rPr>
          <w:rFonts w:eastAsia="Times New Roman" w:cs="Calibri"/>
          <w:b w:val="0"/>
          <w:bCs/>
        </w:rPr>
        <w:t xml:space="preserve">sytuacji </w:t>
      </w:r>
      <w:r w:rsidRPr="00190482">
        <w:rPr>
          <w:rFonts w:eastAsia="Times New Roman" w:cs="Calibri"/>
          <w:b w:val="0"/>
          <w:bCs/>
        </w:rPr>
        <w:t xml:space="preserve">gospodarstwa rolnego </w:t>
      </w:r>
      <w:r w:rsidR="00591004">
        <w:rPr>
          <w:rFonts w:eastAsia="Times New Roman" w:cs="Calibri"/>
          <w:b w:val="0"/>
          <w:bCs/>
        </w:rPr>
        <w:t xml:space="preserve">ocenili </w:t>
      </w:r>
      <w:r w:rsidRPr="00190482">
        <w:rPr>
          <w:rFonts w:eastAsia="Times New Roman" w:cs="Calibri"/>
          <w:b w:val="0"/>
          <w:bCs/>
        </w:rPr>
        <w:t>kierujący jednostkami specjalizującymi się w produkcji rośl</w:t>
      </w:r>
      <w:r w:rsidR="00591004">
        <w:rPr>
          <w:rFonts w:eastAsia="Times New Roman" w:cs="Calibri"/>
          <w:b w:val="0"/>
          <w:bCs/>
        </w:rPr>
        <w:t>innej (saldo odpowiedzi wyniosło</w:t>
      </w:r>
      <w:r w:rsidRPr="00190482">
        <w:rPr>
          <w:rFonts w:eastAsia="Times New Roman" w:cs="Calibri"/>
          <w:b w:val="0"/>
          <w:bCs/>
        </w:rPr>
        <w:t xml:space="preserve"> minus 48,0), natomiast najkorzystniej prowadzący gospodarstwa ukie</w:t>
      </w:r>
      <w:r w:rsidR="00591004">
        <w:rPr>
          <w:rFonts w:eastAsia="Times New Roman" w:cs="Calibri"/>
          <w:b w:val="0"/>
          <w:bCs/>
        </w:rPr>
        <w:t xml:space="preserve">runkowane </w:t>
      </w:r>
      <w:r w:rsidR="0032388D">
        <w:rPr>
          <w:rFonts w:eastAsia="Times New Roman" w:cs="Calibri"/>
          <w:b w:val="0"/>
          <w:bCs/>
        </w:rPr>
        <w:t>na </w:t>
      </w:r>
      <w:r w:rsidR="00591004">
        <w:rPr>
          <w:rFonts w:eastAsia="Times New Roman" w:cs="Calibri"/>
          <w:b w:val="0"/>
          <w:bCs/>
        </w:rPr>
        <w:t>produkcję zwierzęcą</w:t>
      </w:r>
      <w:r w:rsidRPr="00190482">
        <w:rPr>
          <w:rFonts w:eastAsia="Times New Roman" w:cs="Calibri"/>
          <w:b w:val="0"/>
          <w:bCs/>
        </w:rPr>
        <w:t xml:space="preserve"> (minus 37,1). </w:t>
      </w:r>
      <w:r w:rsidR="000472E6" w:rsidRPr="000472E6">
        <w:rPr>
          <w:rFonts w:eastAsia="Times New Roman" w:cs="Calibri"/>
          <w:b w:val="0"/>
          <w:bCs/>
        </w:rPr>
        <w:t>W porównaniu z I półr</w:t>
      </w:r>
      <w:r w:rsidR="0032388D">
        <w:rPr>
          <w:rFonts w:eastAsia="Times New Roman" w:cs="Calibri"/>
          <w:b w:val="0"/>
          <w:bCs/>
        </w:rPr>
        <w:t>oczem 2023 r. odnotowano wzrost </w:t>
      </w:r>
      <w:r w:rsidR="000472E6" w:rsidRPr="000472E6">
        <w:rPr>
          <w:rFonts w:eastAsia="Times New Roman" w:cs="Calibri"/>
          <w:b w:val="0"/>
          <w:bCs/>
        </w:rPr>
        <w:t>wartości</w:t>
      </w:r>
      <w:r w:rsidR="00BF2D3C">
        <w:rPr>
          <w:rFonts w:eastAsia="Times New Roman" w:cs="Calibri"/>
          <w:b w:val="0"/>
          <w:bCs/>
        </w:rPr>
        <w:t xml:space="preserve"> salda odpowiednio o</w:t>
      </w:r>
      <w:r w:rsidR="000472E6" w:rsidRPr="000472E6">
        <w:rPr>
          <w:rFonts w:eastAsia="Times New Roman" w:cs="Calibri"/>
          <w:b w:val="0"/>
          <w:bCs/>
        </w:rPr>
        <w:t xml:space="preserve"> 2,1 p. proc. oraz o 4,8 p.</w:t>
      </w:r>
      <w:r w:rsidR="0032388D">
        <w:rPr>
          <w:rFonts w:eastAsia="Times New Roman" w:cs="Calibri"/>
          <w:b w:val="0"/>
          <w:bCs/>
        </w:rPr>
        <w:t xml:space="preserve"> proc., natomiast w stosunku do </w:t>
      </w:r>
      <w:r w:rsidR="000472E6" w:rsidRPr="000472E6">
        <w:rPr>
          <w:rFonts w:eastAsia="Times New Roman" w:cs="Calibri"/>
          <w:b w:val="0"/>
          <w:bCs/>
        </w:rPr>
        <w:t>II półrocza 2022 r. obserwowano spadek wartości salda odpow</w:t>
      </w:r>
      <w:r w:rsidR="0032388D">
        <w:rPr>
          <w:rFonts w:eastAsia="Times New Roman" w:cs="Calibri"/>
          <w:b w:val="0"/>
          <w:bCs/>
        </w:rPr>
        <w:t>iednio o 8,6 p. proc i o 11,2 p</w:t>
      </w:r>
      <w:r w:rsidR="000472E6" w:rsidRPr="000472E6">
        <w:rPr>
          <w:rFonts w:eastAsia="Times New Roman" w:cs="Calibri"/>
          <w:b w:val="0"/>
          <w:bCs/>
        </w:rPr>
        <w:t>.</w:t>
      </w:r>
      <w:r w:rsidR="0032388D">
        <w:rPr>
          <w:rFonts w:eastAsia="Times New Roman" w:cs="Calibri"/>
          <w:b w:val="0"/>
          <w:bCs/>
        </w:rPr>
        <w:t xml:space="preserve"> </w:t>
      </w:r>
      <w:r w:rsidR="000472E6" w:rsidRPr="000472E6">
        <w:rPr>
          <w:rFonts w:eastAsia="Times New Roman" w:cs="Calibri"/>
          <w:b w:val="0"/>
          <w:bCs/>
        </w:rPr>
        <w:t>proc</w:t>
      </w:r>
      <w:r w:rsidR="00DD25F7">
        <w:rPr>
          <w:rFonts w:eastAsia="Times New Roman" w:cs="Calibri"/>
          <w:b w:val="0"/>
          <w:bCs/>
        </w:rPr>
        <w:t>.</w:t>
      </w:r>
      <w:r w:rsidR="000472E6">
        <w:rPr>
          <w:rStyle w:val="Odwoaniedokomentarza"/>
          <w:rFonts w:asciiTheme="minorHAnsi" w:hAnsiTheme="minorHAnsi"/>
          <w:b w:val="0"/>
          <w:noProof w:val="0"/>
          <w:lang w:eastAsia="en-US"/>
        </w:rPr>
        <w:t xml:space="preserve"> </w:t>
      </w:r>
      <w:r w:rsidR="000472E6" w:rsidRPr="000472E6">
        <w:rPr>
          <w:rStyle w:val="Odwoaniedokomentarza"/>
          <w:b w:val="0"/>
          <w:noProof w:val="0"/>
          <w:sz w:val="19"/>
          <w:szCs w:val="19"/>
          <w:lang w:eastAsia="en-US"/>
        </w:rPr>
        <w:t>N</w:t>
      </w:r>
      <w:r w:rsidR="00DD25F7" w:rsidRPr="000472E6">
        <w:rPr>
          <w:rFonts w:eastAsia="Times New Roman" w:cs="Calibri"/>
          <w:b w:val="0"/>
          <w:bCs/>
        </w:rPr>
        <w:t>a</w:t>
      </w:r>
      <w:r w:rsidR="00DD25F7">
        <w:rPr>
          <w:rFonts w:eastAsia="Times New Roman" w:cs="Calibri"/>
          <w:b w:val="0"/>
          <w:bCs/>
        </w:rPr>
        <w:t>jwiększą</w:t>
      </w:r>
      <w:r w:rsidRPr="00190482">
        <w:rPr>
          <w:rFonts w:eastAsia="Times New Roman" w:cs="Calibri"/>
          <w:b w:val="0"/>
          <w:bCs/>
        </w:rPr>
        <w:t xml:space="preserve"> poprawę opinii odnotowano wśród kierujących gospodarstwami tradycyjnymi – wzrost wartości salda o 5,1 p. proc. w porównaniu z I półroczem ub. r</w:t>
      </w:r>
      <w:r w:rsidR="00B57E6A">
        <w:rPr>
          <w:rFonts w:eastAsia="Times New Roman" w:cs="Calibri"/>
          <w:b w:val="0"/>
          <w:bCs/>
        </w:rPr>
        <w:t>oku</w:t>
      </w:r>
      <w:r w:rsidRPr="00190482">
        <w:rPr>
          <w:rFonts w:eastAsia="Times New Roman" w:cs="Calibri"/>
          <w:b w:val="0"/>
          <w:bCs/>
        </w:rPr>
        <w:t xml:space="preserve">. </w:t>
      </w:r>
    </w:p>
    <w:p w14:paraId="0A3AC4FB" w14:textId="76E33A96" w:rsidR="003C5758" w:rsidRPr="00493E8A" w:rsidRDefault="003C5758" w:rsidP="00190482">
      <w:pPr>
        <w:pStyle w:val="LID"/>
        <w:spacing w:after="240"/>
        <w:rPr>
          <w:rFonts w:eastAsia="Times New Roman" w:cs="Calibri"/>
          <w:bCs/>
          <w:color w:val="000000" w:themeColor="text1"/>
        </w:rPr>
      </w:pPr>
      <w:r w:rsidRPr="00571B3C">
        <w:rPr>
          <w:rFonts w:eastAsia="Times New Roman" w:cs="Calibri"/>
          <w:b w:val="0"/>
          <w:bCs/>
          <w:color w:val="000000"/>
        </w:rPr>
        <w:t xml:space="preserve">Kierujący gospodarstwami rolnymi, bez względu na dominujący typ produkcji rolniczej, </w:t>
      </w:r>
      <w:r>
        <w:rPr>
          <w:rFonts w:eastAsia="Times New Roman" w:cs="Calibri"/>
          <w:b w:val="0"/>
          <w:bCs/>
          <w:color w:val="000000"/>
        </w:rPr>
        <w:t xml:space="preserve">wyrazili negatywne </w:t>
      </w:r>
      <w:r w:rsidRPr="00571B3C">
        <w:rPr>
          <w:rFonts w:eastAsia="Times New Roman" w:cs="Calibri"/>
          <w:b w:val="0"/>
          <w:bCs/>
          <w:color w:val="000000"/>
        </w:rPr>
        <w:t>ocen</w:t>
      </w:r>
      <w:r>
        <w:rPr>
          <w:rFonts w:eastAsia="Times New Roman" w:cs="Calibri"/>
          <w:b w:val="0"/>
          <w:bCs/>
          <w:color w:val="000000"/>
        </w:rPr>
        <w:t>y odnośnie</w:t>
      </w:r>
      <w:r w:rsidRPr="00571B3C">
        <w:rPr>
          <w:rFonts w:eastAsia="Times New Roman" w:cs="Calibri"/>
          <w:b w:val="0"/>
          <w:bCs/>
          <w:color w:val="000000"/>
        </w:rPr>
        <w:t xml:space="preserve"> zmiany opłacalności produkcji rolnej</w:t>
      </w:r>
      <w:r>
        <w:rPr>
          <w:rFonts w:eastAsia="Times New Roman" w:cs="Calibri"/>
          <w:b w:val="0"/>
          <w:bCs/>
          <w:color w:val="000000"/>
        </w:rPr>
        <w:t xml:space="preserve">. Opinie te były </w:t>
      </w:r>
      <w:r w:rsidR="00E407E2">
        <w:rPr>
          <w:rFonts w:eastAsia="Times New Roman" w:cs="Calibri"/>
          <w:b w:val="0"/>
          <w:bCs/>
          <w:color w:val="000000"/>
        </w:rPr>
        <w:t>korzystniejsze</w:t>
      </w:r>
      <w:r w:rsidR="00C427AE">
        <w:rPr>
          <w:rStyle w:val="Odwoaniedokomentarza"/>
          <w:rFonts w:asciiTheme="minorHAnsi" w:hAnsiTheme="minorHAnsi"/>
          <w:b w:val="0"/>
          <w:noProof w:val="0"/>
          <w:lang w:eastAsia="en-US"/>
        </w:rPr>
        <w:t xml:space="preserve"> </w:t>
      </w:r>
      <w:r w:rsidR="00C427AE" w:rsidRPr="00A56FCB">
        <w:rPr>
          <w:rStyle w:val="Odwoaniedokomentarza"/>
          <w:b w:val="0"/>
          <w:noProof w:val="0"/>
          <w:sz w:val="19"/>
          <w:szCs w:val="19"/>
          <w:lang w:eastAsia="en-US"/>
        </w:rPr>
        <w:t>n</w:t>
      </w:r>
      <w:r w:rsidRPr="00A56FCB">
        <w:rPr>
          <w:rFonts w:eastAsia="Times New Roman" w:cs="Calibri"/>
          <w:b w:val="0"/>
          <w:bCs/>
          <w:color w:val="000000"/>
        </w:rPr>
        <w:t>iż</w:t>
      </w:r>
      <w:r>
        <w:rPr>
          <w:rFonts w:eastAsia="Times New Roman" w:cs="Calibri"/>
          <w:b w:val="0"/>
          <w:bCs/>
          <w:color w:val="000000"/>
        </w:rPr>
        <w:t xml:space="preserve"> w I półroczu 2023 r., ale </w:t>
      </w:r>
      <w:r w:rsidR="00C427AE">
        <w:rPr>
          <w:rFonts w:eastAsia="Times New Roman" w:cs="Calibri"/>
          <w:b w:val="0"/>
          <w:bCs/>
          <w:color w:val="000000"/>
        </w:rPr>
        <w:t xml:space="preserve">bardziej pesymistyczne niż </w:t>
      </w:r>
      <w:r>
        <w:rPr>
          <w:rFonts w:eastAsia="Times New Roman" w:cs="Calibri"/>
          <w:b w:val="0"/>
          <w:bCs/>
          <w:color w:val="000000"/>
        </w:rPr>
        <w:t>w II półroczu 2022 r</w:t>
      </w:r>
      <w:r w:rsidRPr="00571B3C">
        <w:rPr>
          <w:rFonts w:eastAsia="Times New Roman" w:cs="Calibri"/>
          <w:b w:val="0"/>
          <w:bCs/>
          <w:color w:val="000000"/>
        </w:rPr>
        <w:t xml:space="preserve">. </w:t>
      </w:r>
      <w:r>
        <w:rPr>
          <w:rFonts w:eastAsia="Times New Roman" w:cs="Calibri"/>
          <w:b w:val="0"/>
          <w:bCs/>
          <w:color w:val="000000"/>
        </w:rPr>
        <w:t xml:space="preserve">Najbardziej pesymistyczni w swoich ocenach byli </w:t>
      </w:r>
      <w:r w:rsidR="00DD25F7">
        <w:rPr>
          <w:rFonts w:eastAsia="Times New Roman" w:cs="Calibri"/>
          <w:b w:val="0"/>
          <w:bCs/>
          <w:color w:val="000000"/>
        </w:rPr>
        <w:t>kierujący gospodarstwami ukierunkowanymi na produkcję roślinną</w:t>
      </w:r>
      <w:r w:rsidR="00C427AE">
        <w:rPr>
          <w:rFonts w:eastAsia="Times New Roman" w:cs="Calibri"/>
          <w:b w:val="0"/>
          <w:bCs/>
          <w:color w:val="000000"/>
        </w:rPr>
        <w:t xml:space="preserve">. Wśród nich najbardziej negatywne </w:t>
      </w:r>
      <w:r>
        <w:rPr>
          <w:rFonts w:eastAsia="Times New Roman" w:cs="Calibri"/>
          <w:b w:val="0"/>
          <w:bCs/>
          <w:color w:val="000000"/>
        </w:rPr>
        <w:t>zmiany opłacalności produkcji</w:t>
      </w:r>
      <w:r w:rsidR="003D509B">
        <w:rPr>
          <w:rFonts w:eastAsia="Times New Roman" w:cs="Calibri"/>
          <w:b w:val="0"/>
          <w:bCs/>
          <w:color w:val="000000"/>
        </w:rPr>
        <w:t xml:space="preserve"> wyrazili</w:t>
      </w:r>
      <w:r>
        <w:rPr>
          <w:rFonts w:eastAsia="Times New Roman" w:cs="Calibri"/>
          <w:b w:val="0"/>
          <w:bCs/>
          <w:color w:val="000000"/>
        </w:rPr>
        <w:t xml:space="preserve"> </w:t>
      </w:r>
      <w:r w:rsidRPr="00571B3C">
        <w:rPr>
          <w:rFonts w:eastAsia="Times New Roman" w:cs="Calibri"/>
          <w:b w:val="0"/>
          <w:bCs/>
          <w:color w:val="000000"/>
        </w:rPr>
        <w:t>p</w:t>
      </w:r>
      <w:r w:rsidR="009C7F79">
        <w:rPr>
          <w:rFonts w:eastAsia="Times New Roman" w:cs="Calibri"/>
          <w:b w:val="0"/>
          <w:bCs/>
          <w:color w:val="000000"/>
        </w:rPr>
        <w:t>rowadzący uprawy</w:t>
      </w:r>
      <w:r>
        <w:rPr>
          <w:rFonts w:eastAsia="Times New Roman" w:cs="Calibri"/>
          <w:b w:val="0"/>
          <w:bCs/>
          <w:color w:val="000000"/>
        </w:rPr>
        <w:t xml:space="preserve"> buraków cukrowych, a także</w:t>
      </w:r>
      <w:r w:rsidR="0032388D">
        <w:rPr>
          <w:rFonts w:eastAsia="Times New Roman" w:cs="Calibri"/>
          <w:b w:val="0"/>
          <w:bCs/>
          <w:color w:val="000000"/>
        </w:rPr>
        <w:t xml:space="preserve"> rzepaku i </w:t>
      </w:r>
      <w:r w:rsidRPr="00571B3C">
        <w:rPr>
          <w:rFonts w:eastAsia="Times New Roman" w:cs="Calibri"/>
          <w:b w:val="0"/>
          <w:bCs/>
          <w:color w:val="000000"/>
        </w:rPr>
        <w:t>rzepiku.</w:t>
      </w:r>
      <w:r w:rsidR="002E7990">
        <w:rPr>
          <w:rFonts w:eastAsia="Times New Roman" w:cs="Calibri"/>
          <w:b w:val="0"/>
          <w:bCs/>
          <w:color w:val="000000"/>
        </w:rPr>
        <w:t xml:space="preserve"> </w:t>
      </w:r>
      <w:r w:rsidRPr="00571B3C">
        <w:rPr>
          <w:rFonts w:eastAsia="Times New Roman" w:cs="Calibri"/>
          <w:b w:val="0"/>
          <w:bCs/>
          <w:color w:val="000000"/>
        </w:rPr>
        <w:t>Największ</w:t>
      </w:r>
      <w:r>
        <w:rPr>
          <w:rFonts w:eastAsia="Times New Roman" w:cs="Calibri"/>
          <w:b w:val="0"/>
          <w:bCs/>
          <w:color w:val="000000"/>
        </w:rPr>
        <w:t xml:space="preserve">ą </w:t>
      </w:r>
      <w:r w:rsidRPr="00571B3C">
        <w:rPr>
          <w:rFonts w:eastAsia="Times New Roman" w:cs="Calibri"/>
          <w:b w:val="0"/>
          <w:bCs/>
          <w:color w:val="000000"/>
        </w:rPr>
        <w:t>po</w:t>
      </w:r>
      <w:r>
        <w:rPr>
          <w:rFonts w:eastAsia="Times New Roman" w:cs="Calibri"/>
          <w:b w:val="0"/>
          <w:bCs/>
          <w:color w:val="000000"/>
        </w:rPr>
        <w:t>prawę w porównani</w:t>
      </w:r>
      <w:r w:rsidR="002E7990">
        <w:rPr>
          <w:rFonts w:eastAsia="Times New Roman" w:cs="Calibri"/>
          <w:b w:val="0"/>
          <w:bCs/>
          <w:color w:val="000000"/>
        </w:rPr>
        <w:t>u z </w:t>
      </w:r>
      <w:r>
        <w:rPr>
          <w:rFonts w:eastAsia="Times New Roman" w:cs="Calibri"/>
          <w:b w:val="0"/>
          <w:bCs/>
          <w:color w:val="000000"/>
        </w:rPr>
        <w:t>poprzednią edycją badania</w:t>
      </w:r>
      <w:r w:rsidR="0032388D">
        <w:rPr>
          <w:rFonts w:eastAsia="Times New Roman" w:cs="Calibri"/>
          <w:b w:val="0"/>
          <w:bCs/>
          <w:color w:val="000000"/>
        </w:rPr>
        <w:t xml:space="preserve"> zanotowano w </w:t>
      </w:r>
      <w:r w:rsidRPr="00571B3C">
        <w:rPr>
          <w:rFonts w:eastAsia="Times New Roman" w:cs="Calibri"/>
          <w:b w:val="0"/>
          <w:bCs/>
          <w:color w:val="000000"/>
        </w:rPr>
        <w:t>opinii producentów produktów zwierzęcych</w:t>
      </w:r>
      <w:r>
        <w:rPr>
          <w:rFonts w:eastAsia="Times New Roman" w:cs="Calibri"/>
          <w:b w:val="0"/>
          <w:bCs/>
          <w:color w:val="000000"/>
        </w:rPr>
        <w:t xml:space="preserve"> – w</w:t>
      </w:r>
      <w:r w:rsidR="0032388D">
        <w:rPr>
          <w:rFonts w:eastAsia="Times New Roman" w:cs="Calibri"/>
          <w:b w:val="0"/>
          <w:bCs/>
          <w:color w:val="000000"/>
        </w:rPr>
        <w:t>zrost wartości salda odpowiedzi o 9,4 p. </w:t>
      </w:r>
      <w:r>
        <w:rPr>
          <w:rFonts w:eastAsia="Times New Roman" w:cs="Calibri"/>
          <w:b w:val="0"/>
          <w:bCs/>
          <w:color w:val="000000"/>
        </w:rPr>
        <w:t>proc</w:t>
      </w:r>
      <w:r w:rsidRPr="00571B3C">
        <w:rPr>
          <w:rFonts w:eastAsia="Times New Roman" w:cs="Calibri"/>
          <w:b w:val="0"/>
          <w:bCs/>
          <w:color w:val="000000"/>
        </w:rPr>
        <w:t xml:space="preserve">. </w:t>
      </w:r>
      <w:r>
        <w:rPr>
          <w:rFonts w:eastAsia="Times New Roman" w:cs="Calibri"/>
          <w:b w:val="0"/>
          <w:bCs/>
          <w:color w:val="000000"/>
        </w:rPr>
        <w:t xml:space="preserve">Najmniej </w:t>
      </w:r>
      <w:r w:rsidRPr="00571B3C">
        <w:rPr>
          <w:rFonts w:eastAsia="Times New Roman" w:cs="Calibri"/>
          <w:b w:val="0"/>
          <w:bCs/>
          <w:color w:val="000000"/>
        </w:rPr>
        <w:t>pesymistyczne opinie na temat zmiany opłacalności produkcji wyrazili kierujący gospodarstwami rolnymi prowadzącymi chów</w:t>
      </w:r>
      <w:r w:rsidR="00493E8A">
        <w:rPr>
          <w:rFonts w:eastAsia="Times New Roman" w:cs="Calibri"/>
          <w:b w:val="0"/>
          <w:bCs/>
          <w:color w:val="000000"/>
        </w:rPr>
        <w:t xml:space="preserve"> brojlerów</w:t>
      </w:r>
      <w:r w:rsidRPr="00571B3C">
        <w:rPr>
          <w:rFonts w:eastAsia="Times New Roman" w:cs="Calibri"/>
          <w:b w:val="0"/>
          <w:bCs/>
          <w:color w:val="000000"/>
        </w:rPr>
        <w:t xml:space="preserve">, natomiast </w:t>
      </w:r>
      <w:r w:rsidR="00493E8A">
        <w:rPr>
          <w:rFonts w:eastAsia="Times New Roman" w:cs="Calibri"/>
          <w:b w:val="0"/>
          <w:bCs/>
          <w:color w:val="000000"/>
        </w:rPr>
        <w:t>najb</w:t>
      </w:r>
      <w:r>
        <w:rPr>
          <w:rFonts w:eastAsia="Times New Roman" w:cs="Calibri"/>
          <w:b w:val="0"/>
          <w:bCs/>
          <w:color w:val="000000"/>
        </w:rPr>
        <w:t xml:space="preserve">ardziej pesymistyczne </w:t>
      </w:r>
      <w:r w:rsidR="00493E8A">
        <w:rPr>
          <w:rFonts w:eastAsia="Times New Roman" w:cs="Calibri"/>
          <w:b w:val="0"/>
          <w:bCs/>
          <w:color w:val="000000"/>
        </w:rPr>
        <w:t xml:space="preserve">owiec </w:t>
      </w:r>
      <w:r w:rsidRPr="00571B3C">
        <w:rPr>
          <w:rFonts w:eastAsia="Times New Roman" w:cs="Calibri"/>
          <w:b w:val="0"/>
          <w:bCs/>
          <w:color w:val="000000"/>
        </w:rPr>
        <w:t>i koni</w:t>
      </w:r>
      <w:r w:rsidR="00493E8A">
        <w:rPr>
          <w:rFonts w:eastAsia="Times New Roman" w:cs="Calibri"/>
          <w:b w:val="0"/>
          <w:bCs/>
          <w:color w:val="000000" w:themeColor="text1"/>
        </w:rPr>
        <w:t>.</w:t>
      </w:r>
    </w:p>
    <w:p w14:paraId="0BA39931" w14:textId="3B81451C" w:rsidR="00B21986" w:rsidRPr="00493E8A" w:rsidRDefault="00571B3C" w:rsidP="00190482">
      <w:pPr>
        <w:pStyle w:val="LID"/>
        <w:spacing w:after="240"/>
        <w:rPr>
          <w:rFonts w:eastAsia="Times New Roman" w:cs="Calibri"/>
          <w:bCs/>
          <w:color w:val="000000" w:themeColor="text1"/>
        </w:rPr>
      </w:pPr>
      <w:r w:rsidRPr="00571B3C">
        <w:rPr>
          <w:rFonts w:eastAsia="Times New Roman" w:cs="Calibri"/>
          <w:b w:val="0"/>
          <w:bCs/>
          <w:color w:val="000000"/>
        </w:rPr>
        <w:t>W I</w:t>
      </w:r>
      <w:r w:rsidR="00A8706C">
        <w:rPr>
          <w:rFonts w:eastAsia="Times New Roman" w:cs="Calibri"/>
          <w:b w:val="0"/>
          <w:bCs/>
          <w:color w:val="000000"/>
        </w:rPr>
        <w:t>I</w:t>
      </w:r>
      <w:r w:rsidRPr="00571B3C">
        <w:rPr>
          <w:rFonts w:eastAsia="Times New Roman" w:cs="Calibri"/>
          <w:b w:val="0"/>
          <w:bCs/>
          <w:color w:val="000000"/>
        </w:rPr>
        <w:t xml:space="preserve"> półroczu 2023 r. oceny dotyczące zmiany popytu na wytwarzane produkty rolne były </w:t>
      </w:r>
      <w:r w:rsidR="0099584D">
        <w:rPr>
          <w:rFonts w:eastAsia="Times New Roman" w:cs="Calibri"/>
          <w:b w:val="0"/>
          <w:bCs/>
          <w:color w:val="000000"/>
        </w:rPr>
        <w:t xml:space="preserve">nieznacznie korzystniejsze </w:t>
      </w:r>
      <w:r w:rsidRPr="00571B3C">
        <w:rPr>
          <w:rFonts w:eastAsia="Times New Roman" w:cs="Calibri"/>
          <w:b w:val="0"/>
          <w:bCs/>
          <w:color w:val="000000"/>
        </w:rPr>
        <w:t>w porównaniu z</w:t>
      </w:r>
      <w:r w:rsidR="00A47FB5">
        <w:rPr>
          <w:rFonts w:eastAsia="Times New Roman" w:cs="Calibri"/>
          <w:b w:val="0"/>
          <w:bCs/>
          <w:color w:val="000000"/>
        </w:rPr>
        <w:t xml:space="preserve"> I półroczem 2023 r., ale </w:t>
      </w:r>
      <w:r w:rsidR="0099584D">
        <w:rPr>
          <w:rFonts w:eastAsia="Times New Roman" w:cs="Calibri"/>
          <w:b w:val="0"/>
          <w:bCs/>
          <w:color w:val="000000"/>
        </w:rPr>
        <w:t>bardziej negatywne</w:t>
      </w:r>
      <w:r w:rsidR="0032388D">
        <w:rPr>
          <w:rStyle w:val="Odwoaniedokomentarza"/>
          <w:rFonts w:asciiTheme="minorHAnsi" w:hAnsiTheme="minorHAnsi"/>
          <w:noProof w:val="0"/>
          <w:lang w:eastAsia="en-US"/>
        </w:rPr>
        <w:t xml:space="preserve"> </w:t>
      </w:r>
      <w:r w:rsidR="0099584D" w:rsidRPr="00B7448A">
        <w:rPr>
          <w:rStyle w:val="Odwoaniedokomentarza"/>
          <w:b w:val="0"/>
          <w:noProof w:val="0"/>
          <w:sz w:val="18"/>
          <w:szCs w:val="18"/>
          <w:lang w:eastAsia="en-US"/>
        </w:rPr>
        <w:t>n</w:t>
      </w:r>
      <w:r w:rsidR="0032388D" w:rsidRPr="00B7448A">
        <w:rPr>
          <w:rFonts w:eastAsia="Times New Roman" w:cs="Calibri"/>
          <w:b w:val="0"/>
          <w:bCs/>
          <w:sz w:val="18"/>
          <w:szCs w:val="18"/>
        </w:rPr>
        <w:t>i</w:t>
      </w:r>
      <w:r w:rsidR="0032388D" w:rsidRPr="00B7448A">
        <w:rPr>
          <w:rFonts w:eastAsia="Times New Roman" w:cs="Calibri"/>
          <w:b w:val="0"/>
          <w:bCs/>
          <w:color w:val="000000"/>
        </w:rPr>
        <w:t xml:space="preserve">ż </w:t>
      </w:r>
      <w:r w:rsidR="0032388D">
        <w:rPr>
          <w:rFonts w:eastAsia="Times New Roman" w:cs="Calibri"/>
          <w:b w:val="0"/>
          <w:bCs/>
          <w:color w:val="000000"/>
        </w:rPr>
        <w:t>w </w:t>
      </w:r>
      <w:r w:rsidR="00A47FB5">
        <w:rPr>
          <w:rFonts w:eastAsia="Times New Roman" w:cs="Calibri"/>
          <w:b w:val="0"/>
          <w:bCs/>
          <w:color w:val="000000"/>
        </w:rPr>
        <w:t>II edycji badania w 2022 r.</w:t>
      </w:r>
      <w:r w:rsidRPr="00571B3C">
        <w:rPr>
          <w:rFonts w:eastAsia="Times New Roman" w:cs="Calibri"/>
          <w:b w:val="0"/>
          <w:bCs/>
          <w:color w:val="000000"/>
        </w:rPr>
        <w:t xml:space="preserve"> </w:t>
      </w:r>
      <w:r w:rsidR="0099584D">
        <w:rPr>
          <w:rFonts w:eastAsia="Times New Roman" w:cs="Calibri"/>
          <w:b w:val="0"/>
          <w:bCs/>
          <w:color w:val="000000"/>
        </w:rPr>
        <w:t>Najbardziej pesymistyczne o</w:t>
      </w:r>
      <w:r w:rsidR="008A61DC">
        <w:rPr>
          <w:rFonts w:eastAsia="Times New Roman" w:cs="Calibri"/>
          <w:b w:val="0"/>
          <w:bCs/>
          <w:color w:val="000000"/>
        </w:rPr>
        <w:t>pinie na temat zmiany popytu na </w:t>
      </w:r>
      <w:r w:rsidR="0015004F">
        <w:rPr>
          <w:rFonts w:eastAsia="Times New Roman" w:cs="Calibri"/>
          <w:b w:val="0"/>
          <w:bCs/>
          <w:color w:val="000000"/>
        </w:rPr>
        <w:t>wytwarzane produkty rolne wyrazili kierujący gospodarstwami ukierunkowanymi n</w:t>
      </w:r>
      <w:r w:rsidR="008A61DC">
        <w:rPr>
          <w:rFonts w:eastAsia="Times New Roman" w:cs="Calibri"/>
          <w:b w:val="0"/>
          <w:bCs/>
          <w:color w:val="000000"/>
        </w:rPr>
        <w:t>a </w:t>
      </w:r>
      <w:r w:rsidR="0015004F">
        <w:rPr>
          <w:rFonts w:eastAsia="Times New Roman" w:cs="Calibri"/>
          <w:b w:val="0"/>
          <w:bCs/>
          <w:color w:val="000000"/>
        </w:rPr>
        <w:t>produkcję roślinną. W tej grupie najbardziej niekorzyst</w:t>
      </w:r>
      <w:r w:rsidR="00CB2CE6">
        <w:rPr>
          <w:rFonts w:eastAsia="Times New Roman" w:cs="Calibri"/>
          <w:b w:val="0"/>
          <w:bCs/>
          <w:color w:val="000000"/>
        </w:rPr>
        <w:t>n</w:t>
      </w:r>
      <w:r w:rsidR="0015004F">
        <w:rPr>
          <w:rFonts w:eastAsia="Times New Roman" w:cs="Calibri"/>
          <w:b w:val="0"/>
          <w:bCs/>
          <w:color w:val="000000"/>
        </w:rPr>
        <w:t xml:space="preserve">e </w:t>
      </w:r>
      <w:r w:rsidR="00A235A0">
        <w:rPr>
          <w:rFonts w:eastAsia="Times New Roman" w:cs="Calibri"/>
          <w:b w:val="0"/>
          <w:bCs/>
          <w:color w:val="000000"/>
        </w:rPr>
        <w:t xml:space="preserve">opinie </w:t>
      </w:r>
      <w:r w:rsidR="00DB4EFB">
        <w:rPr>
          <w:rFonts w:eastAsia="Times New Roman" w:cs="Calibri"/>
          <w:b w:val="0"/>
          <w:bCs/>
          <w:color w:val="000000"/>
        </w:rPr>
        <w:t>wyrazili</w:t>
      </w:r>
      <w:r w:rsidR="0032388D">
        <w:rPr>
          <w:rFonts w:eastAsia="Times New Roman" w:cs="Calibri"/>
          <w:b w:val="0"/>
          <w:bCs/>
          <w:color w:val="000000"/>
        </w:rPr>
        <w:t xml:space="preserve"> hodowcy rzepaku i </w:t>
      </w:r>
      <w:r w:rsidR="0015004F">
        <w:rPr>
          <w:rFonts w:eastAsia="Times New Roman" w:cs="Calibri"/>
          <w:b w:val="0"/>
          <w:bCs/>
          <w:color w:val="000000"/>
        </w:rPr>
        <w:t>rzepiku, a takż</w:t>
      </w:r>
      <w:r w:rsidR="00A97CB1">
        <w:rPr>
          <w:rFonts w:eastAsia="Times New Roman" w:cs="Calibri"/>
          <w:b w:val="0"/>
          <w:bCs/>
          <w:color w:val="000000"/>
        </w:rPr>
        <w:t xml:space="preserve">e roślin przemysłowych. </w:t>
      </w:r>
      <w:r w:rsidR="00355631">
        <w:rPr>
          <w:rFonts w:eastAsia="Times New Roman" w:cs="Calibri"/>
          <w:b w:val="0"/>
          <w:bCs/>
          <w:color w:val="000000"/>
        </w:rPr>
        <w:t>W </w:t>
      </w:r>
      <w:r w:rsidRPr="00571B3C">
        <w:rPr>
          <w:rFonts w:eastAsia="Times New Roman" w:cs="Calibri"/>
          <w:b w:val="0"/>
          <w:bCs/>
          <w:color w:val="000000"/>
        </w:rPr>
        <w:t>przypadku</w:t>
      </w:r>
      <w:r w:rsidR="008A61DC">
        <w:rPr>
          <w:rFonts w:eastAsia="Times New Roman" w:cs="Calibri"/>
          <w:b w:val="0"/>
          <w:bCs/>
          <w:color w:val="000000"/>
        </w:rPr>
        <w:t xml:space="preserve"> gospodarstw ukierunkowanych na </w:t>
      </w:r>
      <w:r w:rsidRPr="00571B3C">
        <w:rPr>
          <w:rFonts w:eastAsia="Times New Roman" w:cs="Calibri"/>
          <w:b w:val="0"/>
          <w:bCs/>
          <w:color w:val="000000"/>
        </w:rPr>
        <w:t xml:space="preserve">produkcję zwierzęcą odnotowano największy </w:t>
      </w:r>
      <w:r w:rsidR="00A97CB1">
        <w:rPr>
          <w:rFonts w:eastAsia="Times New Roman" w:cs="Calibri"/>
          <w:b w:val="0"/>
          <w:bCs/>
          <w:color w:val="000000"/>
        </w:rPr>
        <w:t xml:space="preserve">wzrost </w:t>
      </w:r>
      <w:r w:rsidR="008A61DC">
        <w:rPr>
          <w:rFonts w:eastAsia="Times New Roman" w:cs="Calibri"/>
          <w:b w:val="0"/>
          <w:bCs/>
          <w:color w:val="000000"/>
        </w:rPr>
        <w:t>wartości salda odpowiedzi w </w:t>
      </w:r>
      <w:r w:rsidRPr="00571B3C">
        <w:rPr>
          <w:rFonts w:eastAsia="Times New Roman" w:cs="Calibri"/>
          <w:b w:val="0"/>
          <w:bCs/>
          <w:color w:val="000000"/>
        </w:rPr>
        <w:t xml:space="preserve">porównaniu z poprzednim </w:t>
      </w:r>
      <w:r w:rsidR="00A97CB1">
        <w:rPr>
          <w:rFonts w:eastAsia="Times New Roman" w:cs="Calibri"/>
          <w:b w:val="0"/>
          <w:bCs/>
          <w:color w:val="000000"/>
        </w:rPr>
        <w:t xml:space="preserve">półroczem, o 8,1 </w:t>
      </w:r>
      <w:r w:rsidRPr="00571B3C">
        <w:rPr>
          <w:rFonts w:eastAsia="Times New Roman" w:cs="Calibri"/>
          <w:b w:val="0"/>
          <w:bCs/>
          <w:color w:val="000000"/>
        </w:rPr>
        <w:t xml:space="preserve">p. proc. </w:t>
      </w:r>
      <w:r w:rsidR="00B21986">
        <w:rPr>
          <w:rFonts w:eastAsia="Times New Roman" w:cs="Calibri"/>
          <w:b w:val="0"/>
          <w:bCs/>
          <w:color w:val="000000"/>
        </w:rPr>
        <w:t xml:space="preserve">Najmniej </w:t>
      </w:r>
      <w:r w:rsidR="009C7F79">
        <w:rPr>
          <w:rFonts w:eastAsia="Times New Roman" w:cs="Calibri"/>
          <w:b w:val="0"/>
          <w:bCs/>
          <w:color w:val="000000"/>
        </w:rPr>
        <w:t xml:space="preserve">niekorzystne </w:t>
      </w:r>
      <w:r w:rsidR="00B21986" w:rsidRPr="00571B3C">
        <w:rPr>
          <w:rFonts w:eastAsia="Times New Roman" w:cs="Calibri"/>
          <w:b w:val="0"/>
          <w:bCs/>
          <w:color w:val="000000"/>
        </w:rPr>
        <w:t>opinie na temat zmiany opłacalności produkcji wyrazili kierujący gospodarstwami rolnymi prowadzącymi chów</w:t>
      </w:r>
      <w:r w:rsidR="00B21986">
        <w:rPr>
          <w:rFonts w:eastAsia="Times New Roman" w:cs="Calibri"/>
          <w:b w:val="0"/>
          <w:bCs/>
          <w:color w:val="000000"/>
        </w:rPr>
        <w:t xml:space="preserve"> trzody chlewnej</w:t>
      </w:r>
      <w:r w:rsidR="00B21986" w:rsidRPr="00571B3C">
        <w:rPr>
          <w:rFonts w:eastAsia="Times New Roman" w:cs="Calibri"/>
          <w:b w:val="0"/>
          <w:bCs/>
          <w:color w:val="000000"/>
        </w:rPr>
        <w:t xml:space="preserve">, natomiast </w:t>
      </w:r>
      <w:r w:rsidR="00B21986">
        <w:rPr>
          <w:rFonts w:eastAsia="Times New Roman" w:cs="Calibri"/>
          <w:b w:val="0"/>
          <w:bCs/>
          <w:color w:val="000000"/>
        </w:rPr>
        <w:t xml:space="preserve">najbardziej pesymistyczne owiec </w:t>
      </w:r>
      <w:r w:rsidR="00B21986" w:rsidRPr="00571B3C">
        <w:rPr>
          <w:rFonts w:eastAsia="Times New Roman" w:cs="Calibri"/>
          <w:b w:val="0"/>
          <w:bCs/>
          <w:color w:val="000000"/>
        </w:rPr>
        <w:t>i koni</w:t>
      </w:r>
      <w:r w:rsidR="00B21986">
        <w:rPr>
          <w:rFonts w:eastAsia="Times New Roman" w:cs="Calibri"/>
          <w:b w:val="0"/>
          <w:bCs/>
          <w:color w:val="000000" w:themeColor="text1"/>
        </w:rPr>
        <w:t>.</w:t>
      </w:r>
    </w:p>
    <w:p w14:paraId="1E38B5A2" w14:textId="77777777" w:rsidR="00571B3C" w:rsidRDefault="00E51242" w:rsidP="00B60CAC">
      <w:pPr>
        <w:pStyle w:val="LID"/>
        <w:spacing w:after="120"/>
        <w:rPr>
          <w:rFonts w:eastAsia="Times New Roman" w:cs="Calibri"/>
          <w:bCs/>
          <w:color w:val="000000"/>
        </w:rPr>
      </w:pPr>
      <w:r>
        <w:drawing>
          <wp:anchor distT="0" distB="0" distL="114300" distR="114300" simplePos="0" relativeHeight="252978176" behindDoc="0" locked="0" layoutInCell="1" allowOverlap="1" wp14:anchorId="5D4B50DF" wp14:editId="2D6A7599">
            <wp:simplePos x="0" y="0"/>
            <wp:positionH relativeFrom="column">
              <wp:posOffset>-54670</wp:posOffset>
            </wp:positionH>
            <wp:positionV relativeFrom="paragraph">
              <wp:posOffset>513739</wp:posOffset>
            </wp:positionV>
            <wp:extent cx="5122545" cy="2929890"/>
            <wp:effectExtent l="0" t="0" r="1905" b="3810"/>
            <wp:wrapThrough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hrough>
            <wp:docPr id="16" name="Wykres 16" descr="Salda odpowiedzi dotyczące prognozowanej w &#10;II półroczu sytuacji ogólnej gospodarstw rolnych, opłacalności produkcji rolniczej i popytu na produkty rolne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571B3C" w:rsidRPr="00571B3C">
        <w:rPr>
          <w:rFonts w:eastAsia="Times New Roman" w:cs="Calibri"/>
          <w:bCs/>
          <w:color w:val="000000"/>
        </w:rPr>
        <w:t>Wykres 3</w:t>
      </w:r>
      <w:r w:rsidR="00FE6D85">
        <w:rPr>
          <w:rFonts w:eastAsia="Times New Roman" w:cs="Calibri"/>
          <w:bCs/>
          <w:color w:val="000000"/>
        </w:rPr>
        <w:t>.</w:t>
      </w:r>
      <w:r w:rsidR="00571B3C" w:rsidRPr="00571B3C">
        <w:rPr>
          <w:rFonts w:eastAsia="Times New Roman" w:cs="Calibri"/>
          <w:bCs/>
          <w:color w:val="000000"/>
        </w:rPr>
        <w:t xml:space="preserve"> Salda odpowiedzi dotyczące zmiany w II półroczu</w:t>
      </w:r>
      <w:r w:rsidR="001B3AB2">
        <w:rPr>
          <w:rFonts w:eastAsia="Times New Roman" w:cs="Calibri"/>
          <w:bCs/>
          <w:color w:val="000000"/>
        </w:rPr>
        <w:t>:</w:t>
      </w:r>
      <w:r w:rsidR="00571B3C" w:rsidRPr="00571B3C">
        <w:rPr>
          <w:rFonts w:eastAsia="Times New Roman" w:cs="Calibri"/>
          <w:bCs/>
          <w:color w:val="000000"/>
        </w:rPr>
        <w:t xml:space="preserve"> sytuacji ogólnej gospodarstw rolnych, opłacalności produkcji rolniczej i popytu na produkty rolne</w:t>
      </w:r>
    </w:p>
    <w:p w14:paraId="009CD09C" w14:textId="77777777" w:rsidR="009A2819" w:rsidRPr="00E51242" w:rsidRDefault="00E51242" w:rsidP="00E51242">
      <w:pPr>
        <w:spacing w:line="259" w:lineRule="auto"/>
        <w:rPr>
          <w:rFonts w:ascii="Fira Sans" w:eastAsia="Times New Roman" w:hAnsi="Fira Sans" w:cs="Calibri"/>
          <w:b/>
          <w:bCs/>
          <w:noProof/>
          <w:color w:val="000000"/>
          <w:sz w:val="19"/>
          <w:szCs w:val="19"/>
          <w:lang w:eastAsia="pl-PL"/>
        </w:rPr>
      </w:pPr>
      <w:r>
        <w:rPr>
          <w:rFonts w:eastAsia="Times New Roman" w:cs="Calibri"/>
          <w:bCs/>
          <w:color w:val="000000"/>
        </w:rPr>
        <w:br w:type="page"/>
      </w:r>
    </w:p>
    <w:p w14:paraId="1AFBB276" w14:textId="77777777" w:rsidR="00411D3B" w:rsidRPr="00411D3B" w:rsidRDefault="00411D3B" w:rsidP="00411D3B">
      <w:pPr>
        <w:pStyle w:val="LID"/>
        <w:spacing w:after="120"/>
        <w:rPr>
          <w:rFonts w:eastAsia="Times New Roman" w:cs="Calibri"/>
          <w:bCs/>
          <w:color w:val="000000"/>
        </w:rPr>
      </w:pPr>
      <w:r w:rsidRPr="00411D3B">
        <w:rPr>
          <w:rFonts w:eastAsia="Times New Roman" w:cs="Calibri"/>
          <w:bCs/>
          <w:color w:val="000000"/>
        </w:rPr>
        <w:lastRenderedPageBreak/>
        <w:t>Diagnoza bieżącej sytuacji gospodarstw rolnych</w:t>
      </w:r>
    </w:p>
    <w:p w14:paraId="44FA1EC7" w14:textId="272339B1" w:rsidR="007979BE" w:rsidRPr="00411D3B" w:rsidRDefault="00AF48F2" w:rsidP="00E30A17">
      <w:pPr>
        <w:pStyle w:val="LID"/>
        <w:spacing w:before="360" w:after="120"/>
        <w:rPr>
          <w:rFonts w:eastAsia="Times New Roman" w:cs="Calibri"/>
          <w:b w:val="0"/>
          <w:bCs/>
          <w:color w:val="000000"/>
        </w:rPr>
      </w:pPr>
      <w:r w:rsidRPr="00D8754D">
        <w:rPr>
          <w:rFonts w:asciiTheme="minorHAnsi" w:hAnsiTheme="minorHAnsi"/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2957696" behindDoc="1" locked="0" layoutInCell="1" allowOverlap="1" wp14:anchorId="682E285A" wp14:editId="4DCEE042">
                <wp:simplePos x="0" y="0"/>
                <wp:positionH relativeFrom="page">
                  <wp:posOffset>5814060</wp:posOffset>
                </wp:positionH>
                <wp:positionV relativeFrom="paragraph">
                  <wp:posOffset>964565</wp:posOffset>
                </wp:positionV>
                <wp:extent cx="1741805" cy="1630045"/>
                <wp:effectExtent l="0" t="0" r="0" b="0"/>
                <wp:wrapTight wrapText="bothSides">
                  <wp:wrapPolygon edited="0">
                    <wp:start x="709" y="0"/>
                    <wp:lineTo x="709" y="21205"/>
                    <wp:lineTo x="20789" y="21205"/>
                    <wp:lineTo x="20789" y="0"/>
                    <wp:lineTo x="709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63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EE7F" w14:textId="471E9A2C" w:rsidR="00E14EFF" w:rsidRPr="00AF48F2" w:rsidRDefault="00E14EFF" w:rsidP="00AF48F2">
                            <w:pPr>
                              <w:spacing w:before="120" w:after="120"/>
                              <w:rPr>
                                <w:rFonts w:ascii="Fira Sans" w:hAnsi="Fira Sans"/>
                                <w:color w:val="001D77"/>
                                <w:spacing w:val="-2"/>
                                <w:sz w:val="18"/>
                                <w:szCs w:val="19"/>
                              </w:rPr>
                            </w:pPr>
                            <w:r w:rsidRPr="00AF48F2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 xml:space="preserve">29,2% ankietowanych rolników </w:t>
                            </w:r>
                            <w:r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odpowiedziało, że </w:t>
                            </w:r>
                            <w:r w:rsidRPr="00AF48F2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sytuacja ich gospodarst</w:t>
                            </w:r>
                            <w:r w:rsidR="001673EF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w rolnych w grudniu 2023 r. była</w:t>
                            </w:r>
                            <w:r w:rsidRPr="00AF48F2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 xml:space="preserve"> zła, a 5,0% że dobra. Pozostali uznali, że jest ona normalna jak na te porę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285A" id="Pole tekstowe 11" o:spid="_x0000_s1030" type="#_x0000_t202" style="position:absolute;margin-left:457.8pt;margin-top:75.95pt;width:137.15pt;height:128.35pt;z-index:-250358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cG1EgIAAAEEAAAOAAAAZHJzL2Uyb0RvYy54bWysU9Fu2yAUfZ+0f0C8L7Yzp02tOFXXrtOk&#10;bqvU7gMwxjEqcBmQ2NnX94KTLFrfpvkBgS/3cM7hsLoetSI74bwEU9NillMiDIdWmk1Nfz7ff1hS&#10;4gMzLVNgRE33wtPr9ft3q8FWYg49qFY4giDGV4OtaR+CrbLM815o5mdghcFiB06zgEu3yVrHBkTX&#10;Kpvn+UU2gGutAy68x793U5GuE37XCR5+dJ0XgaiaIreQRpfGJo7ZesWqjWO2l/xAg/0DC82kwUNP&#10;UHcsMLJ18g2UltyBhy7MOOgMuk5ykTSgmiL/S81Tz6xIWtAcb082+f8Hy7/vHh2RLd5dQYlhGu/o&#10;EZQgQbz4AIMg+B9NGqyvcO+Txd1h/AQjNiTB3j4Af/HEwG3PzEbcOAdDL1iLJFNndtY64fgI0gzf&#10;oMXD2DZAAho7p6OD6AlBdLys/emCxBgIj0delsUyX1DCsVZcfMzzchHZZaw6tlvnwxcBmsRJTR0m&#10;IMGz3YMP09bjlniagXupVEqBMmSo6dVivkgNZxUtA4ZUSV3TZR6/KTZR5WfTpubApJrmyEUZpBRl&#10;R6WT5jA2Y7K5PLrZQLtHHxxMmcQ3hJMe3G9KBsxjTf2vLXOCEvXVoJdXRVnGAKdFubic48KdV5rz&#10;CjMcoWoaKJmmtyGFfpJ8g553MrkRWU5MDpQxZ8nPw5uIQT5fp11/Xu76FQAA//8DAFBLAwQUAAYA&#10;CAAAACEAzzd/yt8AAAAMAQAADwAAAGRycy9kb3ducmV2LnhtbEyPTU/DMAyG70j8h8hI3FhStFZt&#10;13RCIK4gxoe0W9Z4bUXjVE22ln+Pd4KbrffR68fVdnGDOOMUek8akpUCgdR421Or4eP9+S4HEaIh&#10;awZPqOEHA2zr66vKlNbP9IbnXWwFl1AojYYuxrGUMjQdOhNWfkTi7OgnZyKvUyvtZGYud4O8VyqT&#10;zvTEFzoz4mOHzffu5DR8vhz3X2v12j65dJz9oiS5Qmp9e7M8bEBEXOIfDBd9VoeanQ7+RDaIQUOR&#10;pBmjHKRJAeJCJHnB00HDWuUZyLqS/5+ofwEAAP//AwBQSwECLQAUAAYACAAAACEAtoM4kv4AAADh&#10;AQAAEwAAAAAAAAAAAAAAAAAAAAAAW0NvbnRlbnRfVHlwZXNdLnhtbFBLAQItABQABgAIAAAAIQA4&#10;/SH/1gAAAJQBAAALAAAAAAAAAAAAAAAAAC8BAABfcmVscy8ucmVsc1BLAQItABQABgAIAAAAIQD0&#10;ncG1EgIAAAEEAAAOAAAAAAAAAAAAAAAAAC4CAABkcnMvZTJvRG9jLnhtbFBLAQItABQABgAIAAAA&#10;IQDPN3/K3wAAAAwBAAAPAAAAAAAAAAAAAAAAAGwEAABkcnMvZG93bnJldi54bWxQSwUGAAAAAAQA&#10;BADzAAAAeAUAAAAA&#10;" filled="f" stroked="f">
                <v:textbox>
                  <w:txbxContent>
                    <w:p w14:paraId="23E4EE7F" w14:textId="471E9A2C" w:rsidR="00E14EFF" w:rsidRPr="00AF48F2" w:rsidRDefault="00E14EFF" w:rsidP="00AF48F2">
                      <w:pPr>
                        <w:spacing w:before="120" w:after="120"/>
                        <w:rPr>
                          <w:rFonts w:ascii="Fira Sans" w:hAnsi="Fira Sans"/>
                          <w:color w:val="001D77"/>
                          <w:spacing w:val="-2"/>
                          <w:sz w:val="18"/>
                          <w:szCs w:val="19"/>
                        </w:rPr>
                      </w:pPr>
                      <w:r w:rsidRPr="00AF48F2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 xml:space="preserve">29,2% ankietowanych rolników </w:t>
                      </w:r>
                      <w:r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odpowiedziało, że </w:t>
                      </w:r>
                      <w:r w:rsidRPr="00AF48F2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sytuacja ich gospodarst</w:t>
                      </w:r>
                      <w:r w:rsidR="001673EF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w rolnych w grudniu 2023 r. była</w:t>
                      </w:r>
                      <w:r w:rsidRPr="00AF48F2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 xml:space="preserve"> zła, a 5,0% że dobra. Pozostali uznali, że jest ona normalna jak na te porę roku.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11D3B" w:rsidRPr="00411D3B">
        <w:rPr>
          <w:rFonts w:eastAsia="Times New Roman" w:cs="Calibri"/>
          <w:b w:val="0"/>
          <w:bCs/>
          <w:color w:val="000000"/>
        </w:rPr>
        <w:t>Bieżąca ocena (grudzień 2023 r.) sytuacji ogólnej gospodarstwa rolnego była mniej pesymistyczna niż ocena wyrażona w czerwcu 2023 r.</w:t>
      </w:r>
      <w:r w:rsidR="00B45428">
        <w:rPr>
          <w:rFonts w:eastAsia="Times New Roman" w:cs="Calibri"/>
          <w:b w:val="0"/>
          <w:bCs/>
          <w:color w:val="000000"/>
        </w:rPr>
        <w:t>, ale bardziej</w:t>
      </w:r>
      <w:r w:rsidR="00E30A17">
        <w:rPr>
          <w:rFonts w:eastAsia="Times New Roman" w:cs="Calibri"/>
          <w:b w:val="0"/>
          <w:bCs/>
          <w:color w:val="000000"/>
        </w:rPr>
        <w:t xml:space="preserve"> pesymistyczna w </w:t>
      </w:r>
      <w:r w:rsidR="00E40BBB">
        <w:rPr>
          <w:rFonts w:eastAsia="Times New Roman" w:cs="Calibri"/>
          <w:b w:val="0"/>
          <w:bCs/>
          <w:color w:val="000000"/>
        </w:rPr>
        <w:t xml:space="preserve">porównaniu z </w:t>
      </w:r>
      <w:r w:rsidR="009D4ED8">
        <w:rPr>
          <w:rFonts w:eastAsia="Times New Roman" w:cs="Calibri"/>
          <w:b w:val="0"/>
          <w:bCs/>
          <w:color w:val="000000"/>
        </w:rPr>
        <w:t>analogicznym</w:t>
      </w:r>
      <w:r w:rsidR="009D4ED8">
        <w:rPr>
          <w:rStyle w:val="Odwoaniedokomentarza"/>
          <w:rFonts w:asciiTheme="minorHAnsi" w:hAnsiTheme="minorHAnsi"/>
          <w:noProof w:val="0"/>
          <w:lang w:eastAsia="en-US"/>
        </w:rPr>
        <w:t xml:space="preserve"> </w:t>
      </w:r>
      <w:r w:rsidR="009D4ED8" w:rsidRPr="009D4ED8">
        <w:rPr>
          <w:rStyle w:val="Odwoaniedokomentarza"/>
          <w:b w:val="0"/>
          <w:noProof w:val="0"/>
          <w:sz w:val="19"/>
          <w:szCs w:val="19"/>
          <w:lang w:eastAsia="en-US"/>
        </w:rPr>
        <w:t>m</w:t>
      </w:r>
      <w:r w:rsidR="00E40BBB" w:rsidRPr="009D4ED8">
        <w:rPr>
          <w:rFonts w:eastAsia="Times New Roman" w:cs="Calibri"/>
          <w:b w:val="0"/>
          <w:bCs/>
          <w:color w:val="000000"/>
        </w:rPr>
        <w:t>ie</w:t>
      </w:r>
      <w:r w:rsidR="00E40BBB">
        <w:rPr>
          <w:rFonts w:eastAsia="Times New Roman" w:cs="Calibri"/>
          <w:b w:val="0"/>
          <w:bCs/>
          <w:color w:val="000000"/>
        </w:rPr>
        <w:t xml:space="preserve">siącem 2022 r. </w:t>
      </w:r>
      <w:r w:rsidR="00411D3B" w:rsidRPr="00411D3B">
        <w:rPr>
          <w:rFonts w:eastAsia="Times New Roman" w:cs="Calibri"/>
          <w:b w:val="0"/>
          <w:bCs/>
          <w:color w:val="000000"/>
        </w:rPr>
        <w:t>Rolnicy negatywnie ocenili także grudniową opłacalność produkcji rolniczej</w:t>
      </w:r>
      <w:r w:rsidR="00926C98">
        <w:rPr>
          <w:rFonts w:eastAsia="Times New Roman" w:cs="Calibri"/>
          <w:b w:val="0"/>
          <w:bCs/>
          <w:color w:val="000000"/>
        </w:rPr>
        <w:t xml:space="preserve"> oraz grudniowy popyt</w:t>
      </w:r>
      <w:r w:rsidR="00411D3B" w:rsidRPr="00411D3B">
        <w:rPr>
          <w:rFonts w:eastAsia="Times New Roman" w:cs="Calibri"/>
          <w:b w:val="0"/>
          <w:bCs/>
          <w:color w:val="000000"/>
        </w:rPr>
        <w:t xml:space="preserve">. </w:t>
      </w:r>
      <w:r w:rsidR="00D9133B">
        <w:rPr>
          <w:rFonts w:eastAsia="Times New Roman" w:cs="Calibri"/>
          <w:b w:val="0"/>
          <w:bCs/>
          <w:color w:val="000000"/>
        </w:rPr>
        <w:t xml:space="preserve">Mimo to </w:t>
      </w:r>
      <w:r w:rsidR="004930E9">
        <w:rPr>
          <w:rFonts w:eastAsia="Times New Roman" w:cs="Calibri"/>
          <w:b w:val="0"/>
          <w:bCs/>
          <w:color w:val="000000"/>
        </w:rPr>
        <w:t xml:space="preserve">oba </w:t>
      </w:r>
      <w:r w:rsidR="00D9133B">
        <w:rPr>
          <w:rFonts w:eastAsia="Times New Roman" w:cs="Calibri"/>
          <w:b w:val="0"/>
          <w:bCs/>
          <w:color w:val="000000"/>
        </w:rPr>
        <w:t>s</w:t>
      </w:r>
      <w:r w:rsidR="00411D3B" w:rsidRPr="00411D3B">
        <w:rPr>
          <w:rFonts w:eastAsia="Times New Roman" w:cs="Calibri"/>
          <w:b w:val="0"/>
          <w:bCs/>
          <w:color w:val="000000"/>
        </w:rPr>
        <w:t>ald</w:t>
      </w:r>
      <w:r w:rsidR="00926C98">
        <w:rPr>
          <w:rFonts w:eastAsia="Times New Roman" w:cs="Calibri"/>
          <w:b w:val="0"/>
          <w:bCs/>
          <w:color w:val="000000"/>
        </w:rPr>
        <w:t>a</w:t>
      </w:r>
      <w:r w:rsidR="00411D3B" w:rsidRPr="00411D3B">
        <w:rPr>
          <w:rFonts w:eastAsia="Times New Roman" w:cs="Calibri"/>
          <w:b w:val="0"/>
          <w:bCs/>
          <w:color w:val="000000"/>
        </w:rPr>
        <w:t xml:space="preserve"> odpowiedzi</w:t>
      </w:r>
      <w:r w:rsidR="00D9133B">
        <w:rPr>
          <w:rFonts w:eastAsia="Times New Roman" w:cs="Calibri"/>
          <w:b w:val="0"/>
          <w:bCs/>
          <w:color w:val="000000"/>
        </w:rPr>
        <w:t xml:space="preserve"> n</w:t>
      </w:r>
      <w:r w:rsidR="009D4ED8">
        <w:rPr>
          <w:rFonts w:eastAsia="Times New Roman" w:cs="Calibri"/>
          <w:b w:val="0"/>
          <w:bCs/>
          <w:color w:val="000000"/>
        </w:rPr>
        <w:t>ieznacznie wzrosły w stosunku do czerwca</w:t>
      </w:r>
      <w:r w:rsidR="00411D3B" w:rsidRPr="00411D3B">
        <w:rPr>
          <w:rFonts w:eastAsia="Times New Roman" w:cs="Calibri"/>
          <w:b w:val="0"/>
          <w:bCs/>
          <w:color w:val="000000"/>
        </w:rPr>
        <w:t xml:space="preserve"> </w:t>
      </w:r>
      <w:r w:rsidR="00D9133B">
        <w:rPr>
          <w:rFonts w:eastAsia="Times New Roman" w:cs="Calibri"/>
          <w:b w:val="0"/>
          <w:bCs/>
          <w:color w:val="000000"/>
        </w:rPr>
        <w:t>u</w:t>
      </w:r>
      <w:r w:rsidR="00411D3B" w:rsidRPr="00411D3B">
        <w:rPr>
          <w:rFonts w:eastAsia="Times New Roman" w:cs="Calibri"/>
          <w:b w:val="0"/>
          <w:bCs/>
          <w:color w:val="000000"/>
        </w:rPr>
        <w:t>b</w:t>
      </w:r>
      <w:r w:rsidR="00D9133B">
        <w:rPr>
          <w:rFonts w:eastAsia="Times New Roman" w:cs="Calibri"/>
          <w:b w:val="0"/>
          <w:bCs/>
          <w:color w:val="000000"/>
        </w:rPr>
        <w:t xml:space="preserve">. </w:t>
      </w:r>
      <w:r w:rsidR="00DB1BA1">
        <w:rPr>
          <w:rFonts w:eastAsia="Times New Roman" w:cs="Calibri"/>
          <w:b w:val="0"/>
          <w:bCs/>
          <w:color w:val="000000"/>
        </w:rPr>
        <w:t>r.</w:t>
      </w:r>
      <w:r w:rsidR="00E40BBB">
        <w:rPr>
          <w:rFonts w:eastAsia="Times New Roman" w:cs="Calibri"/>
          <w:b w:val="0"/>
          <w:bCs/>
          <w:color w:val="000000"/>
        </w:rPr>
        <w:t xml:space="preserve"> –</w:t>
      </w:r>
      <w:r w:rsidR="00926C98">
        <w:rPr>
          <w:rFonts w:eastAsia="Times New Roman" w:cs="Calibri"/>
          <w:b w:val="0"/>
          <w:bCs/>
          <w:color w:val="000000"/>
        </w:rPr>
        <w:t xml:space="preserve"> od</w:t>
      </w:r>
      <w:r w:rsidR="00E30A17">
        <w:rPr>
          <w:rFonts w:eastAsia="Times New Roman" w:cs="Calibri"/>
          <w:b w:val="0"/>
          <w:bCs/>
          <w:color w:val="000000"/>
        </w:rPr>
        <w:t>powiednio o 2,1 p. proc. oraz o </w:t>
      </w:r>
      <w:r w:rsidR="00926C98">
        <w:rPr>
          <w:rFonts w:eastAsia="Times New Roman" w:cs="Calibri"/>
          <w:b w:val="0"/>
          <w:bCs/>
          <w:color w:val="000000"/>
        </w:rPr>
        <w:t>1</w:t>
      </w:r>
      <w:r w:rsidR="00DB4EFB">
        <w:rPr>
          <w:rFonts w:eastAsia="Times New Roman" w:cs="Calibri"/>
          <w:b w:val="0"/>
          <w:bCs/>
          <w:color w:val="000000"/>
        </w:rPr>
        <w:t>,</w:t>
      </w:r>
      <w:r w:rsidR="008A61DC">
        <w:rPr>
          <w:rFonts w:eastAsia="Times New Roman" w:cs="Calibri"/>
          <w:b w:val="0"/>
          <w:bCs/>
          <w:color w:val="000000"/>
        </w:rPr>
        <w:t>1 p. </w:t>
      </w:r>
      <w:r w:rsidR="00926C98">
        <w:rPr>
          <w:rFonts w:eastAsia="Times New Roman" w:cs="Calibri"/>
          <w:b w:val="0"/>
          <w:bCs/>
          <w:color w:val="000000"/>
        </w:rPr>
        <w:t>proc.</w:t>
      </w:r>
      <w:r w:rsidR="00701DF3">
        <w:rPr>
          <w:rFonts w:eastAsia="Times New Roman" w:cs="Calibri"/>
          <w:b w:val="0"/>
          <w:bCs/>
          <w:color w:val="000000"/>
        </w:rPr>
        <w:t xml:space="preserve"> </w:t>
      </w:r>
      <w:r w:rsidR="00701DF3" w:rsidRPr="0041394C">
        <w:rPr>
          <w:rFonts w:eastAsia="Times New Roman" w:cs="Calibri"/>
          <w:b w:val="0"/>
          <w:bCs/>
          <w:color w:val="000000"/>
        </w:rPr>
        <w:t>Należy</w:t>
      </w:r>
      <w:r w:rsidR="00211B1D">
        <w:rPr>
          <w:rFonts w:eastAsia="Times New Roman" w:cs="Calibri"/>
          <w:b w:val="0"/>
          <w:bCs/>
          <w:color w:val="000000"/>
        </w:rPr>
        <w:t xml:space="preserve"> jednak</w:t>
      </w:r>
      <w:r w:rsidR="00701DF3" w:rsidRPr="0041394C">
        <w:rPr>
          <w:rFonts w:eastAsia="Times New Roman" w:cs="Calibri"/>
          <w:b w:val="0"/>
          <w:bCs/>
          <w:color w:val="000000"/>
        </w:rPr>
        <w:t xml:space="preserve"> zauważyć, że w porównaniu z </w:t>
      </w:r>
      <w:r w:rsidR="00701DF3">
        <w:rPr>
          <w:rFonts w:eastAsia="Times New Roman" w:cs="Calibri"/>
          <w:b w:val="0"/>
          <w:bCs/>
          <w:color w:val="000000"/>
        </w:rPr>
        <w:t xml:space="preserve">analogicznym </w:t>
      </w:r>
      <w:r w:rsidR="009D4ED8">
        <w:rPr>
          <w:rFonts w:eastAsia="Times New Roman" w:cs="Calibri"/>
          <w:b w:val="0"/>
          <w:bCs/>
          <w:color w:val="000000"/>
        </w:rPr>
        <w:t>miesiącem</w:t>
      </w:r>
      <w:r w:rsidR="001673EF">
        <w:rPr>
          <w:rFonts w:eastAsia="Times New Roman" w:cs="Calibri"/>
          <w:b w:val="0"/>
          <w:bCs/>
          <w:color w:val="000000"/>
        </w:rPr>
        <w:t xml:space="preserve"> </w:t>
      </w:r>
      <w:r w:rsidR="00701DF3">
        <w:rPr>
          <w:rFonts w:eastAsia="Times New Roman" w:cs="Calibri"/>
          <w:b w:val="0"/>
          <w:bCs/>
          <w:color w:val="000000"/>
        </w:rPr>
        <w:t>2022 r.</w:t>
      </w:r>
      <w:r w:rsidR="00701DF3" w:rsidRPr="0041394C">
        <w:rPr>
          <w:rFonts w:eastAsia="Times New Roman" w:cs="Calibri"/>
          <w:b w:val="0"/>
          <w:bCs/>
          <w:color w:val="000000"/>
        </w:rPr>
        <w:t xml:space="preserve">, </w:t>
      </w:r>
      <w:r w:rsidR="00DB4EFB" w:rsidRPr="0041394C">
        <w:rPr>
          <w:rFonts w:eastAsia="Times New Roman" w:cs="Calibri"/>
          <w:b w:val="0"/>
          <w:bCs/>
          <w:color w:val="000000"/>
        </w:rPr>
        <w:t xml:space="preserve">zwiększyła się </w:t>
      </w:r>
      <w:r w:rsidR="00701DF3" w:rsidRPr="0041394C">
        <w:rPr>
          <w:rFonts w:eastAsia="Times New Roman" w:cs="Calibri"/>
          <w:b w:val="0"/>
          <w:bCs/>
          <w:color w:val="000000"/>
        </w:rPr>
        <w:t>przewaga opinii o</w:t>
      </w:r>
      <w:r w:rsidR="00211B1D">
        <w:rPr>
          <w:rFonts w:eastAsia="Times New Roman" w:cs="Calibri"/>
          <w:b w:val="0"/>
          <w:bCs/>
          <w:color w:val="000000"/>
        </w:rPr>
        <w:t xml:space="preserve"> popycie poniżej oczekiwań, a także o </w:t>
      </w:r>
      <w:r w:rsidR="007979BE">
        <w:rPr>
          <w:rFonts w:eastAsia="Times New Roman" w:cs="Calibri"/>
          <w:b w:val="0"/>
          <w:bCs/>
          <w:color w:val="000000"/>
        </w:rPr>
        <w:t>nie</w:t>
      </w:r>
      <w:r w:rsidR="008C4E4E">
        <w:rPr>
          <w:rFonts w:eastAsia="Times New Roman" w:cs="Calibri"/>
          <w:b w:val="0"/>
          <w:bCs/>
          <w:color w:val="000000"/>
        </w:rPr>
        <w:t>o</w:t>
      </w:r>
      <w:r w:rsidR="007979BE">
        <w:rPr>
          <w:rFonts w:eastAsia="Times New Roman" w:cs="Calibri"/>
          <w:b w:val="0"/>
          <w:bCs/>
          <w:color w:val="000000"/>
        </w:rPr>
        <w:t>płacalności produkcji</w:t>
      </w:r>
      <w:r w:rsidR="00701DF3" w:rsidRPr="0041394C">
        <w:rPr>
          <w:rFonts w:eastAsia="Times New Roman" w:cs="Calibri"/>
          <w:b w:val="0"/>
          <w:bCs/>
          <w:color w:val="000000"/>
        </w:rPr>
        <w:t xml:space="preserve"> nad opiniami przeciwnymi</w:t>
      </w:r>
      <w:r w:rsidR="007979BE">
        <w:rPr>
          <w:rFonts w:eastAsia="Times New Roman" w:cs="Calibri"/>
          <w:b w:val="0"/>
          <w:bCs/>
          <w:color w:val="000000"/>
        </w:rPr>
        <w:t>.</w:t>
      </w:r>
    </w:p>
    <w:p w14:paraId="4A7B8954" w14:textId="77777777" w:rsidR="00571B3C" w:rsidRDefault="00415C94" w:rsidP="00E30A17">
      <w:pPr>
        <w:pStyle w:val="LID"/>
        <w:spacing w:before="480" w:after="120"/>
        <w:rPr>
          <w:rFonts w:eastAsia="Times New Roman" w:cs="Calibri"/>
          <w:bCs/>
          <w:color w:val="000000"/>
        </w:rPr>
      </w:pPr>
      <w:r w:rsidRPr="00CC20A7">
        <w:rPr>
          <w:spacing w:val="-2"/>
        </w:rPr>
        <mc:AlternateContent>
          <mc:Choice Requires="wps">
            <w:drawing>
              <wp:anchor distT="45720" distB="45720" distL="114300" distR="114300" simplePos="0" relativeHeight="252988416" behindDoc="1" locked="0" layoutInCell="1" allowOverlap="1" wp14:anchorId="147E1C78" wp14:editId="4516EEED">
                <wp:simplePos x="0" y="0"/>
                <wp:positionH relativeFrom="margin">
                  <wp:posOffset>5304155</wp:posOffset>
                </wp:positionH>
                <wp:positionV relativeFrom="paragraph">
                  <wp:posOffset>2984500</wp:posOffset>
                </wp:positionV>
                <wp:extent cx="1798955" cy="1682115"/>
                <wp:effectExtent l="0" t="0" r="0" b="0"/>
                <wp:wrapTight wrapText="bothSides">
                  <wp:wrapPolygon edited="0">
                    <wp:start x="686" y="0"/>
                    <wp:lineTo x="686" y="21282"/>
                    <wp:lineTo x="20815" y="21282"/>
                    <wp:lineTo x="20815" y="0"/>
                    <wp:lineTo x="686" y="0"/>
                  </wp:wrapPolygon>
                </wp:wrapTight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168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505DF" w14:textId="4EC136A1" w:rsidR="00E14EFF" w:rsidRPr="00415C94" w:rsidRDefault="00E14EFF" w:rsidP="00415C94">
                            <w:pPr>
                              <w:spacing w:before="120" w:after="120"/>
                              <w:rPr>
                                <w:rFonts w:ascii="Fira Sans" w:hAnsi="Fira Sans"/>
                                <w:spacing w:val="-2"/>
                                <w:sz w:val="19"/>
                                <w:szCs w:val="19"/>
                              </w:rPr>
                            </w:pPr>
                            <w:r w:rsidRPr="00415C94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25,1% kierujących gospodarstwami prowadzących uprawy pod osłonami odpowiedzia</w:t>
                            </w:r>
                            <w:r w:rsidR="001673EF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ło, że produkcja rolnicza była</w:t>
                            </w:r>
                            <w:r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 xml:space="preserve"> w </w:t>
                            </w:r>
                            <w:r w:rsidRPr="00415C94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grudniu 2023 r. opłacalna</w:t>
                            </w:r>
                            <w:r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, a </w:t>
                            </w:r>
                            <w:r w:rsidRPr="00415C94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 xml:space="preserve">18,4% że nieopłacalna. </w:t>
                            </w:r>
                            <w:r w:rsidRPr="00FA5552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Pozostali rolnicy wskazali na brak zdecydowanej opinii</w:t>
                            </w:r>
                            <w:r w:rsidRPr="00FA5552">
                              <w:rPr>
                                <w:rFonts w:ascii="Fira Sans" w:eastAsia="Calibri" w:hAnsi="Fira Sans" w:cs="Times New Roman"/>
                                <w:bCs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E1C78" id="Pole tekstowe 27" o:spid="_x0000_s1031" type="#_x0000_t202" style="position:absolute;margin-left:417.65pt;margin-top:235pt;width:141.65pt;height:132.45pt;z-index:-25032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VqEwIAAAEEAAAOAAAAZHJzL2Uyb0RvYy54bWysU11v2yAUfZ+0/4B4X/yhuEmsOFXXrtOk&#10;rqvU7QcQjGNU4DIgsbNfvwtO02h7m+YHxPXlnnvP4bC+HrUiB+G8BNPQYpZTIgyHVppdQ398v/+w&#10;pMQHZlqmwIiGHoWn15v379aDrUUJPahWOIIgxteDbWgfgq2zzPNeaOZnYIXBZAdOs4Ch22WtYwOi&#10;a5WVeX6VDeBa64AL7/Hv3ZSkm4TfdYKHb13nRSCqoThbSKtL6zau2WbN6p1jtpf8NAb7hyk0kwab&#10;nqHuWGBk7+RfUFpyBx66MOOgM+g6yUXigGyK/A82zz2zInFBcbw9y+T/Hyx/PDw5ItuGlgtKDNN4&#10;R0+gBAnixQcYBMH/KNJgfY1nny2eDuNHGPGyE2FvH4C/eGLgtmdmJ26cg6EXrMUhi1iZXZROOD6C&#10;bIev0GIztg+QgMbO6aggakIQHS/reL4gMQbCY8vFarmqKko45oqrZVkUVerB6tdy63z4LECTuGmo&#10;QwckeHZ48CGOw+rXI7GbgXupVHKBMmRo6Koqq1RwkdEyoEmV1A1d5vGbbBNZfjJtKg5MqmmPDZQ5&#10;0Y5MJ85h3I5J5jRvlGQL7RF1cDB5Et8QbnpwvygZ0I8N9T/3zAlK1BeDWq6K+TwaOAXzalFi4C4z&#10;28sMMxyhGhoomba3IZl+onyDmncyqfE2yWlk9FkS6fQmopEv43Tq7eVufgMAAP//AwBQSwMEFAAG&#10;AAgAAAAhAEwdKC/gAAAADAEAAA8AAABkcnMvZG93bnJldi54bWxMj8tOwzAQRfdI/IM1SOyoHZK2&#10;acikQiC2IMpDYufG0yQiHkex24S/x13BcjRH955bbmfbixONvnOMkCwUCOLamY4bhPe3p5schA+a&#10;je4dE8IPedhWlxelLoyb+JVOu9CIGMK+0AhtCEMhpa9bstov3EAcfwc3Wh3iOTbSjHqK4baXt0qt&#10;pNUdx4ZWD/TQUv29O1qEj+fD12emXppHuxwmNyvJdiMRr6/m+zsQgebwB8NZP6pDFZ327sjGix4h&#10;T5dpRBGytYqjzkSS5CsQe4R1mm1AVqX8P6L6BQAA//8DAFBLAQItABQABgAIAAAAIQC2gziS/gAA&#10;AOEBAAATAAAAAAAAAAAAAAAAAAAAAABbQ29udGVudF9UeXBlc10ueG1sUEsBAi0AFAAGAAgAAAAh&#10;ADj9If/WAAAAlAEAAAsAAAAAAAAAAAAAAAAALwEAAF9yZWxzLy5yZWxzUEsBAi0AFAAGAAgAAAAh&#10;ALJxRWoTAgAAAQQAAA4AAAAAAAAAAAAAAAAALgIAAGRycy9lMm9Eb2MueG1sUEsBAi0AFAAGAAgA&#10;AAAhAEwdKC/gAAAADAEAAA8AAAAAAAAAAAAAAAAAbQQAAGRycy9kb3ducmV2LnhtbFBLBQYAAAAA&#10;BAAEAPMAAAB6BQAAAAA=&#10;" filled="f" stroked="f">
                <v:textbox>
                  <w:txbxContent>
                    <w:p w14:paraId="74A505DF" w14:textId="4EC136A1" w:rsidR="00E14EFF" w:rsidRPr="00415C94" w:rsidRDefault="00E14EFF" w:rsidP="00415C94">
                      <w:pPr>
                        <w:spacing w:before="120" w:after="120"/>
                        <w:rPr>
                          <w:rFonts w:ascii="Fira Sans" w:hAnsi="Fira Sans"/>
                          <w:spacing w:val="-2"/>
                          <w:sz w:val="19"/>
                          <w:szCs w:val="19"/>
                        </w:rPr>
                      </w:pPr>
                      <w:r w:rsidRPr="00415C94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25,1% kierujących gospodarstwami prowadzących uprawy pod osłonami odpowiedzia</w:t>
                      </w:r>
                      <w:r w:rsidR="001673EF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ło, że produkcja rolnicza była</w:t>
                      </w:r>
                      <w:r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 xml:space="preserve"> w </w:t>
                      </w:r>
                      <w:r w:rsidRPr="00415C94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grudniu 2023 r. opłacalna</w:t>
                      </w:r>
                      <w:r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, a </w:t>
                      </w:r>
                      <w:r w:rsidRPr="00415C94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 xml:space="preserve">18,4% że nieopłacalna. </w:t>
                      </w:r>
                      <w:r w:rsidRPr="00FA5552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Pozostali rolnicy wskazali na brak zdecydowanej opinii</w:t>
                      </w:r>
                      <w:r w:rsidRPr="00FA5552">
                        <w:rPr>
                          <w:rFonts w:ascii="Fira Sans" w:eastAsia="Calibri" w:hAnsi="Fira Sans" w:cs="Times New Roman"/>
                          <w:bCs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823C7">
        <w:drawing>
          <wp:anchor distT="0" distB="0" distL="114300" distR="114300" simplePos="0" relativeHeight="252971008" behindDoc="0" locked="0" layoutInCell="1" allowOverlap="1" wp14:anchorId="1BD8D0F1" wp14:editId="67D47508">
            <wp:simplePos x="0" y="0"/>
            <wp:positionH relativeFrom="column">
              <wp:posOffset>3175</wp:posOffset>
            </wp:positionH>
            <wp:positionV relativeFrom="paragraph">
              <wp:posOffset>674550</wp:posOffset>
            </wp:positionV>
            <wp:extent cx="4981575" cy="2567305"/>
            <wp:effectExtent l="0" t="0" r="0" b="4445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7A" w:rsidRPr="001F1D7A">
        <w:rPr>
          <w:rFonts w:eastAsia="Times New Roman" w:cs="Calibri"/>
          <w:bCs/>
          <w:color w:val="000000"/>
        </w:rPr>
        <w:t>Wykres 4. Salda odpowiedzi dotyczące ocen bieżącej sytuacji ogólnej gospodarstw rolnych, bieżącej opłacalności produkcji rolniczej i bieżącego popytu na produkty rolne</w:t>
      </w:r>
    </w:p>
    <w:p w14:paraId="00503330" w14:textId="77777777" w:rsidR="0041394C" w:rsidRDefault="0041394C" w:rsidP="000A3ECC">
      <w:pPr>
        <w:pStyle w:val="LID"/>
        <w:tabs>
          <w:tab w:val="right" w:pos="8067"/>
        </w:tabs>
        <w:spacing w:after="120"/>
        <w:rPr>
          <w:rFonts w:eastAsia="Times New Roman" w:cs="Calibri"/>
          <w:bCs/>
          <w:color w:val="000000"/>
        </w:rPr>
      </w:pPr>
    </w:p>
    <w:tbl>
      <w:tblPr>
        <w:tblpPr w:leftFromText="141" w:rightFromText="141" w:vertAnchor="text" w:horzAnchor="margin" w:tblpY="1108"/>
        <w:tblW w:w="78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7"/>
        <w:gridCol w:w="1814"/>
        <w:gridCol w:w="2077"/>
        <w:gridCol w:w="2371"/>
      </w:tblGrid>
      <w:tr w:rsidR="0033055D" w:rsidRPr="0033055D" w14:paraId="6EE004F8" w14:textId="77777777" w:rsidTr="00DC0739">
        <w:trPr>
          <w:trHeight w:val="445"/>
        </w:trPr>
        <w:tc>
          <w:tcPr>
            <w:tcW w:w="1408" w:type="dxa"/>
            <w:vMerge w:val="restart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FC8597C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 xml:space="preserve">Wyszczególnienie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41DA17E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 xml:space="preserve">Bieżąca sytuacja ogólna gospodarstwa rolnego 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5FC956E2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Bieżąca opłacalności produkcji rolniczej</w:t>
            </w:r>
          </w:p>
        </w:tc>
        <w:tc>
          <w:tcPr>
            <w:tcW w:w="2452" w:type="dxa"/>
            <w:vMerge w:val="restart"/>
            <w:tcBorders>
              <w:top w:val="nil"/>
              <w:left w:val="single" w:sz="8" w:space="0" w:color="001D77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4A16FC76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 xml:space="preserve">Bieżący popyt na produkty rolne </w:t>
            </w:r>
          </w:p>
        </w:tc>
      </w:tr>
      <w:tr w:rsidR="0033055D" w:rsidRPr="0033055D" w14:paraId="36272A38" w14:textId="77777777" w:rsidTr="007B47BA">
        <w:trPr>
          <w:trHeight w:val="945"/>
        </w:trPr>
        <w:tc>
          <w:tcPr>
            <w:tcW w:w="1408" w:type="dxa"/>
            <w:vMerge/>
            <w:tcBorders>
              <w:top w:val="nil"/>
              <w:bottom w:val="single" w:sz="8" w:space="0" w:color="001D77"/>
              <w:right w:val="single" w:sz="8" w:space="0" w:color="001D77"/>
            </w:tcBorders>
            <w:vAlign w:val="center"/>
            <w:hideMark/>
          </w:tcPr>
          <w:p w14:paraId="232B9096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  <w:hideMark/>
          </w:tcPr>
          <w:p w14:paraId="595692F2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vAlign w:val="center"/>
            <w:hideMark/>
          </w:tcPr>
          <w:p w14:paraId="6950408D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452" w:type="dxa"/>
            <w:vMerge/>
            <w:tcBorders>
              <w:top w:val="nil"/>
              <w:left w:val="single" w:sz="8" w:space="0" w:color="001D77"/>
              <w:bottom w:val="single" w:sz="8" w:space="0" w:color="001D77"/>
            </w:tcBorders>
            <w:vAlign w:val="center"/>
            <w:hideMark/>
          </w:tcPr>
          <w:p w14:paraId="46C95DFA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33055D" w:rsidRPr="0033055D" w14:paraId="5C2900B6" w14:textId="77777777" w:rsidTr="00DC0739">
        <w:trPr>
          <w:trHeight w:val="291"/>
        </w:trPr>
        <w:tc>
          <w:tcPr>
            <w:tcW w:w="1408" w:type="dxa"/>
            <w:tcBorders>
              <w:top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78B7D7D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421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D59E166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i/>
                <w:iCs/>
                <w:color w:val="000000"/>
                <w:sz w:val="18"/>
                <w:szCs w:val="18"/>
                <w:lang w:eastAsia="pl-PL"/>
              </w:rPr>
              <w:t>saldo odpowiedzi w p. proc.</w:t>
            </w:r>
          </w:p>
        </w:tc>
      </w:tr>
      <w:tr w:rsidR="0033055D" w:rsidRPr="0033055D" w14:paraId="653BE11A" w14:textId="77777777" w:rsidTr="00DC0739">
        <w:trPr>
          <w:trHeight w:val="305"/>
        </w:trPr>
        <w:tc>
          <w:tcPr>
            <w:tcW w:w="1408" w:type="dxa"/>
            <w:tcBorders>
              <w:top w:val="single" w:sz="12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C0D2D38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2019 r.</w:t>
            </w:r>
          </w:p>
        </w:tc>
        <w:tc>
          <w:tcPr>
            <w:tcW w:w="1843" w:type="dxa"/>
            <w:tcBorders>
              <w:top w:val="single" w:sz="12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08C94CA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-27,5</w:t>
            </w:r>
          </w:p>
        </w:tc>
        <w:tc>
          <w:tcPr>
            <w:tcW w:w="2126" w:type="dxa"/>
            <w:tcBorders>
              <w:top w:val="single" w:sz="12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C34BBE2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-16,4</w:t>
            </w:r>
          </w:p>
        </w:tc>
        <w:tc>
          <w:tcPr>
            <w:tcW w:w="2452" w:type="dxa"/>
            <w:tcBorders>
              <w:top w:val="single" w:sz="12" w:space="0" w:color="001D77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0E18B747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-32,7</w:t>
            </w:r>
          </w:p>
        </w:tc>
      </w:tr>
      <w:tr w:rsidR="0033055D" w:rsidRPr="0033055D" w14:paraId="732615DC" w14:textId="77777777" w:rsidTr="00DC0739">
        <w:trPr>
          <w:trHeight w:val="291"/>
        </w:trPr>
        <w:tc>
          <w:tcPr>
            <w:tcW w:w="1408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45379922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2019 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0FA7C68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-8,4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4834719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-7,0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5B4B4F17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-28,0</w:t>
            </w:r>
          </w:p>
        </w:tc>
      </w:tr>
      <w:tr w:rsidR="0033055D" w:rsidRPr="0033055D" w14:paraId="1511F1F5" w14:textId="77777777" w:rsidTr="00DC0739">
        <w:trPr>
          <w:trHeight w:val="291"/>
        </w:trPr>
        <w:tc>
          <w:tcPr>
            <w:tcW w:w="1408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7217BAE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2020 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A928545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20F97B5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-7,3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0B3BED79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-29,3</w:t>
            </w:r>
          </w:p>
        </w:tc>
      </w:tr>
      <w:tr w:rsidR="0033055D" w:rsidRPr="0033055D" w14:paraId="134A5E3E" w14:textId="77777777" w:rsidTr="00DC0739">
        <w:trPr>
          <w:trHeight w:val="291"/>
        </w:trPr>
        <w:tc>
          <w:tcPr>
            <w:tcW w:w="1408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C7C03EA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2020 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CAF25E3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-12,5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64D554D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-7,1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2FCE2ABD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-29,8</w:t>
            </w:r>
          </w:p>
        </w:tc>
      </w:tr>
      <w:tr w:rsidR="0033055D" w:rsidRPr="0033055D" w14:paraId="1EBB8ACF" w14:textId="77777777" w:rsidTr="00DC0739">
        <w:trPr>
          <w:trHeight w:val="291"/>
        </w:trPr>
        <w:tc>
          <w:tcPr>
            <w:tcW w:w="1408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70E323D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2021 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6AA0D19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-9,0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4C5681A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-11,6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44377620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-25,4</w:t>
            </w:r>
          </w:p>
        </w:tc>
      </w:tr>
      <w:tr w:rsidR="0033055D" w:rsidRPr="0033055D" w14:paraId="4E87AB01" w14:textId="77777777" w:rsidTr="00DC0739">
        <w:trPr>
          <w:trHeight w:val="291"/>
        </w:trPr>
        <w:tc>
          <w:tcPr>
            <w:tcW w:w="1408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BC8F13B" w14:textId="465E03F2" w:rsidR="0033055D" w:rsidRPr="00CA6407" w:rsidRDefault="00BF2D3C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</w:t>
            </w:r>
            <w:r w:rsidR="0033055D"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 xml:space="preserve"> 2021 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6DB2999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-18,0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0D778CC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-18,7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0541F604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-25,1</w:t>
            </w:r>
          </w:p>
        </w:tc>
      </w:tr>
      <w:tr w:rsidR="0033055D" w:rsidRPr="0033055D" w14:paraId="16A63E40" w14:textId="77777777" w:rsidTr="00DC0739">
        <w:trPr>
          <w:trHeight w:val="291"/>
        </w:trPr>
        <w:tc>
          <w:tcPr>
            <w:tcW w:w="1408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45B81E01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2022 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4363E1A2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-24,9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9D3D273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-18,9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7E3D745E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-27,8</w:t>
            </w:r>
          </w:p>
        </w:tc>
      </w:tr>
      <w:tr w:rsidR="0033055D" w:rsidRPr="0033055D" w14:paraId="2A1E9D27" w14:textId="77777777" w:rsidTr="00DC0739">
        <w:trPr>
          <w:trHeight w:val="291"/>
        </w:trPr>
        <w:tc>
          <w:tcPr>
            <w:tcW w:w="1408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2AED9B9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2022 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8E331BA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EF763CC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-14,3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43BC4E8F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-36,9</w:t>
            </w:r>
          </w:p>
        </w:tc>
      </w:tr>
      <w:tr w:rsidR="0033055D" w:rsidRPr="0033055D" w14:paraId="6B11FE08" w14:textId="77777777" w:rsidTr="00DC0739">
        <w:trPr>
          <w:trHeight w:val="291"/>
        </w:trPr>
        <w:tc>
          <w:tcPr>
            <w:tcW w:w="1408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37FB130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2023 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4BD7E58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-31,1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4A4ABD7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-30,8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vAlign w:val="center"/>
            <w:hideMark/>
          </w:tcPr>
          <w:p w14:paraId="6C6147F2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-45,4</w:t>
            </w:r>
          </w:p>
        </w:tc>
      </w:tr>
      <w:tr w:rsidR="0033055D" w:rsidRPr="0033055D" w14:paraId="336B8CAF" w14:textId="77777777" w:rsidTr="00DC0739">
        <w:trPr>
          <w:trHeight w:val="291"/>
        </w:trPr>
        <w:tc>
          <w:tcPr>
            <w:tcW w:w="1408" w:type="dxa"/>
            <w:tcBorders>
              <w:top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C4B6122" w14:textId="77777777" w:rsidR="0033055D" w:rsidRPr="00CA6407" w:rsidRDefault="0033055D" w:rsidP="001250A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2023 r.</w:t>
            </w:r>
          </w:p>
        </w:tc>
        <w:tc>
          <w:tcPr>
            <w:tcW w:w="1843" w:type="dxa"/>
            <w:tcBorders>
              <w:top w:val="single" w:sz="8" w:space="0" w:color="001D77"/>
              <w:left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2DA224D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-24,2</w:t>
            </w:r>
          </w:p>
        </w:tc>
        <w:tc>
          <w:tcPr>
            <w:tcW w:w="2126" w:type="dxa"/>
            <w:tcBorders>
              <w:top w:val="single" w:sz="8" w:space="0" w:color="001D77"/>
              <w:left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562D2B7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-28,7</w:t>
            </w:r>
          </w:p>
        </w:tc>
        <w:tc>
          <w:tcPr>
            <w:tcW w:w="2452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B3AA228" w14:textId="77777777" w:rsidR="0033055D" w:rsidRPr="00CA6407" w:rsidRDefault="0033055D" w:rsidP="001250AF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-44,3</w:t>
            </w:r>
          </w:p>
        </w:tc>
      </w:tr>
    </w:tbl>
    <w:p w14:paraId="4000D93C" w14:textId="77777777" w:rsidR="001F1D7A" w:rsidRDefault="0041394C" w:rsidP="00B60CAC">
      <w:pPr>
        <w:pStyle w:val="LID"/>
        <w:spacing w:after="120"/>
        <w:rPr>
          <w:rFonts w:eastAsia="Times New Roman" w:cs="Calibri"/>
          <w:bCs/>
          <w:color w:val="000000"/>
        </w:rPr>
      </w:pPr>
      <w:r w:rsidRPr="0041394C">
        <w:rPr>
          <w:rFonts w:eastAsia="Times New Roman" w:cs="Calibri"/>
          <w:bCs/>
          <w:color w:val="000000"/>
        </w:rPr>
        <w:t>Tablica 2. Salda odpowiedzi dotyczące ocen bieżącej sytuacji ogólnej gospodarstw rolnych, bieżącej opłacalności produkcji rolniczej i bieżącego popytu na produkty rolne</w:t>
      </w:r>
    </w:p>
    <w:p w14:paraId="7B9AAD75" w14:textId="77777777" w:rsidR="0033055D" w:rsidRDefault="0033055D" w:rsidP="0041394C">
      <w:pPr>
        <w:pStyle w:val="LID"/>
        <w:spacing w:after="120"/>
        <w:rPr>
          <w:rFonts w:eastAsia="Times New Roman" w:cs="Calibri"/>
          <w:b w:val="0"/>
          <w:bCs/>
          <w:color w:val="000000"/>
        </w:rPr>
      </w:pPr>
    </w:p>
    <w:p w14:paraId="77FD5976" w14:textId="77777777" w:rsidR="0033055D" w:rsidRDefault="0033055D" w:rsidP="0041394C">
      <w:pPr>
        <w:pStyle w:val="LID"/>
        <w:spacing w:after="120"/>
        <w:rPr>
          <w:rFonts w:eastAsia="Times New Roman" w:cs="Calibri"/>
          <w:b w:val="0"/>
          <w:bCs/>
          <w:color w:val="000000"/>
        </w:rPr>
      </w:pPr>
    </w:p>
    <w:p w14:paraId="4D5DFCBA" w14:textId="77777777" w:rsidR="00E30A17" w:rsidRDefault="00E30A17" w:rsidP="0041394C">
      <w:pPr>
        <w:pStyle w:val="LID"/>
        <w:spacing w:after="120"/>
        <w:rPr>
          <w:rFonts w:eastAsia="Times New Roman" w:cs="Calibri"/>
          <w:b w:val="0"/>
          <w:bCs/>
          <w:color w:val="000000"/>
        </w:rPr>
      </w:pPr>
    </w:p>
    <w:p w14:paraId="2A235F98" w14:textId="77777777" w:rsidR="00E30A17" w:rsidRDefault="00E30A17" w:rsidP="0041394C">
      <w:pPr>
        <w:pStyle w:val="LID"/>
        <w:spacing w:after="120"/>
        <w:rPr>
          <w:rFonts w:eastAsia="Times New Roman" w:cs="Calibri"/>
          <w:b w:val="0"/>
          <w:bCs/>
          <w:color w:val="000000"/>
        </w:rPr>
      </w:pPr>
    </w:p>
    <w:p w14:paraId="2A1715F9" w14:textId="797B317F" w:rsidR="0041394C" w:rsidRPr="00C615DF" w:rsidRDefault="0041394C" w:rsidP="00C615DF">
      <w:pPr>
        <w:pStyle w:val="LID"/>
        <w:spacing w:before="240" w:after="120"/>
        <w:rPr>
          <w:rFonts w:eastAsia="Times New Roman" w:cs="Calibri"/>
          <w:b w:val="0"/>
          <w:bCs/>
        </w:rPr>
      </w:pPr>
      <w:r w:rsidRPr="00C615DF">
        <w:rPr>
          <w:rFonts w:eastAsia="Times New Roman" w:cs="Calibri"/>
          <w:b w:val="0"/>
          <w:bCs/>
        </w:rPr>
        <w:lastRenderedPageBreak/>
        <w:t xml:space="preserve">Najmniej korzystnie </w:t>
      </w:r>
      <w:r w:rsidR="004E6C76">
        <w:rPr>
          <w:rFonts w:eastAsia="Times New Roman" w:cs="Calibri"/>
          <w:b w:val="0"/>
          <w:bCs/>
        </w:rPr>
        <w:t xml:space="preserve">aktualną </w:t>
      </w:r>
      <w:r w:rsidRPr="00C615DF">
        <w:rPr>
          <w:rFonts w:eastAsia="Times New Roman" w:cs="Calibri"/>
          <w:b w:val="0"/>
          <w:bCs/>
        </w:rPr>
        <w:t>sytuację ocenili użytkownicy gospodarstw ukierunkowanych na produkcję roślinną. Naj</w:t>
      </w:r>
      <w:r w:rsidR="004E6C76">
        <w:rPr>
          <w:rFonts w:eastAsia="Times New Roman" w:cs="Calibri"/>
          <w:b w:val="0"/>
          <w:bCs/>
        </w:rPr>
        <w:t>bardziej pesymistyczne</w:t>
      </w:r>
      <w:r w:rsidRPr="00C615DF">
        <w:rPr>
          <w:rFonts w:eastAsia="Times New Roman" w:cs="Calibri"/>
          <w:b w:val="0"/>
          <w:bCs/>
        </w:rPr>
        <w:t xml:space="preserve"> oceny wyrazili rolnicy prowadzący uprawy rzepaku i rzepiku</w:t>
      </w:r>
      <w:r w:rsidR="009404D5" w:rsidRPr="00C615DF">
        <w:rPr>
          <w:rFonts w:eastAsia="Times New Roman" w:cs="Calibri"/>
          <w:b w:val="0"/>
          <w:bCs/>
        </w:rPr>
        <w:t>, buraków cukrowych</w:t>
      </w:r>
      <w:r w:rsidRPr="00C615DF">
        <w:rPr>
          <w:rFonts w:eastAsia="Times New Roman" w:cs="Calibri"/>
          <w:b w:val="0"/>
          <w:bCs/>
        </w:rPr>
        <w:t xml:space="preserve"> oraz</w:t>
      </w:r>
      <w:r w:rsidR="009404D5" w:rsidRPr="00C615DF">
        <w:rPr>
          <w:rFonts w:eastAsia="Times New Roman" w:cs="Calibri"/>
          <w:b w:val="0"/>
          <w:bCs/>
        </w:rPr>
        <w:t xml:space="preserve"> roślin przemysłowych – </w:t>
      </w:r>
      <w:r w:rsidR="00B607E7" w:rsidRPr="00C615DF">
        <w:rPr>
          <w:rFonts w:eastAsia="Times New Roman" w:cs="Calibri"/>
          <w:b w:val="0"/>
          <w:bCs/>
        </w:rPr>
        <w:t xml:space="preserve">różnica między procentowym udziałem opinii o złej bieżącej sytuacji ogólnej oraz procentowym udziałem </w:t>
      </w:r>
      <w:r w:rsidR="009404D5" w:rsidRPr="00C615DF">
        <w:rPr>
          <w:rFonts w:eastAsia="Times New Roman" w:cs="Calibri"/>
          <w:b w:val="0"/>
          <w:bCs/>
        </w:rPr>
        <w:t>opin</w:t>
      </w:r>
      <w:r w:rsidR="00B607E7" w:rsidRPr="00C615DF">
        <w:rPr>
          <w:rFonts w:eastAsia="Times New Roman" w:cs="Calibri"/>
          <w:b w:val="0"/>
          <w:bCs/>
        </w:rPr>
        <w:t>ii</w:t>
      </w:r>
      <w:r w:rsidR="009404D5" w:rsidRPr="00C615DF">
        <w:rPr>
          <w:rFonts w:eastAsia="Times New Roman" w:cs="Calibri"/>
          <w:b w:val="0"/>
          <w:bCs/>
        </w:rPr>
        <w:t xml:space="preserve"> przeciwny</w:t>
      </w:r>
      <w:r w:rsidR="00B607E7" w:rsidRPr="00C615DF">
        <w:rPr>
          <w:rFonts w:eastAsia="Times New Roman" w:cs="Calibri"/>
          <w:b w:val="0"/>
          <w:bCs/>
        </w:rPr>
        <w:t>ch</w:t>
      </w:r>
      <w:r w:rsidR="009404D5" w:rsidRPr="00C615DF">
        <w:rPr>
          <w:rFonts w:eastAsia="Times New Roman" w:cs="Calibri"/>
          <w:b w:val="0"/>
          <w:bCs/>
        </w:rPr>
        <w:t xml:space="preserve"> </w:t>
      </w:r>
      <w:r w:rsidR="00B607E7" w:rsidRPr="00C615DF">
        <w:rPr>
          <w:rFonts w:eastAsia="Times New Roman" w:cs="Calibri"/>
          <w:b w:val="0"/>
          <w:bCs/>
        </w:rPr>
        <w:t>wyniosła ponad 30 p. proc</w:t>
      </w:r>
      <w:r w:rsidRPr="00C615DF">
        <w:rPr>
          <w:rFonts w:eastAsia="Times New Roman" w:cs="Calibri"/>
          <w:b w:val="0"/>
          <w:bCs/>
        </w:rPr>
        <w:t>.</w:t>
      </w:r>
      <w:r w:rsidR="00B607E7" w:rsidRPr="00C615DF">
        <w:rPr>
          <w:rFonts w:eastAsia="Times New Roman" w:cs="Calibri"/>
          <w:b w:val="0"/>
          <w:bCs/>
        </w:rPr>
        <w:t xml:space="preserve"> </w:t>
      </w:r>
    </w:p>
    <w:p w14:paraId="52B2BD6F" w14:textId="0D651EDF" w:rsidR="0041394C" w:rsidRPr="00C615DF" w:rsidRDefault="00C615DF" w:rsidP="00C615DF">
      <w:pPr>
        <w:pStyle w:val="LID"/>
        <w:spacing w:before="240" w:after="120"/>
        <w:rPr>
          <w:rFonts w:eastAsia="Times New Roman" w:cs="Calibri"/>
          <w:b w:val="0"/>
          <w:bCs/>
        </w:rPr>
      </w:pPr>
      <w:r w:rsidRPr="0064579F">
        <w:rPr>
          <w:rFonts w:asciiTheme="minorHAnsi" w:hAnsiTheme="minorHAnsi"/>
          <w:b w:val="0"/>
          <w:spacing w:val="-2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990464" behindDoc="1" locked="0" layoutInCell="1" allowOverlap="1" wp14:anchorId="5C9A98AF" wp14:editId="31E0572E">
                <wp:simplePos x="0" y="0"/>
                <wp:positionH relativeFrom="page">
                  <wp:posOffset>5817151</wp:posOffset>
                </wp:positionH>
                <wp:positionV relativeFrom="paragraph">
                  <wp:posOffset>680960</wp:posOffset>
                </wp:positionV>
                <wp:extent cx="1743710" cy="1600200"/>
                <wp:effectExtent l="0" t="0" r="0" b="0"/>
                <wp:wrapTight wrapText="bothSides">
                  <wp:wrapPolygon edited="0">
                    <wp:start x="708" y="0"/>
                    <wp:lineTo x="708" y="21343"/>
                    <wp:lineTo x="20766" y="21343"/>
                    <wp:lineTo x="20766" y="0"/>
                    <wp:lineTo x="708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AE14" w14:textId="77777777" w:rsidR="00E14EFF" w:rsidRPr="00C615DF" w:rsidRDefault="00E14EFF" w:rsidP="0064579F">
                            <w:pPr>
                              <w:spacing w:before="120" w:after="120"/>
                              <w:rPr>
                                <w:rFonts w:ascii="Fira Sans" w:hAnsi="Fira Sans"/>
                                <w:color w:val="001D77"/>
                                <w:spacing w:val="-2"/>
                                <w:sz w:val="18"/>
                                <w:szCs w:val="19"/>
                              </w:rPr>
                            </w:pPr>
                            <w:r w:rsidRPr="00C615DF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 xml:space="preserve">53,7% kierujących gospodarstwami prowadzących uprawy </w:t>
                            </w:r>
                            <w:r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rzepaku i rzepiku uznało, że </w:t>
                            </w:r>
                            <w:r w:rsidRPr="00C615DF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 xml:space="preserve">bieżący popyt jest poniżej oczekiwań, a 0,5% że powyżej. Pozostali </w:t>
                            </w:r>
                            <w:r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odpowiedzieli, że </w:t>
                            </w:r>
                            <w:r w:rsidRPr="00C615DF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jest zgodny z ich oczekiwaniami.</w:t>
                            </w:r>
                          </w:p>
                          <w:p w14:paraId="1079DDA8" w14:textId="77777777" w:rsidR="00E14EFF" w:rsidRPr="005429D3" w:rsidRDefault="00E14EFF" w:rsidP="0064579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A98AF" id="Pole tekstowe 28" o:spid="_x0000_s1032" type="#_x0000_t202" style="position:absolute;margin-left:458.05pt;margin-top:53.6pt;width:137.3pt;height:126pt;z-index:-250326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LHEwIAAAEEAAAOAAAAZHJzL2Uyb0RvYy54bWysU11v2yAUfZ+0/4B4X2xn+WitkKpr12lS&#10;t1Xq9gMIxjEqcBmQ2Nmv7wUnWbS9TfMDAl/uufece1jdDEaTvfRBgWW0mpSUSCugUXbL6I/vD++u&#10;KAmR24ZrsJLRgwz0Zv32zap3tZxCB7qRniCIDXXvGO1idHVRBNFJw8MEnLQYbMEbHvHot0XjeY/o&#10;RhfTslwUPfjGeRAyBPx7PwbpOuO3rRTxW9sGGYlmFHuLefV53aS1WK94vfXcdUoc2+D/0IXhymLR&#10;M9Q9j5zsvPoLyijhIUAbJwJMAW2rhMwckE1V/sHmueNOZi4oTnBnmcL/gxVf90+eqIbRKU7KcoMz&#10;egItSZQvIUIvCf5HkXoXarz77PB2HD7AgMPOhIN7BPESiIW7jtutvPUe+k7yBpusUmZxkTrihASy&#10;6b9Ag8X4LkIGGlpvkoKoCUF0HNbhPCA5RCJSyeXs/bLCkMBYtShLtECuwetTuvMhfpJgSNow6tEB&#10;GZ7vH0NM7fD6dCVVs/CgtM4u0Jb0jF7Pp/OccBExKqJJtTKMXpXpG22TWH60TU6OXOlxjwW0PdJO&#10;TEfOcdgMWebFSc0NNAfUwcPoSXxDuOnA/6KkRz8yGn7uuJeU6M8WtbyuZrNk4HyYzZdTPPjLyOYy&#10;wq1AKEYjJeP2LmbTj5RvUfNWZTXScMZOji2jz7JIxzeRjHx5zrd+v9z1KwAAAP//AwBQSwMEFAAG&#10;AAgAAAAhAOa25S3gAAAADAEAAA8AAABkcnMvZG93bnJldi54bWxMj8tOwzAQRfdI/QdrkNhRO4G2&#10;JMSpEIhtEeUhsZvG0yRqPI5itwl/X3cFy9E9uvdMsZ5sJ040+NaxhmSuQBBXzrRca/j8eL19AOED&#10;ssHOMWn4JQ/rcnZVYG7cyO902oZaxBL2OWpoQuhzKX3VkEU/dz1xzPZusBjiOdTSDDjGctvJVKml&#10;tNhyXGiwp+eGqsP2aDV8bfY/3/fqrX6xi350k5JsM6n1zfX09Agi0BT+YLjoR3Uoo9POHdl40WnI&#10;kmUS0RioVQriQiSZWoHYabhbZCnIspD/nyjPAAAA//8DAFBLAQItABQABgAIAAAAIQC2gziS/gAA&#10;AOEBAAATAAAAAAAAAAAAAAAAAAAAAABbQ29udGVudF9UeXBlc10ueG1sUEsBAi0AFAAGAAgAAAAh&#10;ADj9If/WAAAAlAEAAAsAAAAAAAAAAAAAAAAALwEAAF9yZWxzLy5yZWxzUEsBAi0AFAAGAAgAAAAh&#10;AK2L8scTAgAAAQQAAA4AAAAAAAAAAAAAAAAALgIAAGRycy9lMm9Eb2MueG1sUEsBAi0AFAAGAAgA&#10;AAAhAOa25S3gAAAADAEAAA8AAAAAAAAAAAAAAAAAbQQAAGRycy9kb3ducmV2LnhtbFBLBQYAAAAA&#10;BAAEAPMAAAB6BQAAAAA=&#10;" filled="f" stroked="f">
                <v:textbox>
                  <w:txbxContent>
                    <w:p w14:paraId="0543AE14" w14:textId="77777777" w:rsidR="00E14EFF" w:rsidRPr="00C615DF" w:rsidRDefault="00E14EFF" w:rsidP="0064579F">
                      <w:pPr>
                        <w:spacing w:before="120" w:after="120"/>
                        <w:rPr>
                          <w:rFonts w:ascii="Fira Sans" w:hAnsi="Fira Sans"/>
                          <w:color w:val="001D77"/>
                          <w:spacing w:val="-2"/>
                          <w:sz w:val="18"/>
                          <w:szCs w:val="19"/>
                        </w:rPr>
                      </w:pPr>
                      <w:r w:rsidRPr="00C615DF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 xml:space="preserve">53,7% kierujących gospodarstwami prowadzących uprawy </w:t>
                      </w:r>
                      <w:r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rzepaku i rzepiku uznało, że </w:t>
                      </w:r>
                      <w:r w:rsidRPr="00C615DF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 xml:space="preserve">bieżący popyt jest poniżej oczekiwań, a 0,5% że powyżej. Pozostali </w:t>
                      </w:r>
                      <w:r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odpowiedzieli, że </w:t>
                      </w:r>
                      <w:r w:rsidRPr="00C615DF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jest zgodny z ich oczekiwaniami.</w:t>
                      </w:r>
                    </w:p>
                    <w:p w14:paraId="1079DDA8" w14:textId="77777777" w:rsidR="00E14EFF" w:rsidRPr="005429D3" w:rsidRDefault="00E14EFF" w:rsidP="0064579F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1394C" w:rsidRPr="00C615DF">
        <w:rPr>
          <w:rFonts w:eastAsia="Times New Roman" w:cs="Calibri"/>
          <w:b w:val="0"/>
          <w:bCs/>
        </w:rPr>
        <w:t xml:space="preserve">Kierujący gospodarstwami wyraźnie ukierunkowanymi na produkcję zwierzęcą wyrażali korzystniejsze opinie na temat koniunktury w </w:t>
      </w:r>
      <w:r w:rsidR="0065644D">
        <w:rPr>
          <w:rFonts w:eastAsia="Times New Roman" w:cs="Calibri"/>
          <w:b w:val="0"/>
          <w:bCs/>
        </w:rPr>
        <w:t>gospodarstwach rolnych</w:t>
      </w:r>
      <w:r w:rsidR="001673EF">
        <w:rPr>
          <w:rFonts w:eastAsia="Times New Roman" w:cs="Calibri"/>
          <w:b w:val="0"/>
          <w:bCs/>
        </w:rPr>
        <w:t xml:space="preserve"> w grudniu 2023 </w:t>
      </w:r>
      <w:r w:rsidR="0012798D" w:rsidRPr="00C615DF">
        <w:rPr>
          <w:rFonts w:eastAsia="Times New Roman" w:cs="Calibri"/>
          <w:b w:val="0"/>
          <w:bCs/>
        </w:rPr>
        <w:t>r.</w:t>
      </w:r>
      <w:r w:rsidR="001673EF">
        <w:rPr>
          <w:rFonts w:eastAsia="Times New Roman" w:cs="Calibri"/>
          <w:b w:val="0"/>
          <w:bCs/>
        </w:rPr>
        <w:t xml:space="preserve">, </w:t>
      </w:r>
      <w:r w:rsidR="004A50BE">
        <w:rPr>
          <w:rFonts w:eastAsia="Times New Roman" w:cs="Calibri"/>
          <w:b w:val="0"/>
          <w:bCs/>
        </w:rPr>
        <w:t>niż </w:t>
      </w:r>
      <w:r w:rsidR="0041394C" w:rsidRPr="00C615DF">
        <w:rPr>
          <w:rFonts w:eastAsia="Times New Roman" w:cs="Calibri"/>
          <w:b w:val="0"/>
          <w:bCs/>
        </w:rPr>
        <w:t xml:space="preserve">osoby prowadzące gospodarstwa wielokierunkowe. </w:t>
      </w:r>
      <w:r w:rsidR="0041394C" w:rsidRPr="007E7848">
        <w:rPr>
          <w:rFonts w:eastAsia="Times New Roman" w:cs="Calibri"/>
          <w:b w:val="0"/>
          <w:bCs/>
        </w:rPr>
        <w:t>Naj</w:t>
      </w:r>
      <w:r w:rsidR="0012798D" w:rsidRPr="007E7848">
        <w:rPr>
          <w:rFonts w:eastAsia="Times New Roman" w:cs="Calibri"/>
          <w:b w:val="0"/>
          <w:bCs/>
        </w:rPr>
        <w:t>mniej</w:t>
      </w:r>
      <w:r w:rsidR="0041394C" w:rsidRPr="007E7848">
        <w:rPr>
          <w:rFonts w:eastAsia="Times New Roman" w:cs="Calibri"/>
          <w:b w:val="0"/>
          <w:bCs/>
        </w:rPr>
        <w:t xml:space="preserve"> </w:t>
      </w:r>
      <w:r w:rsidR="0012798D" w:rsidRPr="007E7848">
        <w:rPr>
          <w:rFonts w:eastAsia="Times New Roman" w:cs="Calibri"/>
          <w:b w:val="0"/>
          <w:bCs/>
        </w:rPr>
        <w:t>pesymistyczne</w:t>
      </w:r>
      <w:r w:rsidR="0041394C" w:rsidRPr="007E7848">
        <w:rPr>
          <w:rFonts w:eastAsia="Times New Roman" w:cs="Calibri"/>
          <w:b w:val="0"/>
          <w:bCs/>
        </w:rPr>
        <w:t xml:space="preserve"> opinie formułowali prowadzący chów drobiu nieśnego i</w:t>
      </w:r>
      <w:r w:rsidR="00D70186" w:rsidRPr="007E7848">
        <w:rPr>
          <w:rFonts w:eastAsia="Times New Roman" w:cs="Calibri"/>
          <w:b w:val="0"/>
          <w:bCs/>
        </w:rPr>
        <w:t xml:space="preserve"> koni, a najbardziej </w:t>
      </w:r>
      <w:r w:rsidR="00FB7F7F">
        <w:rPr>
          <w:rFonts w:eastAsia="Times New Roman" w:cs="Calibri"/>
          <w:b w:val="0"/>
          <w:bCs/>
        </w:rPr>
        <w:t xml:space="preserve">pesymistyczne </w:t>
      </w:r>
      <w:r w:rsidR="00130519">
        <w:rPr>
          <w:rFonts w:eastAsia="Times New Roman" w:cs="Calibri"/>
          <w:b w:val="0"/>
          <w:bCs/>
        </w:rPr>
        <w:t xml:space="preserve">prowadzący </w:t>
      </w:r>
      <w:r w:rsidR="00D70186" w:rsidRPr="007E7848">
        <w:rPr>
          <w:rFonts w:eastAsia="Times New Roman" w:cs="Calibri"/>
          <w:b w:val="0"/>
          <w:bCs/>
        </w:rPr>
        <w:t>ch</w:t>
      </w:r>
      <w:r w:rsidR="00130519">
        <w:rPr>
          <w:rFonts w:eastAsia="Times New Roman" w:cs="Calibri"/>
          <w:b w:val="0"/>
          <w:bCs/>
        </w:rPr>
        <w:t>ów</w:t>
      </w:r>
      <w:r w:rsidR="0012798D" w:rsidRPr="007E7848">
        <w:rPr>
          <w:rFonts w:eastAsia="Times New Roman" w:cs="Calibri"/>
          <w:b w:val="0"/>
          <w:bCs/>
        </w:rPr>
        <w:t xml:space="preserve"> owiec</w:t>
      </w:r>
      <w:r w:rsidR="0041394C" w:rsidRPr="007E7848">
        <w:rPr>
          <w:rFonts w:eastAsia="Times New Roman" w:cs="Calibri"/>
          <w:b w:val="0"/>
          <w:bCs/>
        </w:rPr>
        <w:t>.</w:t>
      </w:r>
    </w:p>
    <w:p w14:paraId="2E1A2C35" w14:textId="22FB268D" w:rsidR="001F1D7A" w:rsidRPr="00C615DF" w:rsidRDefault="008443B3" w:rsidP="00C615DF">
      <w:pPr>
        <w:pStyle w:val="LID"/>
        <w:spacing w:before="240" w:after="120"/>
        <w:rPr>
          <w:rFonts w:eastAsia="Times New Roman" w:cs="Calibri"/>
          <w:b w:val="0"/>
          <w:bCs/>
        </w:rPr>
      </w:pPr>
      <w:r w:rsidRPr="00C615DF">
        <w:rPr>
          <w:rFonts w:eastAsia="Times New Roman" w:cs="Calibri"/>
          <w:b w:val="0"/>
          <w:bCs/>
        </w:rPr>
        <w:t>Podobnie jak w dwóch poprzednich edycjach badania</w:t>
      </w:r>
      <w:r w:rsidR="00130519">
        <w:rPr>
          <w:rFonts w:eastAsia="Times New Roman" w:cs="Calibri"/>
          <w:b w:val="0"/>
          <w:bCs/>
        </w:rPr>
        <w:t>,</w:t>
      </w:r>
      <w:r w:rsidRPr="00C615DF">
        <w:rPr>
          <w:rFonts w:eastAsia="Times New Roman" w:cs="Calibri"/>
          <w:b w:val="0"/>
          <w:bCs/>
        </w:rPr>
        <w:t xml:space="preserve"> n</w:t>
      </w:r>
      <w:r w:rsidR="0041394C" w:rsidRPr="00C615DF">
        <w:rPr>
          <w:rFonts w:eastAsia="Times New Roman" w:cs="Calibri"/>
          <w:b w:val="0"/>
          <w:bCs/>
        </w:rPr>
        <w:t>ajbardziej pesymistyczne</w:t>
      </w:r>
      <w:r w:rsidR="00C045D8" w:rsidRPr="00C615DF">
        <w:rPr>
          <w:rFonts w:eastAsia="Times New Roman" w:cs="Calibri"/>
          <w:b w:val="0"/>
          <w:bCs/>
        </w:rPr>
        <w:t xml:space="preserve"> </w:t>
      </w:r>
      <w:r w:rsidR="0041394C" w:rsidRPr="00C615DF">
        <w:rPr>
          <w:rFonts w:eastAsia="Times New Roman" w:cs="Calibri"/>
          <w:b w:val="0"/>
          <w:bCs/>
        </w:rPr>
        <w:t xml:space="preserve">oceny </w:t>
      </w:r>
      <w:r w:rsidR="00C615DF">
        <w:rPr>
          <w:rFonts w:eastAsia="Times New Roman" w:cs="Calibri"/>
          <w:b w:val="0"/>
          <w:bCs/>
        </w:rPr>
        <w:t>na </w:t>
      </w:r>
      <w:r w:rsidR="00C045D8" w:rsidRPr="00C615DF">
        <w:rPr>
          <w:rFonts w:eastAsia="Times New Roman" w:cs="Calibri"/>
          <w:b w:val="0"/>
          <w:bCs/>
        </w:rPr>
        <w:t xml:space="preserve">temat </w:t>
      </w:r>
      <w:r w:rsidRPr="00C615DF">
        <w:rPr>
          <w:rFonts w:eastAsia="Times New Roman" w:cs="Calibri"/>
          <w:b w:val="0"/>
          <w:bCs/>
        </w:rPr>
        <w:t xml:space="preserve">bieżącej </w:t>
      </w:r>
      <w:r w:rsidR="00DB4EFB">
        <w:rPr>
          <w:rFonts w:eastAsia="Times New Roman" w:cs="Calibri"/>
          <w:b w:val="0"/>
          <w:bCs/>
        </w:rPr>
        <w:t>opłacalności</w:t>
      </w:r>
      <w:r w:rsidR="00C045D8" w:rsidRPr="00C615DF">
        <w:rPr>
          <w:rFonts w:eastAsia="Times New Roman" w:cs="Calibri"/>
          <w:b w:val="0"/>
          <w:bCs/>
        </w:rPr>
        <w:t xml:space="preserve"> produkcji rolniczej </w:t>
      </w:r>
      <w:r w:rsidR="0041394C" w:rsidRPr="00C615DF">
        <w:rPr>
          <w:rFonts w:eastAsia="Times New Roman" w:cs="Calibri"/>
          <w:b w:val="0"/>
          <w:bCs/>
        </w:rPr>
        <w:t xml:space="preserve">wyrażali użytkownicy gospodarstw specjalizujących się w uprawie roślin (przewaga opinii negatywnych nad pozytywnymi wyniosła </w:t>
      </w:r>
      <w:r w:rsidR="009872A5" w:rsidRPr="00C615DF">
        <w:rPr>
          <w:rFonts w:eastAsia="Times New Roman" w:cs="Calibri"/>
          <w:b w:val="0"/>
          <w:bCs/>
        </w:rPr>
        <w:t xml:space="preserve">w grudniu 2023 r. </w:t>
      </w:r>
      <w:r w:rsidR="0041394C" w:rsidRPr="00C615DF">
        <w:rPr>
          <w:rFonts w:eastAsia="Times New Roman" w:cs="Calibri"/>
          <w:b w:val="0"/>
          <w:bCs/>
        </w:rPr>
        <w:t>33,</w:t>
      </w:r>
      <w:r w:rsidR="00C045D8" w:rsidRPr="00C615DF">
        <w:rPr>
          <w:rFonts w:eastAsia="Times New Roman" w:cs="Calibri"/>
          <w:b w:val="0"/>
          <w:bCs/>
        </w:rPr>
        <w:t>0</w:t>
      </w:r>
      <w:r w:rsidR="0041394C" w:rsidRPr="00C615DF">
        <w:rPr>
          <w:rFonts w:eastAsia="Times New Roman" w:cs="Calibri"/>
          <w:b w:val="0"/>
          <w:bCs/>
        </w:rPr>
        <w:t xml:space="preserve"> p. proc.). </w:t>
      </w:r>
      <w:r w:rsidR="00F64A02" w:rsidRPr="00F64A02">
        <w:rPr>
          <w:rFonts w:eastAsia="Times New Roman" w:cs="Calibri"/>
          <w:b w:val="0"/>
          <w:bCs/>
        </w:rPr>
        <w:t xml:space="preserve">Najbardziej negatywne oceny w obszarze opłacalności produkcji rolniczej wyrażali </w:t>
      </w:r>
      <w:r w:rsidR="0041394C" w:rsidRPr="00C615DF">
        <w:rPr>
          <w:rFonts w:eastAsia="Times New Roman" w:cs="Calibri"/>
          <w:b w:val="0"/>
          <w:bCs/>
        </w:rPr>
        <w:t xml:space="preserve">kierujący gospodarstwami rolnymi prowadzącymi uprawy rzepaku i rzepiku oraz </w:t>
      </w:r>
      <w:r w:rsidR="00100BB7">
        <w:rPr>
          <w:rFonts w:eastAsia="Times New Roman" w:cs="Calibri"/>
          <w:b w:val="0"/>
          <w:bCs/>
        </w:rPr>
        <w:t>roślin przemysłowych</w:t>
      </w:r>
      <w:r w:rsidR="00100BB7" w:rsidRPr="00881C05">
        <w:rPr>
          <w:rFonts w:eastAsia="Times New Roman" w:cs="Calibri"/>
          <w:b w:val="0"/>
          <w:bCs/>
        </w:rPr>
        <w:t xml:space="preserve">. </w:t>
      </w:r>
      <w:r w:rsidR="00881C05">
        <w:rPr>
          <w:rFonts w:eastAsia="Times New Roman" w:cs="Calibri"/>
          <w:b w:val="0"/>
          <w:bCs/>
        </w:rPr>
        <w:t xml:space="preserve">W przypadku </w:t>
      </w:r>
      <w:r w:rsidR="009872A5" w:rsidRPr="00881C05">
        <w:rPr>
          <w:rFonts w:eastAsia="Times New Roman" w:cs="Calibri"/>
          <w:b w:val="0"/>
          <w:bCs/>
        </w:rPr>
        <w:t xml:space="preserve">kierujących </w:t>
      </w:r>
      <w:r w:rsidR="00881C05">
        <w:rPr>
          <w:rFonts w:eastAsia="Times New Roman" w:cs="Calibri"/>
          <w:b w:val="0"/>
          <w:bCs/>
        </w:rPr>
        <w:t>jednostkami zajmującymi</w:t>
      </w:r>
      <w:r w:rsidR="00FF52F5" w:rsidRPr="00881C05">
        <w:rPr>
          <w:rFonts w:eastAsia="Times New Roman" w:cs="Calibri"/>
          <w:b w:val="0"/>
          <w:bCs/>
        </w:rPr>
        <w:t xml:space="preserve"> się produkcją zwierzęcą</w:t>
      </w:r>
      <w:r w:rsidR="00130519">
        <w:rPr>
          <w:rFonts w:eastAsia="Times New Roman" w:cs="Calibri"/>
          <w:b w:val="0"/>
          <w:bCs/>
        </w:rPr>
        <w:t>,</w:t>
      </w:r>
      <w:r w:rsidR="00FF52F5" w:rsidRPr="00881C05">
        <w:rPr>
          <w:rFonts w:eastAsia="Times New Roman" w:cs="Calibri"/>
          <w:b w:val="0"/>
          <w:bCs/>
        </w:rPr>
        <w:t xml:space="preserve"> </w:t>
      </w:r>
      <w:r w:rsidR="00881C05">
        <w:rPr>
          <w:rFonts w:eastAsia="Times New Roman" w:cs="Calibri"/>
          <w:b w:val="0"/>
          <w:bCs/>
        </w:rPr>
        <w:t xml:space="preserve">najbardziej pesymistyczne opinie formułowali prowadzący </w:t>
      </w:r>
      <w:r w:rsidR="0041394C" w:rsidRPr="00881C05">
        <w:rPr>
          <w:rFonts w:eastAsia="Times New Roman" w:cs="Calibri"/>
          <w:b w:val="0"/>
          <w:bCs/>
        </w:rPr>
        <w:t>chów owiec oraz</w:t>
      </w:r>
      <w:r w:rsidR="00FF52F5" w:rsidRPr="00881C05">
        <w:rPr>
          <w:rFonts w:eastAsia="Times New Roman" w:cs="Calibri"/>
          <w:b w:val="0"/>
          <w:bCs/>
        </w:rPr>
        <w:t xml:space="preserve"> </w:t>
      </w:r>
      <w:r w:rsidR="004A0ED6" w:rsidRPr="00881C05">
        <w:rPr>
          <w:rFonts w:eastAsia="Times New Roman" w:cs="Calibri"/>
          <w:b w:val="0"/>
          <w:bCs/>
        </w:rPr>
        <w:t xml:space="preserve">hodowlę </w:t>
      </w:r>
      <w:r w:rsidR="00FF52F5" w:rsidRPr="00881C05">
        <w:rPr>
          <w:rFonts w:eastAsia="Times New Roman" w:cs="Calibri"/>
          <w:b w:val="0"/>
          <w:bCs/>
        </w:rPr>
        <w:t>koni</w:t>
      </w:r>
      <w:r w:rsidR="0041394C" w:rsidRPr="00881C05">
        <w:rPr>
          <w:rFonts w:eastAsia="Times New Roman" w:cs="Calibri"/>
          <w:b w:val="0"/>
          <w:bCs/>
        </w:rPr>
        <w:t>.</w:t>
      </w:r>
      <w:r w:rsidR="0041394C" w:rsidRPr="00C615DF">
        <w:rPr>
          <w:rFonts w:eastAsia="Times New Roman" w:cs="Calibri"/>
          <w:b w:val="0"/>
          <w:bCs/>
        </w:rPr>
        <w:t xml:space="preserve"> </w:t>
      </w:r>
      <w:r w:rsidR="00BC62B2" w:rsidRPr="00C615DF">
        <w:rPr>
          <w:rFonts w:eastAsia="Times New Roman" w:cs="Calibri"/>
          <w:b w:val="0"/>
          <w:bCs/>
        </w:rPr>
        <w:t>Jedynie wśród rolników zajmujących się uprawami p</w:t>
      </w:r>
      <w:r w:rsidR="004A50BE">
        <w:rPr>
          <w:rFonts w:eastAsia="Times New Roman" w:cs="Calibri"/>
          <w:b w:val="0"/>
          <w:bCs/>
        </w:rPr>
        <w:t>od osłonami przeważały opinie o </w:t>
      </w:r>
      <w:r w:rsidR="00BC62B2" w:rsidRPr="00C615DF">
        <w:rPr>
          <w:rFonts w:eastAsia="Times New Roman" w:cs="Calibri"/>
          <w:b w:val="0"/>
          <w:bCs/>
        </w:rPr>
        <w:t>opłacalności grudniowej produkcji roln</w:t>
      </w:r>
      <w:r w:rsidR="0090306F">
        <w:rPr>
          <w:rFonts w:eastAsia="Times New Roman" w:cs="Calibri"/>
          <w:b w:val="0"/>
          <w:bCs/>
        </w:rPr>
        <w:t>iczej nad opiniami przeciwnymi.</w:t>
      </w:r>
    </w:p>
    <w:p w14:paraId="5FFC9E92" w14:textId="1802A77F" w:rsidR="00E130AD" w:rsidRPr="005643FE" w:rsidRDefault="00237D17" w:rsidP="005643FE">
      <w:pPr>
        <w:pStyle w:val="LID"/>
        <w:spacing w:before="240" w:after="120"/>
        <w:rPr>
          <w:rFonts w:eastAsia="Times New Roman" w:cs="Calibri"/>
          <w:b w:val="0"/>
          <w:bCs/>
        </w:rPr>
      </w:pPr>
      <w:r w:rsidRPr="00237D17">
        <w:rPr>
          <w:rFonts w:eastAsia="Times New Roman" w:cs="Calibri"/>
          <w:b w:val="0"/>
          <w:bCs/>
        </w:rPr>
        <w:t>Kierujący gospodarstwami rolnymi</w:t>
      </w:r>
      <w:r>
        <w:rPr>
          <w:rStyle w:val="Odwoaniedokomentarza"/>
          <w:rFonts w:asciiTheme="minorHAnsi" w:hAnsiTheme="minorHAnsi"/>
          <w:noProof w:val="0"/>
          <w:lang w:eastAsia="en-US"/>
        </w:rPr>
        <w:t xml:space="preserve"> </w:t>
      </w:r>
      <w:r w:rsidR="00FE1A8E" w:rsidRPr="00C615DF">
        <w:rPr>
          <w:rFonts w:eastAsia="Times New Roman" w:cs="Calibri"/>
          <w:b w:val="0"/>
          <w:bCs/>
        </w:rPr>
        <w:t>n</w:t>
      </w:r>
      <w:r w:rsidR="000F2757" w:rsidRPr="00C615DF">
        <w:rPr>
          <w:rFonts w:eastAsia="Times New Roman" w:cs="Calibri"/>
          <w:b w:val="0"/>
          <w:bCs/>
        </w:rPr>
        <w:t xml:space="preserve">egatywnie ocenili bieżący popyt (grudzień 2023 r.) niezależnie od wielkości gospodarstwa rolnego i kierunku prowadzonej produkcji. </w:t>
      </w:r>
      <w:r w:rsidR="00FE1A8E" w:rsidRPr="00C615DF">
        <w:rPr>
          <w:rFonts w:eastAsia="Times New Roman" w:cs="Calibri"/>
          <w:b w:val="0"/>
          <w:bCs/>
        </w:rPr>
        <w:t>Naj</w:t>
      </w:r>
      <w:r>
        <w:rPr>
          <w:rFonts w:eastAsia="Times New Roman" w:cs="Calibri"/>
          <w:b w:val="0"/>
          <w:bCs/>
        </w:rPr>
        <w:t xml:space="preserve">bardziej negatywne </w:t>
      </w:r>
      <w:r w:rsidR="00FE1A8E" w:rsidRPr="00C615DF">
        <w:rPr>
          <w:rFonts w:eastAsia="Times New Roman" w:cs="Calibri"/>
          <w:b w:val="0"/>
          <w:bCs/>
        </w:rPr>
        <w:t>opinie wyrazili kierujący jednostkami spec</w:t>
      </w:r>
      <w:r w:rsidR="00DB4EFB">
        <w:rPr>
          <w:rFonts w:eastAsia="Times New Roman" w:cs="Calibri"/>
          <w:b w:val="0"/>
          <w:bCs/>
        </w:rPr>
        <w:t>jalizującymi się w produkcji roś</w:t>
      </w:r>
      <w:r w:rsidR="00FE1A8E" w:rsidRPr="00C615DF">
        <w:rPr>
          <w:rFonts w:eastAsia="Times New Roman" w:cs="Calibri"/>
          <w:b w:val="0"/>
          <w:bCs/>
        </w:rPr>
        <w:t xml:space="preserve">linnej, </w:t>
      </w:r>
      <w:r w:rsidR="0064579F" w:rsidRPr="00C615DF">
        <w:rPr>
          <w:rFonts w:eastAsia="Times New Roman" w:cs="Calibri"/>
          <w:b w:val="0"/>
          <w:bCs/>
        </w:rPr>
        <w:t>nat</w:t>
      </w:r>
      <w:r w:rsidR="00C615DF">
        <w:rPr>
          <w:rFonts w:eastAsia="Times New Roman" w:cs="Calibri"/>
          <w:b w:val="0"/>
          <w:bCs/>
        </w:rPr>
        <w:t>omiast najmniej pesymistyczne w </w:t>
      </w:r>
      <w:r w:rsidR="004A0ED6">
        <w:rPr>
          <w:rFonts w:eastAsia="Times New Roman" w:cs="Calibri"/>
          <w:b w:val="0"/>
          <w:bCs/>
        </w:rPr>
        <w:t>produkcji zwierzęcej.</w:t>
      </w:r>
      <w:r w:rsidR="00FE1A8E" w:rsidRPr="00C615DF">
        <w:rPr>
          <w:rFonts w:eastAsia="Times New Roman" w:cs="Calibri"/>
          <w:b w:val="0"/>
          <w:bCs/>
        </w:rPr>
        <w:t xml:space="preserve"> Najbardziej niezadow</w:t>
      </w:r>
      <w:r w:rsidR="00130519">
        <w:rPr>
          <w:rFonts w:eastAsia="Times New Roman" w:cs="Calibri"/>
          <w:b w:val="0"/>
          <w:bCs/>
        </w:rPr>
        <w:t>o</w:t>
      </w:r>
      <w:r w:rsidR="00FE1A8E" w:rsidRPr="00C615DF">
        <w:rPr>
          <w:rFonts w:eastAsia="Times New Roman" w:cs="Calibri"/>
          <w:b w:val="0"/>
          <w:bCs/>
        </w:rPr>
        <w:t xml:space="preserve">leni z </w:t>
      </w:r>
      <w:r w:rsidR="0064579F" w:rsidRPr="00C615DF">
        <w:rPr>
          <w:rFonts w:eastAsia="Times New Roman" w:cs="Calibri"/>
          <w:b w:val="0"/>
          <w:bCs/>
        </w:rPr>
        <w:t xml:space="preserve">grudniowego </w:t>
      </w:r>
      <w:r w:rsidR="00FE1A8E" w:rsidRPr="00C615DF">
        <w:rPr>
          <w:rFonts w:eastAsia="Times New Roman" w:cs="Calibri"/>
          <w:b w:val="0"/>
          <w:bCs/>
        </w:rPr>
        <w:t>popytu</w:t>
      </w:r>
      <w:r w:rsidR="0064579F" w:rsidRPr="00C615DF">
        <w:rPr>
          <w:rFonts w:eastAsia="Times New Roman" w:cs="Calibri"/>
          <w:b w:val="0"/>
          <w:bCs/>
        </w:rPr>
        <w:t xml:space="preserve"> byli upraw</w:t>
      </w:r>
      <w:r w:rsidR="00750EB3" w:rsidRPr="00C615DF">
        <w:rPr>
          <w:rFonts w:eastAsia="Times New Roman" w:cs="Calibri"/>
          <w:b w:val="0"/>
          <w:bCs/>
        </w:rPr>
        <w:t xml:space="preserve">iający </w:t>
      </w:r>
      <w:r w:rsidR="0064579F" w:rsidRPr="00C615DF">
        <w:rPr>
          <w:rFonts w:eastAsia="Times New Roman" w:cs="Calibri"/>
          <w:b w:val="0"/>
          <w:bCs/>
        </w:rPr>
        <w:t>rzepak i rzepik</w:t>
      </w:r>
      <w:r w:rsidR="00EA505D" w:rsidRPr="00C615DF">
        <w:rPr>
          <w:rFonts w:eastAsia="Times New Roman" w:cs="Calibri"/>
          <w:b w:val="0"/>
          <w:bCs/>
        </w:rPr>
        <w:t xml:space="preserve"> oraz roślin</w:t>
      </w:r>
      <w:r w:rsidR="00750EB3" w:rsidRPr="00C615DF">
        <w:rPr>
          <w:rFonts w:eastAsia="Times New Roman" w:cs="Calibri"/>
          <w:b w:val="0"/>
          <w:bCs/>
        </w:rPr>
        <w:t>y</w:t>
      </w:r>
      <w:r w:rsidR="00EA505D" w:rsidRPr="00C615DF">
        <w:rPr>
          <w:rFonts w:eastAsia="Times New Roman" w:cs="Calibri"/>
          <w:b w:val="0"/>
          <w:bCs/>
        </w:rPr>
        <w:t xml:space="preserve"> przemysłow</w:t>
      </w:r>
      <w:r w:rsidR="00750EB3" w:rsidRPr="00C615DF">
        <w:rPr>
          <w:rFonts w:eastAsia="Times New Roman" w:cs="Calibri"/>
          <w:b w:val="0"/>
          <w:bCs/>
        </w:rPr>
        <w:t>e</w:t>
      </w:r>
      <w:r w:rsidR="00EA505D" w:rsidRPr="00C615DF">
        <w:rPr>
          <w:rFonts w:eastAsia="Times New Roman" w:cs="Calibri"/>
          <w:b w:val="0"/>
          <w:bCs/>
        </w:rPr>
        <w:t xml:space="preserve">, jak również hodowcy koni i </w:t>
      </w:r>
      <w:r w:rsidR="003F218D">
        <w:rPr>
          <w:rFonts w:eastAsia="Times New Roman" w:cs="Calibri"/>
          <w:b w:val="0"/>
          <w:bCs/>
        </w:rPr>
        <w:t xml:space="preserve">prowadzący chów </w:t>
      </w:r>
      <w:r w:rsidR="00EA505D" w:rsidRPr="00C615DF">
        <w:rPr>
          <w:rFonts w:eastAsia="Times New Roman" w:cs="Calibri"/>
          <w:b w:val="0"/>
          <w:bCs/>
        </w:rPr>
        <w:t>owiec.</w:t>
      </w:r>
      <w:r w:rsidR="007844EC" w:rsidRPr="00C615DF">
        <w:rPr>
          <w:rFonts w:eastAsia="Times New Roman" w:cs="Calibri"/>
          <w:b w:val="0"/>
          <w:bCs/>
        </w:rPr>
        <w:t xml:space="preserve"> </w:t>
      </w:r>
      <w:r w:rsidR="001D65E3" w:rsidRPr="001D65E3">
        <w:rPr>
          <w:rFonts w:eastAsia="Times New Roman" w:cs="Calibri"/>
          <w:b w:val="0"/>
          <w:bCs/>
        </w:rPr>
        <w:t>Rolnicy prowadzący uprawy pod osłonami oraz chów drobiu nieśnego ocenili grudniowy popyt najmniej pesymistycznie.</w:t>
      </w:r>
    </w:p>
    <w:p w14:paraId="795C387A" w14:textId="77777777" w:rsidR="0041394C" w:rsidRPr="002E3019" w:rsidRDefault="0041394C" w:rsidP="0041394C">
      <w:pPr>
        <w:spacing w:before="240" w:after="240"/>
        <w:rPr>
          <w:rFonts w:ascii="Fira Sans" w:hAnsi="Fira Sans"/>
          <w:b/>
          <w:spacing w:val="-2"/>
          <w:sz w:val="19"/>
          <w:szCs w:val="19"/>
        </w:rPr>
      </w:pPr>
      <w:r>
        <w:rPr>
          <w:rFonts w:ascii="Fira Sans" w:hAnsi="Fira Sans"/>
          <w:b/>
          <w:spacing w:val="-2"/>
          <w:sz w:val="19"/>
          <w:szCs w:val="19"/>
        </w:rPr>
        <w:t>Wykres 5</w:t>
      </w:r>
      <w:r w:rsidRPr="009021D3">
        <w:rPr>
          <w:rFonts w:ascii="Fira Sans" w:hAnsi="Fira Sans"/>
          <w:b/>
          <w:spacing w:val="-2"/>
          <w:sz w:val="19"/>
          <w:szCs w:val="19"/>
        </w:rPr>
        <w:t xml:space="preserve">. </w:t>
      </w:r>
      <w:r w:rsidRPr="00885760">
        <w:rPr>
          <w:rFonts w:ascii="Fira Sans" w:hAnsi="Fira Sans"/>
          <w:b/>
          <w:spacing w:val="-2"/>
          <w:sz w:val="19"/>
          <w:szCs w:val="19"/>
        </w:rPr>
        <w:t>Salda odpowie</w:t>
      </w:r>
      <w:r w:rsidR="00266F19">
        <w:rPr>
          <w:rFonts w:ascii="Fira Sans" w:hAnsi="Fira Sans"/>
          <w:b/>
          <w:spacing w:val="-2"/>
          <w:sz w:val="19"/>
          <w:szCs w:val="19"/>
        </w:rPr>
        <w:t>dzi dotyczące bieżącej</w:t>
      </w:r>
      <w:r w:rsidR="00E2213D">
        <w:rPr>
          <w:rFonts w:ascii="Fira Sans" w:hAnsi="Fira Sans"/>
          <w:b/>
          <w:spacing w:val="-2"/>
          <w:sz w:val="19"/>
          <w:szCs w:val="19"/>
        </w:rPr>
        <w:t xml:space="preserve"> (grudzień 2023 r.)</w:t>
      </w:r>
      <w:r w:rsidR="00266F19">
        <w:rPr>
          <w:rFonts w:ascii="Fira Sans" w:hAnsi="Fira Sans"/>
          <w:b/>
          <w:spacing w:val="-2"/>
          <w:sz w:val="19"/>
          <w:szCs w:val="19"/>
        </w:rPr>
        <w:t xml:space="preserve"> </w:t>
      </w:r>
      <w:r w:rsidRPr="00885760">
        <w:rPr>
          <w:rFonts w:ascii="Fira Sans" w:hAnsi="Fira Sans"/>
          <w:b/>
          <w:spacing w:val="-2"/>
          <w:sz w:val="19"/>
          <w:szCs w:val="19"/>
        </w:rPr>
        <w:t>sytuacji</w:t>
      </w:r>
      <w:r w:rsidRPr="009021D3">
        <w:rPr>
          <w:rFonts w:ascii="Fira Sans" w:hAnsi="Fira Sans"/>
          <w:b/>
          <w:spacing w:val="-2"/>
          <w:sz w:val="19"/>
          <w:szCs w:val="19"/>
        </w:rPr>
        <w:t xml:space="preserve"> ogólnej gospodarstw rolnych, opłacalności produkcji rolniczej i popytu na produkty rolne</w:t>
      </w:r>
    </w:p>
    <w:p w14:paraId="40F3C62B" w14:textId="7032B1CD" w:rsidR="00DF50C1" w:rsidRPr="005643FE" w:rsidRDefault="001A6A2E" w:rsidP="00E35D77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  <w:sectPr w:rsidR="00DF50C1" w:rsidRPr="005643FE" w:rsidSect="00D30038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720" w:right="3119" w:bottom="142" w:left="720" w:header="284" w:footer="284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067D3EE1" wp14:editId="0DE1F5F0">
            <wp:extent cx="5122545" cy="2929890"/>
            <wp:effectExtent l="0" t="0" r="1905" b="3810"/>
            <wp:docPr id="4" name="Wykres 4" descr="Salda odpowiedzi dotyczące prognozowanej w &#10;II półroczu sytuacji ogólnej gospodarstw rolnych, opłacalności produkcji rolniczej i popytu na produkty rolne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30637BC" w14:textId="77777777" w:rsidR="0041394C" w:rsidRDefault="0041394C" w:rsidP="0041394C">
      <w:pPr>
        <w:rPr>
          <w:rFonts w:ascii="Fira Sans" w:hAnsi="Fira Sans"/>
          <w:b/>
          <w:spacing w:val="-2"/>
          <w:sz w:val="19"/>
          <w:szCs w:val="19"/>
        </w:rPr>
      </w:pPr>
    </w:p>
    <w:p w14:paraId="00951885" w14:textId="77777777" w:rsidR="008667ED" w:rsidRDefault="008667ED" w:rsidP="0041394C">
      <w:pPr>
        <w:rPr>
          <w:rFonts w:ascii="Fira Sans" w:hAnsi="Fira Sans"/>
          <w:b/>
          <w:spacing w:val="-2"/>
          <w:sz w:val="19"/>
          <w:szCs w:val="19"/>
        </w:rPr>
      </w:pPr>
    </w:p>
    <w:p w14:paraId="72DA4509" w14:textId="77777777" w:rsidR="008667ED" w:rsidRDefault="008667ED" w:rsidP="0041394C">
      <w:pPr>
        <w:rPr>
          <w:rFonts w:ascii="Fira Sans" w:hAnsi="Fira Sans"/>
          <w:b/>
          <w:spacing w:val="-2"/>
          <w:sz w:val="19"/>
          <w:szCs w:val="19"/>
        </w:rPr>
      </w:pPr>
    </w:p>
    <w:p w14:paraId="3A97563E" w14:textId="77777777" w:rsidR="008667ED" w:rsidRDefault="008667ED" w:rsidP="0041394C">
      <w:pPr>
        <w:rPr>
          <w:rFonts w:ascii="Fira Sans" w:hAnsi="Fira Sans"/>
          <w:b/>
          <w:spacing w:val="-2"/>
          <w:sz w:val="19"/>
          <w:szCs w:val="19"/>
        </w:rPr>
      </w:pPr>
    </w:p>
    <w:p w14:paraId="2113585B" w14:textId="77777777" w:rsidR="008667ED" w:rsidRDefault="008667ED" w:rsidP="0041394C">
      <w:pPr>
        <w:rPr>
          <w:rFonts w:ascii="Fira Sans" w:hAnsi="Fira Sans"/>
          <w:b/>
          <w:spacing w:val="-2"/>
          <w:sz w:val="19"/>
          <w:szCs w:val="19"/>
        </w:rPr>
      </w:pPr>
    </w:p>
    <w:p w14:paraId="7E315E44" w14:textId="77777777" w:rsidR="00765532" w:rsidRDefault="008667ED" w:rsidP="000F03E5">
      <w:pPr>
        <w:spacing w:before="120" w:after="120"/>
        <w:rPr>
          <w:rFonts w:ascii="Fira Sans" w:hAnsi="Fira Sans"/>
          <w:b/>
          <w:spacing w:val="-2"/>
          <w:sz w:val="19"/>
          <w:szCs w:val="19"/>
        </w:rPr>
      </w:pPr>
      <w:r>
        <w:rPr>
          <w:rFonts w:ascii="Fira Sans" w:hAnsi="Fira Sans"/>
          <w:b/>
          <w:spacing w:val="-2"/>
          <w:sz w:val="19"/>
          <w:szCs w:val="19"/>
        </w:rPr>
        <w:lastRenderedPageBreak/>
        <w:t xml:space="preserve">Prognoza </w:t>
      </w:r>
      <w:r w:rsidR="00765532" w:rsidRPr="000F03E5">
        <w:rPr>
          <w:rFonts w:ascii="Fira Sans" w:hAnsi="Fira Sans"/>
          <w:b/>
          <w:spacing w:val="-2"/>
          <w:sz w:val="19"/>
          <w:szCs w:val="19"/>
        </w:rPr>
        <w:t>sytuacji gospodarstw rolnych</w:t>
      </w:r>
    </w:p>
    <w:p w14:paraId="46FA5448" w14:textId="6A06FF73" w:rsidR="000A5E8B" w:rsidRDefault="00880DD6" w:rsidP="000C7BAA">
      <w:pPr>
        <w:spacing w:before="240" w:after="120"/>
        <w:rPr>
          <w:rFonts w:ascii="Fira Sans" w:hAnsi="Fira Sans"/>
          <w:spacing w:val="-2"/>
          <w:sz w:val="19"/>
          <w:szCs w:val="19"/>
        </w:rPr>
      </w:pPr>
      <w:r w:rsidRPr="00880DD6">
        <w:rPr>
          <w:rFonts w:ascii="Fira Sans" w:hAnsi="Fira Sans"/>
          <w:spacing w:val="-2"/>
          <w:sz w:val="19"/>
          <w:szCs w:val="19"/>
        </w:rPr>
        <w:t>W grudniu 2023 r. prognozy dotyczące zarówno ogólnej sytuacji gospodarstw, opłacalności produkcji rolnej</w:t>
      </w:r>
      <w:r w:rsidR="000A5E8B">
        <w:rPr>
          <w:rFonts w:ascii="Fira Sans" w:hAnsi="Fira Sans"/>
          <w:spacing w:val="-2"/>
          <w:sz w:val="19"/>
          <w:szCs w:val="19"/>
        </w:rPr>
        <w:t xml:space="preserve">, jak i popytu na produkty rolne </w:t>
      </w:r>
      <w:r w:rsidRPr="00880DD6">
        <w:rPr>
          <w:rFonts w:ascii="Fira Sans" w:hAnsi="Fira Sans"/>
          <w:spacing w:val="-2"/>
          <w:sz w:val="19"/>
          <w:szCs w:val="19"/>
        </w:rPr>
        <w:t>na I pół</w:t>
      </w:r>
      <w:r w:rsidR="001B3AB2">
        <w:rPr>
          <w:rFonts w:ascii="Fira Sans" w:hAnsi="Fira Sans"/>
          <w:spacing w:val="-2"/>
          <w:sz w:val="19"/>
          <w:szCs w:val="19"/>
        </w:rPr>
        <w:t>rocze 2024 r. były niekorzystne</w:t>
      </w:r>
      <w:r w:rsidRPr="00880DD6">
        <w:rPr>
          <w:rFonts w:ascii="Fira Sans" w:hAnsi="Fira Sans"/>
          <w:spacing w:val="-2"/>
          <w:sz w:val="19"/>
          <w:szCs w:val="19"/>
        </w:rPr>
        <w:t xml:space="preserve"> </w:t>
      </w:r>
      <w:r w:rsidR="00130519">
        <w:rPr>
          <w:rFonts w:ascii="Fira Sans" w:hAnsi="Fira Sans"/>
          <w:spacing w:val="-2"/>
          <w:sz w:val="19"/>
          <w:szCs w:val="19"/>
        </w:rPr>
        <w:t>ale</w:t>
      </w:r>
      <w:r w:rsidRPr="00880DD6">
        <w:rPr>
          <w:rFonts w:ascii="Fira Sans" w:hAnsi="Fira Sans"/>
          <w:spacing w:val="-2"/>
          <w:sz w:val="19"/>
          <w:szCs w:val="19"/>
        </w:rPr>
        <w:t xml:space="preserve"> </w:t>
      </w:r>
      <w:r w:rsidR="002A39B1">
        <w:rPr>
          <w:rFonts w:ascii="Fira Sans" w:hAnsi="Fira Sans"/>
          <w:spacing w:val="-2"/>
          <w:sz w:val="19"/>
          <w:szCs w:val="19"/>
        </w:rPr>
        <w:t xml:space="preserve">mniej pesymistyczne </w:t>
      </w:r>
      <w:r w:rsidRPr="00880DD6">
        <w:rPr>
          <w:rFonts w:ascii="Fira Sans" w:hAnsi="Fira Sans"/>
          <w:spacing w:val="-2"/>
          <w:sz w:val="19"/>
          <w:szCs w:val="19"/>
        </w:rPr>
        <w:t xml:space="preserve">w porównaniu z dwoma poprzednimi edycjami badania. </w:t>
      </w:r>
      <w:r w:rsidR="00AB7BE5">
        <w:rPr>
          <w:rFonts w:ascii="Fira Sans" w:hAnsi="Fira Sans"/>
          <w:spacing w:val="-2"/>
          <w:sz w:val="19"/>
          <w:szCs w:val="19"/>
        </w:rPr>
        <w:t>Najwięk</w:t>
      </w:r>
      <w:r w:rsidR="003855E8">
        <w:rPr>
          <w:rFonts w:ascii="Fira Sans" w:hAnsi="Fira Sans"/>
          <w:spacing w:val="-2"/>
          <w:sz w:val="19"/>
          <w:szCs w:val="19"/>
        </w:rPr>
        <w:t>szą poprawę opinii</w:t>
      </w:r>
      <w:r w:rsidR="00AB7BE5">
        <w:rPr>
          <w:rFonts w:ascii="Fira Sans" w:hAnsi="Fira Sans"/>
          <w:spacing w:val="-2"/>
          <w:sz w:val="19"/>
          <w:szCs w:val="19"/>
        </w:rPr>
        <w:t xml:space="preserve"> </w:t>
      </w:r>
      <w:r w:rsidR="003855E8">
        <w:rPr>
          <w:rFonts w:ascii="Fira Sans" w:hAnsi="Fira Sans"/>
          <w:spacing w:val="-2"/>
          <w:sz w:val="19"/>
          <w:szCs w:val="19"/>
        </w:rPr>
        <w:t xml:space="preserve">wobec poprzedniej edycji odnotowano w pytaniu o zmianę ogólnej sytuacji gospodarstwa </w:t>
      </w:r>
      <w:r w:rsidR="00EB3DD7">
        <w:rPr>
          <w:rFonts w:ascii="Fira Sans" w:hAnsi="Fira Sans"/>
          <w:spacing w:val="-2"/>
          <w:sz w:val="19"/>
          <w:szCs w:val="19"/>
        </w:rPr>
        <w:t xml:space="preserve">rolnego w najbliższym półroczu </w:t>
      </w:r>
      <w:r w:rsidR="003855E8">
        <w:rPr>
          <w:rFonts w:ascii="Fira Sans" w:hAnsi="Fira Sans"/>
          <w:spacing w:val="-2"/>
          <w:sz w:val="19"/>
          <w:szCs w:val="19"/>
        </w:rPr>
        <w:t>- wzrost wartości salda o 3,8 p. proc.</w:t>
      </w:r>
    </w:p>
    <w:p w14:paraId="0C80387C" w14:textId="77777777" w:rsidR="0034561C" w:rsidRDefault="0034561C" w:rsidP="0041394C">
      <w:pPr>
        <w:spacing w:before="240" w:after="240"/>
        <w:rPr>
          <w:rFonts w:ascii="Fira Sans" w:hAnsi="Fira Sans"/>
          <w:b/>
          <w:spacing w:val="-2"/>
          <w:sz w:val="19"/>
          <w:szCs w:val="19"/>
        </w:rPr>
      </w:pPr>
      <w:r>
        <w:rPr>
          <w:rFonts w:ascii="Fira Sans" w:eastAsia="Times New Roman" w:hAnsi="Fira Sans" w:cs="Calibri"/>
          <w:b/>
          <w:bCs/>
          <w:noProof/>
          <w:color w:val="000000"/>
          <w:sz w:val="19"/>
          <w:szCs w:val="19"/>
          <w:lang w:eastAsia="pl-PL"/>
        </w:rPr>
        <w:t>Tablica 3</w:t>
      </w:r>
      <w:r w:rsidRPr="0061109F">
        <w:rPr>
          <w:rFonts w:ascii="Fira Sans" w:eastAsia="Times New Roman" w:hAnsi="Fira Sans" w:cs="Calibri"/>
          <w:b/>
          <w:bCs/>
          <w:noProof/>
          <w:color w:val="000000"/>
          <w:sz w:val="19"/>
          <w:szCs w:val="19"/>
          <w:lang w:eastAsia="pl-PL"/>
        </w:rPr>
        <w:t xml:space="preserve">. </w:t>
      </w:r>
      <w:r>
        <w:rPr>
          <w:rFonts w:ascii="Fira Sans" w:hAnsi="Fira Sans"/>
          <w:b/>
          <w:spacing w:val="-2"/>
          <w:sz w:val="19"/>
          <w:szCs w:val="19"/>
        </w:rPr>
        <w:t>Salda odpowiedzi dla prognozy</w:t>
      </w:r>
      <w:r w:rsidRPr="003F102C">
        <w:rPr>
          <w:rFonts w:ascii="Fira Sans" w:hAnsi="Fira Sans"/>
          <w:b/>
          <w:spacing w:val="-2"/>
          <w:sz w:val="19"/>
          <w:szCs w:val="19"/>
        </w:rPr>
        <w:t xml:space="preserve"> sytuacji ogólne</w:t>
      </w:r>
      <w:r w:rsidR="00187851">
        <w:rPr>
          <w:rFonts w:ascii="Fira Sans" w:hAnsi="Fira Sans"/>
          <w:b/>
          <w:spacing w:val="-2"/>
          <w:sz w:val="19"/>
          <w:szCs w:val="19"/>
        </w:rPr>
        <w:t xml:space="preserve">j gospodarstw rolnych, </w:t>
      </w:r>
      <w:r w:rsidRPr="003F102C">
        <w:rPr>
          <w:rFonts w:ascii="Fira Sans" w:hAnsi="Fira Sans"/>
          <w:b/>
          <w:spacing w:val="-2"/>
          <w:sz w:val="19"/>
          <w:szCs w:val="19"/>
        </w:rPr>
        <w:t>opłacalności produkcji rolniczej i popytu na produkty rolne</w:t>
      </w:r>
    </w:p>
    <w:tbl>
      <w:tblPr>
        <w:tblW w:w="805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873"/>
        <w:gridCol w:w="1923"/>
        <w:gridCol w:w="2560"/>
      </w:tblGrid>
      <w:tr w:rsidR="00BC6D91" w:rsidRPr="00BC6D91" w14:paraId="3393BF92" w14:textId="77777777" w:rsidTr="007B47BA">
        <w:trPr>
          <w:trHeight w:val="457"/>
        </w:trPr>
        <w:tc>
          <w:tcPr>
            <w:tcW w:w="1701" w:type="dxa"/>
            <w:vMerge w:val="restart"/>
            <w:tcBorders>
              <w:top w:val="nil"/>
              <w:bottom w:val="single" w:sz="8" w:space="0" w:color="002060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E0396DC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1873" w:type="dxa"/>
            <w:vMerge w:val="restart"/>
            <w:tcBorders>
              <w:top w:val="nil"/>
              <w:left w:val="single" w:sz="8" w:space="0" w:color="001D77"/>
              <w:bottom w:val="single" w:sz="8" w:space="0" w:color="002060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5ABF3709" w14:textId="77777777" w:rsidR="00BC6D91" w:rsidRPr="00CA6407" w:rsidRDefault="00BC6D91" w:rsidP="007B47BA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Prognoza sytuacji ogólnej gospodarstwa rolnego w najbliższym półroczu</w:t>
            </w:r>
          </w:p>
        </w:tc>
        <w:tc>
          <w:tcPr>
            <w:tcW w:w="1923" w:type="dxa"/>
            <w:vMerge w:val="restart"/>
            <w:tcBorders>
              <w:top w:val="nil"/>
              <w:left w:val="single" w:sz="8" w:space="0" w:color="001D77"/>
              <w:bottom w:val="single" w:sz="8" w:space="0" w:color="002060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4AF2830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Prognoza opłacalności produkcji rolniczej w najbliższym półroczu</w:t>
            </w:r>
          </w:p>
        </w:tc>
        <w:tc>
          <w:tcPr>
            <w:tcW w:w="2560" w:type="dxa"/>
            <w:vMerge w:val="restart"/>
            <w:tcBorders>
              <w:top w:val="nil"/>
              <w:left w:val="single" w:sz="8" w:space="0" w:color="001D77"/>
              <w:bottom w:val="single" w:sz="8" w:space="0" w:color="002060"/>
            </w:tcBorders>
            <w:shd w:val="clear" w:color="auto" w:fill="auto"/>
            <w:vAlign w:val="center"/>
            <w:hideMark/>
          </w:tcPr>
          <w:p w14:paraId="7EA5A40F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Prognoza popytu na produkty rolne w najbliższym półroczu</w:t>
            </w:r>
          </w:p>
        </w:tc>
      </w:tr>
      <w:tr w:rsidR="00BC6D91" w:rsidRPr="00BC6D91" w14:paraId="2ABA570E" w14:textId="77777777" w:rsidTr="007B47BA">
        <w:trPr>
          <w:trHeight w:val="971"/>
        </w:trPr>
        <w:tc>
          <w:tcPr>
            <w:tcW w:w="1701" w:type="dxa"/>
            <w:vMerge/>
            <w:tcBorders>
              <w:top w:val="single" w:sz="8" w:space="0" w:color="001D77"/>
              <w:bottom w:val="single" w:sz="8" w:space="0" w:color="002060"/>
              <w:right w:val="single" w:sz="8" w:space="0" w:color="001D77"/>
            </w:tcBorders>
            <w:vAlign w:val="center"/>
            <w:hideMark/>
          </w:tcPr>
          <w:p w14:paraId="46292213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73" w:type="dxa"/>
            <w:vMerge/>
            <w:tcBorders>
              <w:top w:val="single" w:sz="8" w:space="0" w:color="001D77"/>
              <w:left w:val="single" w:sz="8" w:space="0" w:color="001D77"/>
              <w:bottom w:val="single" w:sz="8" w:space="0" w:color="002060"/>
              <w:right w:val="single" w:sz="8" w:space="0" w:color="001D77"/>
            </w:tcBorders>
            <w:vAlign w:val="center"/>
            <w:hideMark/>
          </w:tcPr>
          <w:p w14:paraId="330D0B2B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3" w:type="dxa"/>
            <w:vMerge/>
            <w:tcBorders>
              <w:top w:val="single" w:sz="8" w:space="0" w:color="001D77"/>
              <w:left w:val="single" w:sz="8" w:space="0" w:color="001D77"/>
              <w:bottom w:val="single" w:sz="8" w:space="0" w:color="002060"/>
              <w:right w:val="single" w:sz="8" w:space="0" w:color="001D77"/>
            </w:tcBorders>
            <w:vAlign w:val="center"/>
            <w:hideMark/>
          </w:tcPr>
          <w:p w14:paraId="1672496A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560" w:type="dxa"/>
            <w:vMerge/>
            <w:tcBorders>
              <w:top w:val="single" w:sz="8" w:space="0" w:color="001D77"/>
              <w:left w:val="single" w:sz="8" w:space="0" w:color="001D77"/>
              <w:bottom w:val="single" w:sz="8" w:space="0" w:color="002060"/>
            </w:tcBorders>
            <w:vAlign w:val="center"/>
            <w:hideMark/>
          </w:tcPr>
          <w:p w14:paraId="3977245A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BC6D91" w:rsidRPr="00BC6D91" w14:paraId="3075E38F" w14:textId="77777777" w:rsidTr="00F11112">
        <w:trPr>
          <w:trHeight w:val="300"/>
        </w:trPr>
        <w:tc>
          <w:tcPr>
            <w:tcW w:w="1701" w:type="dxa"/>
            <w:tcBorders>
              <w:top w:val="single" w:sz="8" w:space="0" w:color="002060"/>
              <w:bottom w:val="single" w:sz="12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49AA7D11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356" w:type="dxa"/>
            <w:gridSpan w:val="3"/>
            <w:tcBorders>
              <w:top w:val="single" w:sz="8" w:space="0" w:color="002060"/>
              <w:left w:val="single" w:sz="8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C8CCBDF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i/>
                <w:iCs/>
                <w:color w:val="000000"/>
                <w:sz w:val="18"/>
                <w:szCs w:val="18"/>
                <w:lang w:eastAsia="pl-PL"/>
              </w:rPr>
              <w:t>saldo odpowiedzi w p. proc.</w:t>
            </w:r>
          </w:p>
        </w:tc>
      </w:tr>
      <w:tr w:rsidR="00BC6D91" w:rsidRPr="00BC6D91" w14:paraId="7975D904" w14:textId="77777777" w:rsidTr="00833C16">
        <w:trPr>
          <w:trHeight w:val="314"/>
        </w:trPr>
        <w:tc>
          <w:tcPr>
            <w:tcW w:w="1701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5A7AB9C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2019 r.</w:t>
            </w:r>
          </w:p>
        </w:tc>
        <w:tc>
          <w:tcPr>
            <w:tcW w:w="1873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7C6F3E29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-19,5</w:t>
            </w:r>
          </w:p>
        </w:tc>
        <w:tc>
          <w:tcPr>
            <w:tcW w:w="1923" w:type="dxa"/>
            <w:tcBorders>
              <w:top w:val="single" w:sz="4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2B09777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-23,2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BAF91B6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-7,1</w:t>
            </w:r>
          </w:p>
        </w:tc>
      </w:tr>
      <w:tr w:rsidR="00BC6D91" w:rsidRPr="00BC6D91" w14:paraId="611103F6" w14:textId="77777777" w:rsidTr="009A02B2">
        <w:trPr>
          <w:trHeight w:val="300"/>
        </w:trPr>
        <w:tc>
          <w:tcPr>
            <w:tcW w:w="1701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9136FDB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2019 r.</w:t>
            </w:r>
          </w:p>
        </w:tc>
        <w:tc>
          <w:tcPr>
            <w:tcW w:w="1873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39B6F2B6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-11,7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3A89F4E7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-16,1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9851204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-3,8</w:t>
            </w:r>
          </w:p>
        </w:tc>
      </w:tr>
      <w:tr w:rsidR="00BC6D91" w:rsidRPr="00BC6D91" w14:paraId="13A0CA1D" w14:textId="77777777" w:rsidTr="004A50BE">
        <w:trPr>
          <w:trHeight w:val="300"/>
        </w:trPr>
        <w:tc>
          <w:tcPr>
            <w:tcW w:w="1701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4D1CC68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2020 r.</w:t>
            </w:r>
          </w:p>
        </w:tc>
        <w:tc>
          <w:tcPr>
            <w:tcW w:w="1873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F9B9C07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-7,9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6FBDA81C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-11,6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9E725C5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-5,0</w:t>
            </w:r>
          </w:p>
        </w:tc>
      </w:tr>
      <w:tr w:rsidR="00BC6D91" w:rsidRPr="00BC6D91" w14:paraId="6F6B5138" w14:textId="77777777" w:rsidTr="004A50BE">
        <w:trPr>
          <w:trHeight w:val="300"/>
        </w:trPr>
        <w:tc>
          <w:tcPr>
            <w:tcW w:w="1701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A768252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2020 r.</w:t>
            </w:r>
          </w:p>
        </w:tc>
        <w:tc>
          <w:tcPr>
            <w:tcW w:w="1873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4F7237B7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-9,1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6BD03C99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-13,1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2EB1A09C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-5,2</w:t>
            </w:r>
          </w:p>
        </w:tc>
      </w:tr>
      <w:tr w:rsidR="00BC6D91" w:rsidRPr="00BC6D91" w14:paraId="1AC3A497" w14:textId="77777777" w:rsidTr="004A50BE">
        <w:trPr>
          <w:trHeight w:val="300"/>
        </w:trPr>
        <w:tc>
          <w:tcPr>
            <w:tcW w:w="1701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317B54D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2021 r.</w:t>
            </w:r>
          </w:p>
        </w:tc>
        <w:tc>
          <w:tcPr>
            <w:tcW w:w="1873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3F930A70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-15,4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07043EC3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-23,8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48E881AD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-6,4</w:t>
            </w:r>
          </w:p>
        </w:tc>
      </w:tr>
      <w:tr w:rsidR="00BC6D91" w:rsidRPr="00BC6D91" w14:paraId="271AE1D2" w14:textId="77777777" w:rsidTr="009A02B2">
        <w:trPr>
          <w:trHeight w:val="300"/>
        </w:trPr>
        <w:tc>
          <w:tcPr>
            <w:tcW w:w="1701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5E8DE70E" w14:textId="1266A955" w:rsidR="00BC6D91" w:rsidRPr="00CA6407" w:rsidRDefault="00BF2D3C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</w:t>
            </w:r>
            <w:r w:rsidR="00BC6D91"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 xml:space="preserve"> 2021 r.</w:t>
            </w:r>
          </w:p>
        </w:tc>
        <w:tc>
          <w:tcPr>
            <w:tcW w:w="1873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04E5F8C1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-47,2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0584B07A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-52,1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4E72D9D0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-16,2</w:t>
            </w:r>
          </w:p>
        </w:tc>
      </w:tr>
      <w:tr w:rsidR="00BC6D91" w:rsidRPr="00BC6D91" w14:paraId="622C89F7" w14:textId="77777777" w:rsidTr="009A02B2">
        <w:trPr>
          <w:trHeight w:val="300"/>
        </w:trPr>
        <w:tc>
          <w:tcPr>
            <w:tcW w:w="1701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4D560649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2022 r.</w:t>
            </w:r>
          </w:p>
        </w:tc>
        <w:tc>
          <w:tcPr>
            <w:tcW w:w="1873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783C05EB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-39,4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31BBFBB0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-45,2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13B35765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-16,1</w:t>
            </w:r>
          </w:p>
        </w:tc>
      </w:tr>
      <w:tr w:rsidR="00BC6D91" w:rsidRPr="00BC6D91" w14:paraId="560ECFD8" w14:textId="77777777" w:rsidTr="009A02B2">
        <w:trPr>
          <w:trHeight w:val="300"/>
        </w:trPr>
        <w:tc>
          <w:tcPr>
            <w:tcW w:w="1701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B5C57C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2022 r.</w:t>
            </w:r>
          </w:p>
        </w:tc>
        <w:tc>
          <w:tcPr>
            <w:tcW w:w="1873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15661073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-34,8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0791BC8F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-43,5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7CFB76F0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-22,8</w:t>
            </w:r>
          </w:p>
        </w:tc>
      </w:tr>
      <w:tr w:rsidR="00BC6D91" w:rsidRPr="00BC6D91" w14:paraId="74D672DF" w14:textId="77777777" w:rsidTr="009A02B2">
        <w:trPr>
          <w:trHeight w:val="300"/>
        </w:trPr>
        <w:tc>
          <w:tcPr>
            <w:tcW w:w="1701" w:type="dxa"/>
            <w:tcBorders>
              <w:top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14878A6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01-06 2023 r.</w:t>
            </w:r>
          </w:p>
        </w:tc>
        <w:tc>
          <w:tcPr>
            <w:tcW w:w="1873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2449305A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-29,4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26D0C171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-36,2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3199D03D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-21,6</w:t>
            </w:r>
          </w:p>
        </w:tc>
      </w:tr>
      <w:tr w:rsidR="00BC6D91" w:rsidRPr="00BC6D91" w14:paraId="3BB08E9D" w14:textId="77777777" w:rsidTr="009A02B2">
        <w:trPr>
          <w:trHeight w:val="300"/>
        </w:trPr>
        <w:tc>
          <w:tcPr>
            <w:tcW w:w="1701" w:type="dxa"/>
            <w:tcBorders>
              <w:top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201D67C" w14:textId="77777777" w:rsidR="00BC6D91" w:rsidRPr="00CA6407" w:rsidRDefault="00BC6D91" w:rsidP="00BC6D91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07-12 2023 r.</w:t>
            </w:r>
          </w:p>
        </w:tc>
        <w:tc>
          <w:tcPr>
            <w:tcW w:w="1873" w:type="dxa"/>
            <w:tcBorders>
              <w:top w:val="single" w:sz="8" w:space="0" w:color="001D77"/>
              <w:left w:val="single" w:sz="8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B8E4E73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-25,6</w:t>
            </w:r>
          </w:p>
        </w:tc>
        <w:tc>
          <w:tcPr>
            <w:tcW w:w="1923" w:type="dxa"/>
            <w:tcBorders>
              <w:top w:val="single" w:sz="8" w:space="0" w:color="001D77"/>
              <w:left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1D649833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-33,7</w:t>
            </w:r>
          </w:p>
        </w:tc>
        <w:tc>
          <w:tcPr>
            <w:tcW w:w="2560" w:type="dxa"/>
            <w:tcBorders>
              <w:top w:val="single" w:sz="8" w:space="0" w:color="001D77"/>
              <w:left w:val="nil"/>
            </w:tcBorders>
            <w:shd w:val="clear" w:color="auto" w:fill="auto"/>
            <w:vAlign w:val="center"/>
            <w:hideMark/>
          </w:tcPr>
          <w:p w14:paraId="372FB146" w14:textId="77777777" w:rsidR="00BC6D91" w:rsidRPr="00CA6407" w:rsidRDefault="00BC6D91" w:rsidP="00BC6D91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</w:pPr>
            <w:r w:rsidRPr="00CA6407">
              <w:rPr>
                <w:rFonts w:ascii="Fira Sans" w:eastAsia="Times New Roman" w:hAnsi="Fira Sans" w:cs="Calibri"/>
                <w:color w:val="000000"/>
                <w:sz w:val="18"/>
                <w:szCs w:val="18"/>
                <w:lang w:eastAsia="pl-PL"/>
              </w:rPr>
              <w:t>-18,6</w:t>
            </w:r>
          </w:p>
        </w:tc>
      </w:tr>
    </w:tbl>
    <w:p w14:paraId="7F5C021C" w14:textId="77777777" w:rsidR="0041394C" w:rsidRPr="00183C21" w:rsidRDefault="0041394C" w:rsidP="00183C21">
      <w:pPr>
        <w:spacing w:before="240" w:after="240"/>
        <w:rPr>
          <w:rFonts w:ascii="Fira Sans" w:hAnsi="Fira Sans"/>
          <w:b/>
          <w:spacing w:val="-2"/>
          <w:sz w:val="19"/>
          <w:szCs w:val="19"/>
        </w:rPr>
      </w:pPr>
    </w:p>
    <w:p w14:paraId="07C9EDA7" w14:textId="77777777" w:rsidR="00542E9F" w:rsidRPr="00B21431" w:rsidRDefault="00B74F89" w:rsidP="00B21431">
      <w:pPr>
        <w:spacing w:line="259" w:lineRule="auto"/>
        <w:rPr>
          <w:rFonts w:ascii="Fira Sans" w:hAnsi="Fira Sans"/>
          <w:b/>
          <w:sz w:val="18"/>
          <w:szCs w:val="18"/>
        </w:rPr>
      </w:pPr>
      <w:r w:rsidRPr="000C7BAA">
        <w:rPr>
          <w:rFonts w:ascii="Fira Sans" w:hAnsi="Fira Sans"/>
          <w:noProof/>
          <w:sz w:val="19"/>
          <w:szCs w:val="19"/>
          <w:lang w:eastAsia="pl-PL"/>
        </w:rPr>
        <w:drawing>
          <wp:anchor distT="0" distB="0" distL="114300" distR="114300" simplePos="0" relativeHeight="252973056" behindDoc="1" locked="0" layoutInCell="1" allowOverlap="1" wp14:anchorId="30A4B482" wp14:editId="39AD9B2B">
            <wp:simplePos x="0" y="0"/>
            <wp:positionH relativeFrom="column">
              <wp:posOffset>0</wp:posOffset>
            </wp:positionH>
            <wp:positionV relativeFrom="paragraph">
              <wp:posOffset>337820</wp:posOffset>
            </wp:positionV>
            <wp:extent cx="4977130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495" y="21392"/>
                <wp:lineTo x="21495" y="0"/>
                <wp:lineTo x="0" y="0"/>
              </wp:wrapPolygon>
            </wp:wrapThrough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F" w:rsidRPr="000C7BAA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2974080" behindDoc="0" locked="0" layoutInCell="1" allowOverlap="1" wp14:anchorId="5426A673" wp14:editId="69CC5DD8">
            <wp:simplePos x="0" y="0"/>
            <wp:positionH relativeFrom="column">
              <wp:posOffset>-153035</wp:posOffset>
            </wp:positionH>
            <wp:positionV relativeFrom="paragraph">
              <wp:posOffset>2118995</wp:posOffset>
            </wp:positionV>
            <wp:extent cx="5362575" cy="1386205"/>
            <wp:effectExtent l="0" t="0" r="0" b="4445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</wp:anchor>
        </w:drawing>
      </w:r>
      <w:r w:rsidR="00717A15">
        <w:rPr>
          <w:rFonts w:ascii="Fira Sans" w:hAnsi="Fira Sans"/>
          <w:b/>
          <w:sz w:val="19"/>
          <w:szCs w:val="19"/>
        </w:rPr>
        <w:t>Wykres 6</w:t>
      </w:r>
      <w:r w:rsidR="00542E9F" w:rsidRPr="000C7BAA">
        <w:rPr>
          <w:rFonts w:ascii="Fira Sans" w:hAnsi="Fira Sans"/>
          <w:b/>
          <w:sz w:val="19"/>
          <w:szCs w:val="19"/>
        </w:rPr>
        <w:t>. Prognoza ogólnej</w:t>
      </w:r>
      <w:r w:rsidR="00FD368A" w:rsidRPr="000C7BAA">
        <w:rPr>
          <w:rFonts w:ascii="Fira Sans" w:hAnsi="Fira Sans"/>
          <w:b/>
          <w:sz w:val="19"/>
          <w:szCs w:val="19"/>
        </w:rPr>
        <w:t xml:space="preserve"> sytuacji </w:t>
      </w:r>
      <w:r w:rsidR="00542E9F" w:rsidRPr="000C7BAA">
        <w:rPr>
          <w:rFonts w:ascii="Fira Sans" w:hAnsi="Fira Sans"/>
          <w:b/>
          <w:sz w:val="19"/>
          <w:szCs w:val="19"/>
        </w:rPr>
        <w:t>gospodarstw rolnych</w:t>
      </w:r>
      <w:r w:rsidR="00D42F89" w:rsidRPr="000C7BAA">
        <w:rPr>
          <w:rFonts w:ascii="Fira Sans" w:hAnsi="Fira Sans"/>
          <w:b/>
          <w:sz w:val="19"/>
          <w:szCs w:val="19"/>
        </w:rPr>
        <w:t xml:space="preserve">, </w:t>
      </w:r>
      <w:r w:rsidR="00FD368A" w:rsidRPr="000C7BAA">
        <w:rPr>
          <w:rFonts w:ascii="Fira Sans" w:hAnsi="Fira Sans"/>
          <w:b/>
          <w:sz w:val="19"/>
          <w:szCs w:val="19"/>
        </w:rPr>
        <w:t xml:space="preserve">opłacalności produkcji rolniczej </w:t>
      </w:r>
      <w:r w:rsidR="00B805EF" w:rsidRPr="000C7BAA">
        <w:rPr>
          <w:rFonts w:ascii="Fira Sans" w:hAnsi="Fira Sans"/>
          <w:b/>
          <w:sz w:val="19"/>
          <w:szCs w:val="19"/>
        </w:rPr>
        <w:t xml:space="preserve">oraz popytu na produkty rolne </w:t>
      </w:r>
      <w:r w:rsidR="00542E9F" w:rsidRPr="000C7BAA">
        <w:rPr>
          <w:rFonts w:ascii="Fira Sans" w:hAnsi="Fira Sans"/>
          <w:b/>
          <w:sz w:val="19"/>
          <w:szCs w:val="19"/>
        </w:rPr>
        <w:t>w I półroczu 2024 r</w:t>
      </w:r>
      <w:r w:rsidR="00542E9F" w:rsidRPr="00542E9F">
        <w:rPr>
          <w:rFonts w:ascii="Fira Sans" w:hAnsi="Fira Sans"/>
          <w:b/>
          <w:sz w:val="18"/>
          <w:szCs w:val="18"/>
        </w:rPr>
        <w:t>.</w:t>
      </w:r>
    </w:p>
    <w:p w14:paraId="68AECE59" w14:textId="77777777" w:rsidR="000C7BAA" w:rsidRDefault="000C7BAA" w:rsidP="00DB0C17">
      <w:pPr>
        <w:spacing w:before="120" w:after="120"/>
        <w:rPr>
          <w:rFonts w:ascii="Fira Sans" w:hAnsi="Fira Sans"/>
          <w:bCs/>
          <w:sz w:val="19"/>
          <w:szCs w:val="19"/>
        </w:rPr>
      </w:pPr>
    </w:p>
    <w:p w14:paraId="447ACBBD" w14:textId="77777777" w:rsidR="008A6D84" w:rsidRDefault="008A6D84" w:rsidP="00DB0C17">
      <w:pPr>
        <w:spacing w:before="120" w:after="120"/>
        <w:rPr>
          <w:rFonts w:ascii="Fira Sans" w:hAnsi="Fira Sans"/>
          <w:bCs/>
          <w:sz w:val="19"/>
          <w:szCs w:val="19"/>
        </w:rPr>
      </w:pPr>
    </w:p>
    <w:p w14:paraId="35E6FAF0" w14:textId="77777777" w:rsidR="008A6D84" w:rsidRDefault="008A6D84" w:rsidP="00DB0C17">
      <w:pPr>
        <w:spacing w:before="120" w:after="120"/>
        <w:rPr>
          <w:rFonts w:ascii="Fira Sans" w:hAnsi="Fira Sans"/>
          <w:bCs/>
          <w:sz w:val="19"/>
          <w:szCs w:val="19"/>
        </w:rPr>
      </w:pPr>
    </w:p>
    <w:p w14:paraId="79359B88" w14:textId="77777777" w:rsidR="008A6D84" w:rsidRDefault="008A6D84" w:rsidP="00DB0C17">
      <w:pPr>
        <w:spacing w:before="120" w:after="120"/>
        <w:rPr>
          <w:rFonts w:ascii="Fira Sans" w:hAnsi="Fira Sans"/>
          <w:bCs/>
          <w:sz w:val="19"/>
          <w:szCs w:val="19"/>
        </w:rPr>
      </w:pPr>
    </w:p>
    <w:p w14:paraId="152F0C65" w14:textId="42C416E8" w:rsidR="00EC301F" w:rsidRPr="00EA6211" w:rsidRDefault="00EC301F" w:rsidP="00DB0C17">
      <w:pPr>
        <w:spacing w:before="120" w:after="120"/>
        <w:rPr>
          <w:rFonts w:ascii="Fira Sans" w:hAnsi="Fira Sans"/>
          <w:bCs/>
          <w:sz w:val="19"/>
          <w:szCs w:val="19"/>
        </w:rPr>
      </w:pPr>
      <w:r w:rsidRPr="00EC301F">
        <w:rPr>
          <w:rFonts w:ascii="Fira Sans" w:hAnsi="Fira Sans"/>
          <w:bCs/>
          <w:sz w:val="19"/>
          <w:szCs w:val="19"/>
        </w:rPr>
        <w:lastRenderedPageBreak/>
        <w:t xml:space="preserve">Kierujący gospodarstwami rolnymi, </w:t>
      </w:r>
      <w:r>
        <w:rPr>
          <w:rFonts w:ascii="Fira Sans" w:hAnsi="Fira Sans"/>
          <w:bCs/>
          <w:sz w:val="19"/>
          <w:szCs w:val="19"/>
        </w:rPr>
        <w:t>niezależnie od ukierunkowania produkcyjnego badanych jednostek</w:t>
      </w:r>
      <w:r w:rsidRPr="00EC301F">
        <w:rPr>
          <w:rFonts w:ascii="Fira Sans" w:hAnsi="Fira Sans"/>
          <w:bCs/>
          <w:sz w:val="19"/>
          <w:szCs w:val="19"/>
        </w:rPr>
        <w:t>, wyrazili negatywne oceny odnośnie</w:t>
      </w:r>
      <w:r>
        <w:rPr>
          <w:rFonts w:ascii="Fira Sans" w:hAnsi="Fira Sans"/>
          <w:bCs/>
          <w:sz w:val="19"/>
          <w:szCs w:val="19"/>
        </w:rPr>
        <w:t xml:space="preserve"> prognozowanej sytuacji ogólnej gospodarstw </w:t>
      </w:r>
      <w:r w:rsidR="000C0392">
        <w:rPr>
          <w:rFonts w:ascii="Fira Sans" w:hAnsi="Fira Sans"/>
          <w:bCs/>
          <w:sz w:val="19"/>
          <w:szCs w:val="19"/>
        </w:rPr>
        <w:t>oraz opłacalności produkcji</w:t>
      </w:r>
      <w:r w:rsidR="00EA6211">
        <w:rPr>
          <w:rFonts w:ascii="Fira Sans" w:hAnsi="Fira Sans"/>
          <w:bCs/>
          <w:sz w:val="19"/>
          <w:szCs w:val="19"/>
        </w:rPr>
        <w:t xml:space="preserve"> rolniczej </w:t>
      </w:r>
      <w:r>
        <w:rPr>
          <w:rFonts w:ascii="Fira Sans" w:hAnsi="Fira Sans"/>
          <w:bCs/>
          <w:sz w:val="19"/>
          <w:szCs w:val="19"/>
        </w:rPr>
        <w:t xml:space="preserve">w </w:t>
      </w:r>
      <w:r w:rsidR="007B59C1">
        <w:rPr>
          <w:rFonts w:ascii="Fira Sans" w:hAnsi="Fira Sans"/>
          <w:bCs/>
          <w:sz w:val="19"/>
          <w:szCs w:val="19"/>
        </w:rPr>
        <w:t>I półroczu 2024 r</w:t>
      </w:r>
      <w:r w:rsidRPr="00EC301F">
        <w:rPr>
          <w:rFonts w:ascii="Fira Sans" w:hAnsi="Fira Sans"/>
          <w:bCs/>
          <w:sz w:val="19"/>
          <w:szCs w:val="19"/>
        </w:rPr>
        <w:t xml:space="preserve">. </w:t>
      </w:r>
      <w:r w:rsidRPr="00D035ED">
        <w:rPr>
          <w:rFonts w:ascii="Fira Sans" w:hAnsi="Fira Sans"/>
          <w:bCs/>
          <w:sz w:val="19"/>
          <w:szCs w:val="19"/>
        </w:rPr>
        <w:t xml:space="preserve">Opinie te były jednak </w:t>
      </w:r>
      <w:r w:rsidR="00BF7CA3">
        <w:rPr>
          <w:rFonts w:ascii="Fira Sans" w:hAnsi="Fira Sans"/>
          <w:bCs/>
          <w:sz w:val="19"/>
          <w:szCs w:val="19"/>
        </w:rPr>
        <w:t>mniej pesymistyczne</w:t>
      </w:r>
      <w:r w:rsidRPr="00D035ED">
        <w:rPr>
          <w:rFonts w:ascii="Fira Sans" w:hAnsi="Fira Sans"/>
          <w:bCs/>
          <w:sz w:val="19"/>
          <w:szCs w:val="19"/>
        </w:rPr>
        <w:t xml:space="preserve"> niż </w:t>
      </w:r>
      <w:r w:rsidR="000C0392" w:rsidRPr="00D035ED">
        <w:rPr>
          <w:rFonts w:ascii="Fira Sans" w:hAnsi="Fira Sans"/>
          <w:bCs/>
          <w:sz w:val="19"/>
          <w:szCs w:val="19"/>
        </w:rPr>
        <w:t>w </w:t>
      </w:r>
      <w:r w:rsidR="007B59C1" w:rsidRPr="00D035ED">
        <w:rPr>
          <w:rFonts w:ascii="Fira Sans" w:hAnsi="Fira Sans"/>
          <w:bCs/>
          <w:sz w:val="19"/>
          <w:szCs w:val="19"/>
        </w:rPr>
        <w:t>dwóch poprzednich edycjach badania.</w:t>
      </w:r>
      <w:r w:rsidR="005F6903" w:rsidRPr="00D035ED">
        <w:t xml:space="preserve"> </w:t>
      </w:r>
      <w:r w:rsidR="004523B3" w:rsidRPr="00D035ED">
        <w:rPr>
          <w:rFonts w:ascii="Fira Sans" w:hAnsi="Fira Sans"/>
          <w:bCs/>
          <w:sz w:val="19"/>
          <w:szCs w:val="19"/>
        </w:rPr>
        <w:t>Największe obawy o przyszłą kondycję</w:t>
      </w:r>
      <w:r w:rsidR="004523B3">
        <w:rPr>
          <w:rFonts w:ascii="Fira Sans" w:hAnsi="Fira Sans"/>
          <w:bCs/>
          <w:sz w:val="19"/>
          <w:szCs w:val="19"/>
        </w:rPr>
        <w:t xml:space="preserve"> gospodarstw </w:t>
      </w:r>
      <w:r w:rsidR="000C0392">
        <w:rPr>
          <w:rFonts w:ascii="Fira Sans" w:hAnsi="Fira Sans"/>
          <w:bCs/>
          <w:sz w:val="19"/>
          <w:szCs w:val="19"/>
        </w:rPr>
        <w:t>i </w:t>
      </w:r>
      <w:r w:rsidR="00EA6211">
        <w:rPr>
          <w:rFonts w:ascii="Fira Sans" w:hAnsi="Fira Sans"/>
          <w:bCs/>
          <w:sz w:val="19"/>
          <w:szCs w:val="19"/>
        </w:rPr>
        <w:t xml:space="preserve">opłacalność produkcji </w:t>
      </w:r>
      <w:r w:rsidR="005F6903">
        <w:rPr>
          <w:rFonts w:ascii="Fira Sans" w:hAnsi="Fira Sans"/>
          <w:bCs/>
          <w:sz w:val="19"/>
          <w:szCs w:val="19"/>
        </w:rPr>
        <w:t xml:space="preserve">wyrazili </w:t>
      </w:r>
      <w:r w:rsidR="005F6903" w:rsidRPr="005F6903">
        <w:rPr>
          <w:rFonts w:ascii="Fira Sans" w:hAnsi="Fira Sans"/>
          <w:bCs/>
          <w:sz w:val="19"/>
          <w:szCs w:val="19"/>
        </w:rPr>
        <w:t xml:space="preserve">użytkownicy </w:t>
      </w:r>
      <w:r w:rsidR="00D37939">
        <w:rPr>
          <w:rFonts w:ascii="Fira Sans" w:hAnsi="Fira Sans"/>
          <w:bCs/>
          <w:sz w:val="19"/>
          <w:szCs w:val="19"/>
        </w:rPr>
        <w:t>gospodarstw</w:t>
      </w:r>
      <w:r w:rsidR="004523B3">
        <w:rPr>
          <w:rFonts w:ascii="Fira Sans" w:hAnsi="Fira Sans"/>
          <w:bCs/>
          <w:sz w:val="19"/>
          <w:szCs w:val="19"/>
        </w:rPr>
        <w:t xml:space="preserve"> </w:t>
      </w:r>
      <w:r w:rsidR="005F6903">
        <w:rPr>
          <w:rFonts w:ascii="Fira Sans" w:hAnsi="Fira Sans"/>
          <w:bCs/>
          <w:sz w:val="19"/>
          <w:szCs w:val="19"/>
        </w:rPr>
        <w:t xml:space="preserve">wielokierunkowych, a </w:t>
      </w:r>
      <w:r w:rsidR="004523B3">
        <w:rPr>
          <w:rFonts w:ascii="Fira Sans" w:hAnsi="Fira Sans"/>
          <w:bCs/>
          <w:sz w:val="19"/>
          <w:szCs w:val="19"/>
        </w:rPr>
        <w:t>najmniej pesymistyczni byli kierują</w:t>
      </w:r>
      <w:r w:rsidR="00F7650F">
        <w:rPr>
          <w:rFonts w:ascii="Fira Sans" w:hAnsi="Fira Sans"/>
          <w:bCs/>
          <w:sz w:val="19"/>
          <w:szCs w:val="19"/>
        </w:rPr>
        <w:t xml:space="preserve">cy gospodarstwami </w:t>
      </w:r>
      <w:r w:rsidR="004523B3">
        <w:rPr>
          <w:rFonts w:ascii="Fira Sans" w:hAnsi="Fira Sans"/>
          <w:bCs/>
          <w:sz w:val="19"/>
          <w:szCs w:val="19"/>
        </w:rPr>
        <w:t>ukierunkowanymi</w:t>
      </w:r>
      <w:r w:rsidR="00CA14E6">
        <w:rPr>
          <w:rFonts w:ascii="Fira Sans" w:hAnsi="Fira Sans"/>
          <w:bCs/>
          <w:sz w:val="19"/>
          <w:szCs w:val="19"/>
        </w:rPr>
        <w:t xml:space="preserve"> na produkcję zwierzęcą. Naj</w:t>
      </w:r>
      <w:r w:rsidR="00C064E4">
        <w:rPr>
          <w:rFonts w:ascii="Fira Sans" w:hAnsi="Fira Sans"/>
          <w:bCs/>
          <w:sz w:val="19"/>
          <w:szCs w:val="19"/>
        </w:rPr>
        <w:t xml:space="preserve">bardziej negatywne </w:t>
      </w:r>
      <w:r w:rsidR="00CA14E6">
        <w:rPr>
          <w:rFonts w:ascii="Fira Sans" w:hAnsi="Fira Sans"/>
          <w:bCs/>
          <w:sz w:val="19"/>
          <w:szCs w:val="19"/>
        </w:rPr>
        <w:t>prognozy</w:t>
      </w:r>
      <w:r w:rsidR="00F358F8">
        <w:rPr>
          <w:rFonts w:ascii="Fira Sans" w:hAnsi="Fira Sans"/>
          <w:bCs/>
          <w:sz w:val="19"/>
          <w:szCs w:val="19"/>
        </w:rPr>
        <w:t xml:space="preserve"> </w:t>
      </w:r>
      <w:r w:rsidR="00C67861" w:rsidRPr="00D035ED">
        <w:rPr>
          <w:rFonts w:ascii="Fira Sans" w:hAnsi="Fira Sans"/>
          <w:bCs/>
          <w:sz w:val="19"/>
          <w:szCs w:val="19"/>
        </w:rPr>
        <w:t>ogólnej sytuacji</w:t>
      </w:r>
      <w:r w:rsidR="00D37939">
        <w:rPr>
          <w:rFonts w:ascii="Fira Sans" w:hAnsi="Fira Sans"/>
          <w:bCs/>
          <w:sz w:val="19"/>
          <w:szCs w:val="19"/>
        </w:rPr>
        <w:t xml:space="preserve"> gospodarstwa rolnego</w:t>
      </w:r>
      <w:r w:rsidR="00C67861">
        <w:rPr>
          <w:rFonts w:ascii="Fira Sans" w:hAnsi="Fira Sans"/>
          <w:bCs/>
          <w:sz w:val="19"/>
          <w:szCs w:val="19"/>
        </w:rPr>
        <w:t xml:space="preserve"> </w:t>
      </w:r>
      <w:r w:rsidR="00F358F8">
        <w:rPr>
          <w:rFonts w:ascii="Fira Sans" w:hAnsi="Fira Sans"/>
          <w:bCs/>
          <w:sz w:val="19"/>
          <w:szCs w:val="19"/>
        </w:rPr>
        <w:t xml:space="preserve">wyrazili </w:t>
      </w:r>
      <w:r w:rsidR="005F6903" w:rsidRPr="005F6903">
        <w:rPr>
          <w:rFonts w:ascii="Fira Sans" w:hAnsi="Fira Sans"/>
          <w:bCs/>
          <w:sz w:val="19"/>
          <w:szCs w:val="19"/>
        </w:rPr>
        <w:t xml:space="preserve">prowadzący </w:t>
      </w:r>
      <w:r w:rsidR="00F7650F">
        <w:rPr>
          <w:rFonts w:ascii="Fira Sans" w:hAnsi="Fira Sans"/>
          <w:bCs/>
          <w:sz w:val="19"/>
          <w:szCs w:val="19"/>
        </w:rPr>
        <w:t xml:space="preserve">chów trzody chlewnej i owiec, a także prowadzący </w:t>
      </w:r>
      <w:r w:rsidR="005F6903" w:rsidRPr="005F6903">
        <w:rPr>
          <w:rFonts w:ascii="Fira Sans" w:hAnsi="Fira Sans"/>
          <w:bCs/>
          <w:sz w:val="19"/>
          <w:szCs w:val="19"/>
        </w:rPr>
        <w:t>uprawy buraków cukrowych</w:t>
      </w:r>
      <w:r w:rsidR="00F7650F">
        <w:rPr>
          <w:rFonts w:ascii="Fira Sans" w:hAnsi="Fira Sans"/>
          <w:bCs/>
          <w:sz w:val="19"/>
          <w:szCs w:val="19"/>
        </w:rPr>
        <w:t>,</w:t>
      </w:r>
      <w:r w:rsidR="00C579CE">
        <w:rPr>
          <w:rFonts w:ascii="Fira Sans" w:hAnsi="Fira Sans"/>
          <w:bCs/>
          <w:sz w:val="19"/>
          <w:szCs w:val="19"/>
        </w:rPr>
        <w:t xml:space="preserve"> oraz</w:t>
      </w:r>
      <w:r w:rsidR="00F7650F">
        <w:rPr>
          <w:rFonts w:ascii="Fira Sans" w:hAnsi="Fira Sans"/>
          <w:bCs/>
          <w:sz w:val="19"/>
          <w:szCs w:val="19"/>
        </w:rPr>
        <w:t xml:space="preserve"> </w:t>
      </w:r>
      <w:r w:rsidR="00C579CE">
        <w:rPr>
          <w:rFonts w:ascii="Fira Sans" w:hAnsi="Fira Sans"/>
          <w:bCs/>
          <w:sz w:val="19"/>
          <w:szCs w:val="19"/>
        </w:rPr>
        <w:t xml:space="preserve">rzepaku i rzepiku. </w:t>
      </w:r>
      <w:r w:rsidR="00EA6211">
        <w:rPr>
          <w:rFonts w:ascii="Fira Sans" w:hAnsi="Fira Sans"/>
          <w:bCs/>
          <w:sz w:val="19"/>
          <w:szCs w:val="19"/>
        </w:rPr>
        <w:t xml:space="preserve">Natomiast za </w:t>
      </w:r>
      <w:r w:rsidR="00EA6211" w:rsidRPr="002E7990">
        <w:rPr>
          <w:rFonts w:ascii="Fira Sans" w:hAnsi="Fira Sans"/>
          <w:bCs/>
          <w:sz w:val="19"/>
          <w:szCs w:val="19"/>
        </w:rPr>
        <w:t>n</w:t>
      </w:r>
      <w:r w:rsidR="006D4940">
        <w:rPr>
          <w:rFonts w:ascii="Fira Sans" w:hAnsi="Fira Sans"/>
          <w:bCs/>
          <w:sz w:val="19"/>
          <w:szCs w:val="19"/>
        </w:rPr>
        <w:t>ieopłacalną produkcję rolniczą</w:t>
      </w:r>
      <w:r w:rsidR="00EA6211" w:rsidRPr="002E7990">
        <w:rPr>
          <w:rFonts w:ascii="Fira Sans" w:hAnsi="Fira Sans"/>
          <w:bCs/>
          <w:sz w:val="19"/>
          <w:szCs w:val="19"/>
        </w:rPr>
        <w:t xml:space="preserve"> </w:t>
      </w:r>
      <w:r w:rsidR="006D4940">
        <w:rPr>
          <w:rFonts w:ascii="Fira Sans" w:hAnsi="Fira Sans"/>
          <w:bCs/>
          <w:sz w:val="19"/>
          <w:szCs w:val="19"/>
        </w:rPr>
        <w:t>kierujący</w:t>
      </w:r>
      <w:r w:rsidR="00EA6211" w:rsidRPr="002E7990">
        <w:rPr>
          <w:rFonts w:ascii="Fira Sans" w:hAnsi="Fira Sans"/>
          <w:bCs/>
          <w:sz w:val="19"/>
          <w:szCs w:val="19"/>
        </w:rPr>
        <w:t xml:space="preserve"> </w:t>
      </w:r>
      <w:r w:rsidR="006D4940">
        <w:rPr>
          <w:rFonts w:ascii="Fira Sans" w:hAnsi="Fira Sans"/>
          <w:bCs/>
          <w:sz w:val="19"/>
          <w:szCs w:val="19"/>
        </w:rPr>
        <w:t>gospodarstwami rolnymi wskazali</w:t>
      </w:r>
      <w:r w:rsidR="00E91EBC" w:rsidRPr="002E7990">
        <w:rPr>
          <w:rFonts w:ascii="Fira Sans" w:hAnsi="Fira Sans"/>
          <w:bCs/>
          <w:sz w:val="19"/>
          <w:szCs w:val="19"/>
        </w:rPr>
        <w:t xml:space="preserve"> </w:t>
      </w:r>
      <w:r w:rsidR="00EA6211" w:rsidRPr="002E7990">
        <w:rPr>
          <w:rFonts w:ascii="Fira Sans" w:hAnsi="Fira Sans"/>
          <w:bCs/>
          <w:sz w:val="19"/>
          <w:szCs w:val="19"/>
        </w:rPr>
        <w:t xml:space="preserve">chów owiec i </w:t>
      </w:r>
      <w:r w:rsidR="00E91EBC" w:rsidRPr="002E7990">
        <w:rPr>
          <w:rFonts w:ascii="Fira Sans" w:hAnsi="Fira Sans"/>
          <w:bCs/>
          <w:sz w:val="19"/>
          <w:szCs w:val="19"/>
        </w:rPr>
        <w:t>drobiu – brojlery</w:t>
      </w:r>
      <w:r w:rsidR="00DB29CE">
        <w:rPr>
          <w:rFonts w:ascii="Fira Sans" w:hAnsi="Fira Sans"/>
          <w:bCs/>
          <w:sz w:val="19"/>
          <w:szCs w:val="19"/>
        </w:rPr>
        <w:t>,</w:t>
      </w:r>
      <w:r w:rsidR="00E91EBC" w:rsidRPr="002E7990">
        <w:rPr>
          <w:rFonts w:ascii="Fira Sans" w:hAnsi="Fira Sans"/>
          <w:bCs/>
          <w:sz w:val="19"/>
          <w:szCs w:val="19"/>
        </w:rPr>
        <w:t xml:space="preserve"> </w:t>
      </w:r>
      <w:r w:rsidR="00EA6211" w:rsidRPr="002E7990">
        <w:rPr>
          <w:rFonts w:ascii="Fira Sans" w:hAnsi="Fira Sans"/>
          <w:bCs/>
          <w:sz w:val="19"/>
          <w:szCs w:val="19"/>
        </w:rPr>
        <w:t>trzody chlewnej, a także uprawę buraków</w:t>
      </w:r>
      <w:r w:rsidR="00EA6211">
        <w:rPr>
          <w:rFonts w:ascii="Fira Sans" w:hAnsi="Fira Sans"/>
          <w:bCs/>
          <w:sz w:val="19"/>
          <w:szCs w:val="19"/>
        </w:rPr>
        <w:t xml:space="preserve"> cukrowych i roślin </w:t>
      </w:r>
      <w:r w:rsidR="00462D22">
        <w:rPr>
          <w:rFonts w:ascii="Fira Sans" w:hAnsi="Fira Sans"/>
          <w:bCs/>
          <w:sz w:val="19"/>
          <w:szCs w:val="19"/>
        </w:rPr>
        <w:t>przemysłowych.</w:t>
      </w:r>
      <w:r w:rsidR="00462D22" w:rsidRPr="00462D22">
        <w:rPr>
          <w:b/>
          <w:spacing w:val="-2"/>
        </w:rPr>
        <w:t xml:space="preserve"> </w:t>
      </w:r>
    </w:p>
    <w:p w14:paraId="48FB2CEC" w14:textId="3DB68ED3" w:rsidR="00B05B24" w:rsidRPr="00B05B24" w:rsidRDefault="000C7BAA" w:rsidP="00DB0C17">
      <w:pPr>
        <w:spacing w:before="120" w:after="120"/>
        <w:rPr>
          <w:rFonts w:ascii="Fira Sans" w:hAnsi="Fira Sans"/>
          <w:sz w:val="19"/>
          <w:szCs w:val="19"/>
        </w:rPr>
      </w:pPr>
      <w:r w:rsidRPr="0064579F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2992512" behindDoc="1" locked="0" layoutInCell="1" allowOverlap="1" wp14:anchorId="60392007" wp14:editId="68043A95">
                <wp:simplePos x="0" y="0"/>
                <wp:positionH relativeFrom="margin">
                  <wp:posOffset>5301615</wp:posOffset>
                </wp:positionH>
                <wp:positionV relativeFrom="paragraph">
                  <wp:posOffset>132715</wp:posOffset>
                </wp:positionV>
                <wp:extent cx="1783715" cy="2108200"/>
                <wp:effectExtent l="0" t="0" r="0" b="6350"/>
                <wp:wrapTight wrapText="bothSides">
                  <wp:wrapPolygon edited="0">
                    <wp:start x="692" y="0"/>
                    <wp:lineTo x="692" y="21470"/>
                    <wp:lineTo x="20762" y="21470"/>
                    <wp:lineTo x="20762" y="0"/>
                    <wp:lineTo x="69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583C" w14:textId="49915D1F" w:rsidR="00E14EFF" w:rsidRPr="000C7BAA" w:rsidRDefault="00E14EFF" w:rsidP="00462D22">
                            <w:pPr>
                              <w:spacing w:before="120" w:after="120"/>
                              <w:rPr>
                                <w:rFonts w:ascii="Fira Sans" w:hAnsi="Fira Sans"/>
                                <w:color w:val="001D77"/>
                                <w:spacing w:val="-2"/>
                                <w:sz w:val="18"/>
                                <w:szCs w:val="19"/>
                              </w:rPr>
                            </w:pPr>
                            <w:r w:rsidRPr="000C7BAA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51,5% rolników pro</w:t>
                            </w:r>
                            <w:r w:rsidR="00722E61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wadzących chów owiec uznało, że </w:t>
                            </w:r>
                            <w:r w:rsidRPr="000C7BAA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op</w:t>
                            </w:r>
                            <w:r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łacalność produkcji rolniczej w </w:t>
                            </w:r>
                            <w:r w:rsidRPr="000C7BAA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najbliższym półroczu pogorszy się, a 5,3%</w:t>
                            </w:r>
                            <w:r w:rsidR="00722E61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 xml:space="preserve">, </w:t>
                            </w:r>
                            <w:r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że </w:t>
                            </w:r>
                            <w:r w:rsidR="00722E61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 xml:space="preserve">się </w:t>
                            </w:r>
                            <w:r w:rsidRPr="000C7BAA">
                              <w:rPr>
                                <w:rFonts w:ascii="Fira Sans" w:eastAsia="Calibri" w:hAnsi="Fira Sans" w:cs="Times New Roman"/>
                                <w:bCs/>
                                <w:color w:val="001D77"/>
                                <w:sz w:val="18"/>
                                <w:szCs w:val="19"/>
                              </w:rPr>
                              <w:t>poprawi. Pozostali odpowiedzieli, że pozostanie bez zmian.</w:t>
                            </w:r>
                          </w:p>
                          <w:p w14:paraId="3ADED94D" w14:textId="77777777" w:rsidR="00E14EFF" w:rsidRPr="005429D3" w:rsidRDefault="00E14EFF" w:rsidP="00462D22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92007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3" type="#_x0000_t202" style="position:absolute;margin-left:417.45pt;margin-top:10.45pt;width:140.45pt;height:166pt;z-index:-25032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OxEQIAAP8DAAAOAAAAZHJzL2Uyb0RvYy54bWysU9Fu2yAUfZ+0f0C8L7azZEmtkKpr12lS&#10;t1Vq9wEE4xgVuAxI7Ozre8FpGm1v1fyAwPfec+85HFaXg9FkL31QYBmtJiUl0gpolN0y+uvx9sOS&#10;khC5bbgGKxk9yEAv1+/frXpXyyl0oBvpCYLYUPeO0S5GVxdFEJ00PEzASYvBFrzhEY9+WzSe94hu&#10;dDEty09FD75xHoQMAf/ejEG6zvhtK0X82bZBRqIZxdliXn1eN2kt1itebz13nRLHMfgbpjBcWWx6&#10;grrhkZOdV/9AGSU8BGjjRIApoG2VkJkDsqnKv9g8dNzJzAXFCe4kU/h/sOLH/t4T1TC6oMRyg1d0&#10;D1qSKJ9ChF6SRZKod6HGzAeHuXH4DANedaYb3B2Ip0AsXHfcbuWV99B3kjc4YpUqi7PSESckkE3/&#10;HRrsxXcRMtDQepP0Q0UIouNVHU7XI4dIRGq5WH5cVHNKBMamVblEA+QevH4pdz7ErxIMSRtGPd5/&#10;huf7uxDTOLx+SUndLNwqrbMHtCU9oxfz6TwXnEWMimhRrQyjyzJ9o2kSyy+2ycWRKz3usYG2R9qJ&#10;6cg5DpvhKDLmJ0k20BxQBw+jI/EF4aYD/4eSHt3IaPi9415Sor9Z1PKims2SffNhNl9M8eDPI5vz&#10;CLcCoRiNlIzb65gtP1K+Qs1bldV4neQ4Mrosi3R8EcnG5+ec9fpu188AAAD//wMAUEsDBBQABgAI&#10;AAAAIQBqcoOW3wAAAAsBAAAPAAAAZHJzL2Rvd25yZXYueG1sTI/BTsMwDIbvSLxDZCRuLGm3orXU&#10;nRCIK4jBJnHLmqytaJyqydby9ngnOFmWP/3+/nIzu16c7Rg6TwjJQoGwVHvTUYPw+fFytwYRoiaj&#10;e08W4ccG2FTXV6UujJ/o3Z63sREcQqHQCG2MQyFlqFvrdFj4wRLfjn50OvI6NtKMeuJw18tUqXvp&#10;dEf8odWDfWpt/b09OYTd6/Frv1JvzbPLhsnPSpLLJeLtzfz4ACLaOf7BcNFndajY6eBPZILoEdbL&#10;Vc4oQqp4XoAkybjMAWGZpTnIqpT/O1S/AAAA//8DAFBLAQItABQABgAIAAAAIQC2gziS/gAAAOEB&#10;AAATAAAAAAAAAAAAAAAAAAAAAABbQ29udGVudF9UeXBlc10ueG1sUEsBAi0AFAAGAAgAAAAhADj9&#10;If/WAAAAlAEAAAsAAAAAAAAAAAAAAAAALwEAAF9yZWxzLy5yZWxzUEsBAi0AFAAGAAgAAAAhAFXI&#10;Y7ERAgAA/wMAAA4AAAAAAAAAAAAAAAAALgIAAGRycy9lMm9Eb2MueG1sUEsBAi0AFAAGAAgAAAAh&#10;AGpyg5bfAAAACwEAAA8AAAAAAAAAAAAAAAAAawQAAGRycy9kb3ducmV2LnhtbFBLBQYAAAAABAAE&#10;APMAAAB3BQAAAAA=&#10;" filled="f" stroked="f">
                <v:textbox>
                  <w:txbxContent>
                    <w:p w14:paraId="616D583C" w14:textId="49915D1F" w:rsidR="00E14EFF" w:rsidRPr="000C7BAA" w:rsidRDefault="00E14EFF" w:rsidP="00462D22">
                      <w:pPr>
                        <w:spacing w:before="120" w:after="120"/>
                        <w:rPr>
                          <w:rFonts w:ascii="Fira Sans" w:hAnsi="Fira Sans"/>
                          <w:color w:val="001D77"/>
                          <w:spacing w:val="-2"/>
                          <w:sz w:val="18"/>
                          <w:szCs w:val="19"/>
                        </w:rPr>
                      </w:pPr>
                      <w:r w:rsidRPr="000C7BAA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51,5% rolników pro</w:t>
                      </w:r>
                      <w:r w:rsidR="00722E61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wadzących chów owiec uznało, że </w:t>
                      </w:r>
                      <w:r w:rsidRPr="000C7BAA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op</w:t>
                      </w:r>
                      <w:r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łacalność produkcji rolniczej w </w:t>
                      </w:r>
                      <w:r w:rsidRPr="000C7BAA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najbliższym półroczu pogorszy się, a 5,3%</w:t>
                      </w:r>
                      <w:r w:rsidR="00722E61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 xml:space="preserve">, </w:t>
                      </w:r>
                      <w:r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że </w:t>
                      </w:r>
                      <w:r w:rsidR="00722E61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 xml:space="preserve">się </w:t>
                      </w:r>
                      <w:r w:rsidRPr="000C7BAA">
                        <w:rPr>
                          <w:rFonts w:ascii="Fira Sans" w:eastAsia="Calibri" w:hAnsi="Fira Sans" w:cs="Times New Roman"/>
                          <w:bCs/>
                          <w:color w:val="001D77"/>
                          <w:sz w:val="18"/>
                          <w:szCs w:val="19"/>
                        </w:rPr>
                        <w:t>poprawi. Pozostali odpowiedzieli, że pozostanie bez zmian.</w:t>
                      </w:r>
                    </w:p>
                    <w:p w14:paraId="3ADED94D" w14:textId="77777777" w:rsidR="00E14EFF" w:rsidRPr="005429D3" w:rsidRDefault="00E14EFF" w:rsidP="00462D22">
                      <w:pPr>
                        <w:pStyle w:val="tekstzboku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358F8">
        <w:rPr>
          <w:rFonts w:ascii="Fira Sans" w:hAnsi="Fira Sans"/>
          <w:sz w:val="19"/>
          <w:szCs w:val="19"/>
        </w:rPr>
        <w:t>Kierujący gospodarstwami ukierunkowanymi na produkcję roślinną wyrażali najbardziej niekorzystne opinie odnośnie zmiany popytu na wytwarzane przez te jednostki produkty rolne</w:t>
      </w:r>
      <w:r w:rsidR="00DE6E09">
        <w:rPr>
          <w:rFonts w:ascii="Fira Sans" w:hAnsi="Fira Sans"/>
          <w:sz w:val="19"/>
          <w:szCs w:val="19"/>
        </w:rPr>
        <w:t xml:space="preserve"> w I półroczu 2024 r.</w:t>
      </w:r>
      <w:r w:rsidR="00F358F8">
        <w:rPr>
          <w:rFonts w:ascii="Fira Sans" w:hAnsi="Fira Sans"/>
          <w:sz w:val="19"/>
          <w:szCs w:val="19"/>
        </w:rPr>
        <w:t xml:space="preserve">, </w:t>
      </w:r>
      <w:r w:rsidR="00F358F8" w:rsidRPr="002E7990">
        <w:rPr>
          <w:rFonts w:ascii="Fira Sans" w:hAnsi="Fira Sans"/>
          <w:sz w:val="19"/>
          <w:szCs w:val="19"/>
        </w:rPr>
        <w:t xml:space="preserve">natomiast </w:t>
      </w:r>
      <w:r w:rsidR="004A6C60">
        <w:rPr>
          <w:rFonts w:ascii="Fira Sans" w:hAnsi="Fira Sans"/>
          <w:sz w:val="19"/>
          <w:szCs w:val="19"/>
        </w:rPr>
        <w:t>n</w:t>
      </w:r>
      <w:r w:rsidR="004A6C60" w:rsidRPr="004A6C60">
        <w:rPr>
          <w:rFonts w:ascii="Fira Sans" w:hAnsi="Fira Sans"/>
          <w:sz w:val="19"/>
          <w:szCs w:val="19"/>
        </w:rPr>
        <w:t xml:space="preserve">ajmniej pesymistyczne kierujący </w:t>
      </w:r>
      <w:r w:rsidR="00F358F8">
        <w:rPr>
          <w:rFonts w:ascii="Fira Sans" w:hAnsi="Fira Sans"/>
          <w:sz w:val="19"/>
          <w:szCs w:val="19"/>
        </w:rPr>
        <w:t>jednostkami specjalizującym</w:t>
      </w:r>
      <w:r w:rsidR="0087080B">
        <w:rPr>
          <w:rFonts w:ascii="Fira Sans" w:hAnsi="Fira Sans"/>
          <w:sz w:val="19"/>
          <w:szCs w:val="19"/>
        </w:rPr>
        <w:t xml:space="preserve">i się w produkcji zwierzęcej. </w:t>
      </w:r>
      <w:r w:rsidR="00F358F8">
        <w:rPr>
          <w:rFonts w:ascii="Fira Sans" w:hAnsi="Fira Sans"/>
          <w:sz w:val="19"/>
          <w:szCs w:val="19"/>
        </w:rPr>
        <w:t xml:space="preserve">Najbardziej pesymistyczne oceny przyszłego popytu </w:t>
      </w:r>
      <w:r w:rsidR="00542E9F" w:rsidRPr="00623F4D">
        <w:rPr>
          <w:rFonts w:ascii="Fira Sans" w:hAnsi="Fira Sans"/>
          <w:sz w:val="19"/>
          <w:szCs w:val="19"/>
        </w:rPr>
        <w:t>wyrazili rolnicy</w:t>
      </w:r>
      <w:r w:rsidR="00153AB1">
        <w:rPr>
          <w:rFonts w:ascii="Fira Sans" w:hAnsi="Fira Sans"/>
          <w:sz w:val="19"/>
          <w:szCs w:val="19"/>
        </w:rPr>
        <w:t xml:space="preserve"> zajmując</w:t>
      </w:r>
      <w:r w:rsidR="0063612A">
        <w:rPr>
          <w:rFonts w:ascii="Fira Sans" w:hAnsi="Fira Sans"/>
          <w:sz w:val="19"/>
          <w:szCs w:val="19"/>
        </w:rPr>
        <w:t xml:space="preserve">y się uprawą buraków cukrowych </w:t>
      </w:r>
      <w:r w:rsidR="00153AB1">
        <w:rPr>
          <w:rFonts w:ascii="Fira Sans" w:hAnsi="Fira Sans"/>
          <w:sz w:val="19"/>
          <w:szCs w:val="19"/>
        </w:rPr>
        <w:t>ora</w:t>
      </w:r>
      <w:r w:rsidR="003967C2">
        <w:rPr>
          <w:rFonts w:ascii="Fira Sans" w:hAnsi="Fira Sans"/>
          <w:sz w:val="19"/>
          <w:szCs w:val="19"/>
        </w:rPr>
        <w:t>z rzepaku i rzepiku, a </w:t>
      </w:r>
      <w:r w:rsidR="00153AB1">
        <w:rPr>
          <w:rFonts w:ascii="Fira Sans" w:hAnsi="Fira Sans"/>
          <w:sz w:val="19"/>
          <w:szCs w:val="19"/>
        </w:rPr>
        <w:t>także hodowcy owiec i brojlerów.</w:t>
      </w:r>
    </w:p>
    <w:p w14:paraId="66F73658" w14:textId="77777777" w:rsidR="00224302" w:rsidRPr="000C7BAA" w:rsidRDefault="00717A15" w:rsidP="00765532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</w:pPr>
      <w:r>
        <w:rPr>
          <w:rFonts w:ascii="Fira Sans" w:hAnsi="Fira Sans"/>
          <w:b/>
          <w:spacing w:val="-2"/>
          <w:sz w:val="19"/>
          <w:szCs w:val="19"/>
        </w:rPr>
        <w:t>Wykres 7</w:t>
      </w:r>
      <w:r w:rsidR="00623F4D" w:rsidRPr="000C7BAA">
        <w:rPr>
          <w:rFonts w:ascii="Fira Sans" w:hAnsi="Fira Sans"/>
          <w:b/>
          <w:spacing w:val="-2"/>
          <w:sz w:val="19"/>
          <w:szCs w:val="19"/>
        </w:rPr>
        <w:t>. Salda odpowiedzi dotyczące prognozowanej w I półroczu</w:t>
      </w:r>
      <w:r w:rsidR="00187851" w:rsidRPr="000C7BAA">
        <w:rPr>
          <w:rFonts w:ascii="Fira Sans" w:hAnsi="Fira Sans"/>
          <w:b/>
          <w:spacing w:val="-2"/>
          <w:sz w:val="19"/>
          <w:szCs w:val="19"/>
        </w:rPr>
        <w:t xml:space="preserve"> 2024 r.</w:t>
      </w:r>
      <w:r w:rsidR="00623F4D" w:rsidRPr="000C7BAA">
        <w:rPr>
          <w:rFonts w:ascii="Fira Sans" w:hAnsi="Fira Sans"/>
          <w:b/>
          <w:spacing w:val="-2"/>
          <w:sz w:val="19"/>
          <w:szCs w:val="19"/>
        </w:rPr>
        <w:t xml:space="preserve"> sytuacji ogólnej gospodarstw rolnych, opłacalności produkcji rolniczej i popytu na produkty rolne</w:t>
      </w:r>
    </w:p>
    <w:p w14:paraId="34ECBB4A" w14:textId="77777777" w:rsidR="00E86C4D" w:rsidRDefault="00AE19FD" w:rsidP="00623F4D">
      <w:pPr>
        <w:spacing w:line="259" w:lineRule="auto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inline distT="0" distB="0" distL="0" distR="0" wp14:anchorId="1A447E13" wp14:editId="50A56D47">
            <wp:extent cx="5122545" cy="2719070"/>
            <wp:effectExtent l="0" t="0" r="1905" b="5080"/>
            <wp:docPr id="24" name="Wykres 24" descr="Salda odpowiedzi dotyczące prognozowanej w &#10;II półroczu sytuacji ogólnej gospodarstw rolnych, opłacalności produkcji rolniczej i popytu na produkty rolne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32D9BF3" w14:textId="77777777" w:rsidR="00623F4D" w:rsidRPr="000C7BAA" w:rsidRDefault="00623F4D" w:rsidP="00623F4D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</w:pPr>
      <w:r w:rsidRPr="000C7BAA">
        <w:rPr>
          <w:rFonts w:ascii="Fira Sans" w:hAnsi="Fira Sans"/>
          <w:b/>
          <w:spacing w:val="-2"/>
          <w:sz w:val="19"/>
          <w:szCs w:val="19"/>
        </w:rPr>
        <w:t>Źródła finansowania i inwestycje</w:t>
      </w:r>
    </w:p>
    <w:p w14:paraId="745C56ED" w14:textId="22A3408B" w:rsidR="00FA4459" w:rsidRDefault="002768C6" w:rsidP="00C73C19">
      <w:pPr>
        <w:spacing w:line="259" w:lineRule="auto"/>
        <w:rPr>
          <w:rFonts w:ascii="Fira Sans" w:hAnsi="Fira Sans"/>
          <w:spacing w:val="-2"/>
          <w:sz w:val="19"/>
          <w:szCs w:val="19"/>
        </w:rPr>
      </w:pPr>
      <w:r w:rsidRPr="002768C6">
        <w:rPr>
          <w:rFonts w:ascii="Fira Sans" w:hAnsi="Fira Sans"/>
          <w:spacing w:val="-2"/>
          <w:sz w:val="19"/>
          <w:szCs w:val="19"/>
        </w:rPr>
        <w:t>W 2023 r. 53,6% użytkowników gospodarstw rolnych wskazało, że głównym źródłem finansowania gospodarstwa były środki własne (</w:t>
      </w:r>
      <w:r w:rsidR="00B81F95">
        <w:rPr>
          <w:rFonts w:ascii="Fira Sans" w:hAnsi="Fira Sans"/>
          <w:spacing w:val="-2"/>
          <w:sz w:val="19"/>
          <w:szCs w:val="19"/>
        </w:rPr>
        <w:t>spadek</w:t>
      </w:r>
      <w:r w:rsidR="00D06AC9">
        <w:rPr>
          <w:rFonts w:ascii="Fira Sans" w:hAnsi="Fira Sans"/>
          <w:spacing w:val="-2"/>
          <w:sz w:val="19"/>
          <w:szCs w:val="19"/>
        </w:rPr>
        <w:t xml:space="preserve"> o 2,9</w:t>
      </w:r>
      <w:r w:rsidR="003E1EC1">
        <w:rPr>
          <w:rFonts w:ascii="Fira Sans" w:hAnsi="Fira Sans"/>
          <w:spacing w:val="-2"/>
          <w:sz w:val="19"/>
          <w:szCs w:val="19"/>
        </w:rPr>
        <w:t xml:space="preserve"> </w:t>
      </w:r>
      <w:r w:rsidRPr="002768C6">
        <w:rPr>
          <w:rFonts w:ascii="Fira Sans" w:hAnsi="Fira Sans"/>
          <w:spacing w:val="-2"/>
          <w:sz w:val="19"/>
          <w:szCs w:val="19"/>
        </w:rPr>
        <w:t xml:space="preserve">p. proc. w stosunku do 2022 r.). </w:t>
      </w:r>
      <w:r w:rsidR="00C73C19" w:rsidRPr="000C7BAA">
        <w:rPr>
          <w:rFonts w:ascii="Fira Sans" w:hAnsi="Fira Sans"/>
          <w:spacing w:val="-2"/>
          <w:sz w:val="19"/>
          <w:szCs w:val="19"/>
        </w:rPr>
        <w:t xml:space="preserve">Pomoc unijna była drugim ważnym źródłem finansowania, którą wskazało </w:t>
      </w:r>
      <w:r w:rsidR="00452A39">
        <w:rPr>
          <w:rFonts w:ascii="Fira Sans" w:hAnsi="Fira Sans"/>
          <w:spacing w:val="-2"/>
          <w:sz w:val="19"/>
          <w:szCs w:val="19"/>
        </w:rPr>
        <w:t>39,8</w:t>
      </w:r>
      <w:r w:rsidR="00C73C19" w:rsidRPr="000C7BAA">
        <w:rPr>
          <w:rFonts w:ascii="Fira Sans" w:hAnsi="Fira Sans"/>
          <w:spacing w:val="-2"/>
          <w:sz w:val="19"/>
          <w:szCs w:val="19"/>
        </w:rPr>
        <w:t xml:space="preserve">% </w:t>
      </w:r>
      <w:r w:rsidR="00E14EFF">
        <w:rPr>
          <w:rFonts w:ascii="Fira Sans" w:hAnsi="Fira Sans"/>
          <w:spacing w:val="-2"/>
          <w:sz w:val="19"/>
          <w:szCs w:val="19"/>
        </w:rPr>
        <w:t>użytkowników gospodarstw (</w:t>
      </w:r>
      <w:r w:rsidR="00B81F95">
        <w:rPr>
          <w:rFonts w:ascii="Fira Sans" w:hAnsi="Fira Sans"/>
          <w:spacing w:val="-2"/>
          <w:sz w:val="19"/>
          <w:szCs w:val="19"/>
        </w:rPr>
        <w:t>wzrost o</w:t>
      </w:r>
      <w:r w:rsidR="001F5BB3">
        <w:rPr>
          <w:rFonts w:ascii="Fira Sans" w:hAnsi="Fira Sans"/>
          <w:spacing w:val="-2"/>
          <w:sz w:val="19"/>
          <w:szCs w:val="19"/>
        </w:rPr>
        <w:t xml:space="preserve"> 1,2 p. proc</w:t>
      </w:r>
      <w:r w:rsidR="00075563" w:rsidRPr="00075563">
        <w:t xml:space="preserve"> </w:t>
      </w:r>
      <w:r w:rsidR="00075563">
        <w:rPr>
          <w:rFonts w:ascii="Fira Sans" w:hAnsi="Fira Sans"/>
          <w:spacing w:val="-2"/>
          <w:sz w:val="19"/>
          <w:szCs w:val="19"/>
        </w:rPr>
        <w:t>w stosunku do 2022 r.)</w:t>
      </w:r>
      <w:r w:rsidR="00FA4459" w:rsidRPr="00FA4459">
        <w:t xml:space="preserve"> </w:t>
      </w:r>
      <w:r w:rsidR="00FA4459" w:rsidRPr="00FA4459">
        <w:rPr>
          <w:rFonts w:ascii="Fira Sans" w:hAnsi="Fira Sans"/>
          <w:spacing w:val="-2"/>
          <w:sz w:val="19"/>
          <w:szCs w:val="19"/>
        </w:rPr>
        <w:t>Z kredytów preferencyjnych i komercyjnych skorzys</w:t>
      </w:r>
      <w:r w:rsidR="001B2015">
        <w:rPr>
          <w:rFonts w:ascii="Fira Sans" w:hAnsi="Fira Sans"/>
          <w:spacing w:val="-2"/>
          <w:sz w:val="19"/>
          <w:szCs w:val="19"/>
        </w:rPr>
        <w:t>tało łącznie 6,6% (wzrost</w:t>
      </w:r>
      <w:r w:rsidR="00075563">
        <w:rPr>
          <w:rFonts w:ascii="Fira Sans" w:hAnsi="Fira Sans"/>
          <w:spacing w:val="-2"/>
          <w:sz w:val="19"/>
          <w:szCs w:val="19"/>
        </w:rPr>
        <w:t xml:space="preserve"> o 1,6</w:t>
      </w:r>
      <w:r w:rsidR="00B81F95">
        <w:rPr>
          <w:rFonts w:ascii="Fira Sans" w:hAnsi="Fira Sans"/>
          <w:spacing w:val="-2"/>
          <w:sz w:val="19"/>
          <w:szCs w:val="19"/>
        </w:rPr>
        <w:t xml:space="preserve"> p. proc</w:t>
      </w:r>
      <w:r w:rsidR="00075563">
        <w:rPr>
          <w:rFonts w:ascii="Fira Sans" w:hAnsi="Fira Sans"/>
          <w:spacing w:val="-2"/>
          <w:sz w:val="19"/>
          <w:szCs w:val="19"/>
        </w:rPr>
        <w:t xml:space="preserve"> w stosunku do 2022 r.) </w:t>
      </w:r>
      <w:r w:rsidR="00FA4459" w:rsidRPr="00FA4459">
        <w:rPr>
          <w:rFonts w:ascii="Fira Sans" w:hAnsi="Fira Sans"/>
          <w:spacing w:val="-2"/>
          <w:sz w:val="19"/>
          <w:szCs w:val="19"/>
        </w:rPr>
        <w:t>użytkowników gospodarstw rolnych</w:t>
      </w:r>
      <w:r w:rsidR="00FA4459">
        <w:rPr>
          <w:rFonts w:ascii="Fira Sans" w:hAnsi="Fira Sans"/>
          <w:spacing w:val="-2"/>
          <w:sz w:val="19"/>
          <w:szCs w:val="19"/>
        </w:rPr>
        <w:t>.</w:t>
      </w:r>
    </w:p>
    <w:p w14:paraId="6C1BAE42" w14:textId="6AC7FE2A" w:rsidR="00C73C19" w:rsidRPr="000C7BAA" w:rsidRDefault="00C73C19" w:rsidP="00C73C19">
      <w:pPr>
        <w:spacing w:line="259" w:lineRule="auto"/>
        <w:rPr>
          <w:rFonts w:ascii="Fira Sans" w:hAnsi="Fira Sans"/>
          <w:spacing w:val="-2"/>
          <w:sz w:val="19"/>
          <w:szCs w:val="19"/>
        </w:rPr>
      </w:pPr>
      <w:r w:rsidRPr="000C7BAA">
        <w:rPr>
          <w:rFonts w:ascii="Fira Sans" w:hAnsi="Fira Sans"/>
          <w:spacing w:val="-2"/>
          <w:sz w:val="19"/>
          <w:szCs w:val="19"/>
        </w:rPr>
        <w:t>Dla gospodarstw o p</w:t>
      </w:r>
      <w:r w:rsidR="003F5AB3">
        <w:rPr>
          <w:rFonts w:ascii="Fira Sans" w:hAnsi="Fira Sans"/>
          <w:spacing w:val="-2"/>
          <w:sz w:val="19"/>
          <w:szCs w:val="19"/>
        </w:rPr>
        <w:t>owierzchni do 30</w:t>
      </w:r>
      <w:r w:rsidRPr="000C7BAA">
        <w:rPr>
          <w:rFonts w:ascii="Fira Sans" w:hAnsi="Fira Sans"/>
          <w:spacing w:val="-2"/>
          <w:sz w:val="19"/>
          <w:szCs w:val="19"/>
        </w:rPr>
        <w:t xml:space="preserve"> ha głównym źródłem fina</w:t>
      </w:r>
      <w:r w:rsidR="00130519">
        <w:rPr>
          <w:rFonts w:ascii="Fira Sans" w:hAnsi="Fira Sans"/>
          <w:spacing w:val="-2"/>
          <w:sz w:val="19"/>
          <w:szCs w:val="19"/>
        </w:rPr>
        <w:t>n</w:t>
      </w:r>
      <w:r w:rsidRPr="000C7BAA">
        <w:rPr>
          <w:rFonts w:ascii="Fira Sans" w:hAnsi="Fira Sans"/>
          <w:spacing w:val="-2"/>
          <w:sz w:val="19"/>
          <w:szCs w:val="19"/>
        </w:rPr>
        <w:t xml:space="preserve">sowania według wskazań respondentów były środki </w:t>
      </w:r>
      <w:r w:rsidR="009F0255" w:rsidRPr="009F0255">
        <w:rPr>
          <w:rFonts w:ascii="Fira Sans" w:hAnsi="Fira Sans"/>
          <w:spacing w:val="-2"/>
          <w:sz w:val="19"/>
          <w:szCs w:val="19"/>
        </w:rPr>
        <w:t>własne</w:t>
      </w:r>
      <w:r w:rsidRPr="000C7BAA">
        <w:rPr>
          <w:rFonts w:ascii="Fira Sans" w:hAnsi="Fira Sans"/>
          <w:spacing w:val="-2"/>
          <w:sz w:val="19"/>
          <w:szCs w:val="19"/>
        </w:rPr>
        <w:t xml:space="preserve">. Natomiast najczęściej z pomocy unijnej przy prowadzeniu działalności rolniczej korzystały gospodarstwa o powierzchni </w:t>
      </w:r>
      <w:r w:rsidR="003F5AB3">
        <w:rPr>
          <w:rFonts w:ascii="Fira Sans" w:hAnsi="Fira Sans"/>
          <w:spacing w:val="-2"/>
          <w:sz w:val="19"/>
          <w:szCs w:val="19"/>
        </w:rPr>
        <w:t xml:space="preserve">od 2 </w:t>
      </w:r>
      <w:r w:rsidRPr="000C7BAA">
        <w:rPr>
          <w:rFonts w:ascii="Fira Sans" w:hAnsi="Fira Sans"/>
          <w:spacing w:val="-2"/>
          <w:sz w:val="19"/>
          <w:szCs w:val="19"/>
        </w:rPr>
        <w:t>ha</w:t>
      </w:r>
      <w:r w:rsidR="003F5AB3">
        <w:rPr>
          <w:rFonts w:ascii="Fira Sans" w:hAnsi="Fira Sans"/>
          <w:spacing w:val="-2"/>
          <w:sz w:val="19"/>
          <w:szCs w:val="19"/>
        </w:rPr>
        <w:t xml:space="preserve"> do 14,99 ha</w:t>
      </w:r>
      <w:r w:rsidRPr="000C7BAA">
        <w:rPr>
          <w:rFonts w:ascii="Fira Sans" w:hAnsi="Fira Sans"/>
          <w:spacing w:val="-2"/>
          <w:sz w:val="19"/>
          <w:szCs w:val="19"/>
        </w:rPr>
        <w:t xml:space="preserve"> oraz gospodarstwa ukierunkowane na produkcj</w:t>
      </w:r>
      <w:r w:rsidR="00130519">
        <w:rPr>
          <w:rFonts w:ascii="Fira Sans" w:hAnsi="Fira Sans"/>
          <w:spacing w:val="-2"/>
          <w:sz w:val="19"/>
          <w:szCs w:val="19"/>
        </w:rPr>
        <w:t>ę</w:t>
      </w:r>
      <w:r w:rsidRPr="000C7BAA">
        <w:rPr>
          <w:rFonts w:ascii="Fira Sans" w:hAnsi="Fira Sans"/>
          <w:spacing w:val="-2"/>
          <w:sz w:val="19"/>
          <w:szCs w:val="19"/>
        </w:rPr>
        <w:t xml:space="preserve"> roślinną. W przypadku kredytów najwięcej umów kredytowych zawierały gospodarstwa o powierzchni powyżej 20 ha.</w:t>
      </w:r>
    </w:p>
    <w:p w14:paraId="7CF8FD8E" w14:textId="77777777" w:rsidR="000C7BAA" w:rsidRDefault="000C7BAA" w:rsidP="00C73C19">
      <w:pPr>
        <w:spacing w:line="259" w:lineRule="auto"/>
        <w:rPr>
          <w:rFonts w:ascii="Fira Sans" w:hAnsi="Fira Sans"/>
          <w:b/>
          <w:spacing w:val="-2"/>
          <w:sz w:val="18"/>
        </w:rPr>
      </w:pPr>
    </w:p>
    <w:p w14:paraId="6849B7AC" w14:textId="6F1836AB" w:rsidR="006B7E22" w:rsidRPr="006B7E22" w:rsidRDefault="00170BD8" w:rsidP="00C73C19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</w:pPr>
      <w:r w:rsidRPr="00170BD8">
        <w:rPr>
          <w:rFonts w:ascii="Fira Sans" w:hAnsi="Fira Sans"/>
          <w:noProof/>
          <w:sz w:val="16"/>
          <w:szCs w:val="16"/>
          <w:lang w:eastAsia="pl-PL"/>
        </w:rPr>
        <w:lastRenderedPageBreak/>
        <w:drawing>
          <wp:anchor distT="0" distB="0" distL="114300" distR="114300" simplePos="0" relativeHeight="253005824" behindDoc="1" locked="0" layoutInCell="1" allowOverlap="1" wp14:anchorId="158F2B0B" wp14:editId="1C1BF3ED">
            <wp:simplePos x="0" y="0"/>
            <wp:positionH relativeFrom="column">
              <wp:posOffset>-59690</wp:posOffset>
            </wp:positionH>
            <wp:positionV relativeFrom="paragraph">
              <wp:posOffset>427990</wp:posOffset>
            </wp:positionV>
            <wp:extent cx="5122545" cy="2893695"/>
            <wp:effectExtent l="0" t="0" r="1905" b="1905"/>
            <wp:wrapTight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ight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D854A4">
        <w:rPr>
          <w:rFonts w:ascii="Fira Sans" w:hAnsi="Fira Sans"/>
          <w:b/>
          <w:spacing w:val="-2"/>
          <w:sz w:val="19"/>
          <w:szCs w:val="19"/>
        </w:rPr>
        <w:t>Wykres 8</w:t>
      </w:r>
      <w:r w:rsidR="00623F4D" w:rsidRPr="00867D21">
        <w:rPr>
          <w:rFonts w:ascii="Fira Sans" w:hAnsi="Fira Sans"/>
          <w:b/>
          <w:spacing w:val="-2"/>
          <w:sz w:val="19"/>
          <w:szCs w:val="19"/>
        </w:rPr>
        <w:t>. Źródła finansowania według grup obszarowych użytków rolnych - wskaźniki struktury</w:t>
      </w:r>
    </w:p>
    <w:p w14:paraId="0CFE67CE" w14:textId="77777777" w:rsidR="00654699" w:rsidRDefault="00654699" w:rsidP="00C73C19">
      <w:pPr>
        <w:spacing w:line="259" w:lineRule="auto"/>
        <w:rPr>
          <w:rFonts w:ascii="Fira Sans" w:hAnsi="Fira Sans"/>
          <w:spacing w:val="-2"/>
          <w:sz w:val="19"/>
          <w:szCs w:val="19"/>
        </w:rPr>
      </w:pPr>
    </w:p>
    <w:p w14:paraId="5F438AF7" w14:textId="414B1372" w:rsidR="006C2CA5" w:rsidRDefault="00C73C19" w:rsidP="00C73C19">
      <w:pPr>
        <w:spacing w:line="259" w:lineRule="auto"/>
        <w:rPr>
          <w:rFonts w:ascii="Fira Sans" w:hAnsi="Fira Sans"/>
          <w:spacing w:val="-2"/>
          <w:sz w:val="19"/>
          <w:szCs w:val="19"/>
        </w:rPr>
      </w:pPr>
      <w:r w:rsidRPr="00867D21">
        <w:rPr>
          <w:rFonts w:ascii="Fira Sans" w:hAnsi="Fira Sans"/>
          <w:spacing w:val="-2"/>
          <w:sz w:val="19"/>
          <w:szCs w:val="19"/>
        </w:rPr>
        <w:t xml:space="preserve">W 2023 r. </w:t>
      </w:r>
      <w:r w:rsidR="006B7E22">
        <w:rPr>
          <w:rFonts w:ascii="Fira Sans" w:hAnsi="Fira Sans"/>
          <w:spacing w:val="-2"/>
          <w:sz w:val="19"/>
          <w:szCs w:val="19"/>
        </w:rPr>
        <w:t>51,9% użytkowników gospodarstw rolnych</w:t>
      </w:r>
      <w:r w:rsidR="00654699">
        <w:rPr>
          <w:rFonts w:ascii="Fira Sans" w:hAnsi="Fira Sans"/>
          <w:spacing w:val="-2"/>
          <w:sz w:val="19"/>
          <w:szCs w:val="19"/>
        </w:rPr>
        <w:t xml:space="preserve"> przeznaczyło posiadane środki finansowe na </w:t>
      </w:r>
      <w:r w:rsidR="008627F7">
        <w:rPr>
          <w:rFonts w:ascii="Fira Sans" w:hAnsi="Fira Sans"/>
          <w:spacing w:val="-2"/>
          <w:sz w:val="19"/>
          <w:szCs w:val="19"/>
        </w:rPr>
        <w:t>wydatki związane z </w:t>
      </w:r>
      <w:r w:rsidRPr="00867D21">
        <w:rPr>
          <w:rFonts w:ascii="Fira Sans" w:hAnsi="Fira Sans"/>
          <w:spacing w:val="-2"/>
          <w:sz w:val="19"/>
          <w:szCs w:val="19"/>
        </w:rPr>
        <w:t xml:space="preserve">prowadzeniem </w:t>
      </w:r>
      <w:r w:rsidR="00654699">
        <w:rPr>
          <w:rFonts w:ascii="Fira Sans" w:hAnsi="Fira Sans"/>
          <w:spacing w:val="-2"/>
          <w:sz w:val="19"/>
          <w:szCs w:val="19"/>
        </w:rPr>
        <w:t>b</w:t>
      </w:r>
      <w:r w:rsidR="00232255">
        <w:rPr>
          <w:rFonts w:ascii="Fira Sans" w:hAnsi="Fira Sans"/>
          <w:spacing w:val="-2"/>
          <w:sz w:val="19"/>
          <w:szCs w:val="19"/>
        </w:rPr>
        <w:t xml:space="preserve">ieżącej działalności rolniczej (spadek o 3,5 p. proc w porównaniu z 2022 r.). </w:t>
      </w:r>
      <w:r w:rsidR="007A62F1">
        <w:rPr>
          <w:rFonts w:ascii="Fira Sans" w:hAnsi="Fira Sans"/>
          <w:spacing w:val="-2"/>
          <w:sz w:val="19"/>
          <w:szCs w:val="19"/>
        </w:rPr>
        <w:t>Natomiast wydatki inwestycyjne w badanym okresie wskazało 13,6% wszystkich gospodarstw rolnych (spadek o 2,9 p. proc.</w:t>
      </w:r>
      <w:r w:rsidR="002B7DA0">
        <w:rPr>
          <w:rFonts w:ascii="Fira Sans" w:hAnsi="Fira Sans"/>
          <w:spacing w:val="-2"/>
          <w:sz w:val="19"/>
          <w:szCs w:val="19"/>
        </w:rPr>
        <w:t xml:space="preserve"> w porównaniu </w:t>
      </w:r>
      <w:r w:rsidR="0027692E">
        <w:rPr>
          <w:rFonts w:ascii="Fira Sans" w:hAnsi="Fira Sans"/>
          <w:spacing w:val="-2"/>
          <w:sz w:val="19"/>
          <w:szCs w:val="19"/>
        </w:rPr>
        <w:t>z</w:t>
      </w:r>
      <w:r w:rsidR="002B7DA0">
        <w:rPr>
          <w:rFonts w:ascii="Fira Sans" w:hAnsi="Fira Sans"/>
          <w:spacing w:val="-2"/>
          <w:sz w:val="19"/>
          <w:szCs w:val="19"/>
        </w:rPr>
        <w:t xml:space="preserve"> 2022 r.).</w:t>
      </w:r>
    </w:p>
    <w:p w14:paraId="14B4D492" w14:textId="2C7D9B82" w:rsidR="00097FF4" w:rsidRPr="00B9564E" w:rsidRDefault="00162486" w:rsidP="00097FF4">
      <w:pPr>
        <w:spacing w:line="259" w:lineRule="auto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Spośród użytkowników gospodarstw rolnych</w:t>
      </w:r>
      <w:r w:rsidR="007223D6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którzy ponieśli wydatki inwestycyjne, 54,6% respondentów</w:t>
      </w:r>
      <w:r w:rsidR="007223D6">
        <w:rPr>
          <w:rFonts w:ascii="Fira Sans" w:hAnsi="Fira Sans"/>
          <w:sz w:val="19"/>
          <w:szCs w:val="19"/>
        </w:rPr>
        <w:t xml:space="preserve"> wskazało ich wzrost w 2023 r. </w:t>
      </w:r>
      <w:r>
        <w:rPr>
          <w:rFonts w:ascii="Fira Sans" w:hAnsi="Fira Sans"/>
          <w:sz w:val="19"/>
          <w:szCs w:val="19"/>
        </w:rPr>
        <w:t>(spadek o 2,5 p. proc w porównaniu z 2022 r.)</w:t>
      </w:r>
      <w:r w:rsidR="007223D6">
        <w:rPr>
          <w:rFonts w:ascii="Fira Sans" w:hAnsi="Fira Sans"/>
          <w:sz w:val="19"/>
          <w:szCs w:val="19"/>
        </w:rPr>
        <w:t>.</w:t>
      </w:r>
      <w:r w:rsidR="008C692F">
        <w:rPr>
          <w:rFonts w:ascii="Fira Sans" w:hAnsi="Fira Sans"/>
          <w:sz w:val="19"/>
          <w:szCs w:val="19"/>
        </w:rPr>
        <w:t xml:space="preserve"> Natomiast </w:t>
      </w:r>
      <w:r w:rsidR="00097FF4" w:rsidRPr="00097FF4">
        <w:rPr>
          <w:rFonts w:ascii="Fira Sans" w:hAnsi="Fira Sans"/>
          <w:spacing w:val="-2"/>
          <w:sz w:val="19"/>
          <w:szCs w:val="19"/>
        </w:rPr>
        <w:t xml:space="preserve">33,9% </w:t>
      </w:r>
      <w:r w:rsidR="00130519">
        <w:rPr>
          <w:rFonts w:ascii="Fira Sans" w:hAnsi="Fira Sans"/>
          <w:sz w:val="19"/>
          <w:szCs w:val="19"/>
        </w:rPr>
        <w:t>użytkowników gospodarstw rolnych</w:t>
      </w:r>
      <w:r w:rsidR="00130519" w:rsidRPr="00097FF4">
        <w:rPr>
          <w:rFonts w:ascii="Fira Sans" w:hAnsi="Fira Sans"/>
          <w:spacing w:val="-2"/>
          <w:sz w:val="19"/>
          <w:szCs w:val="19"/>
        </w:rPr>
        <w:t xml:space="preserve"> </w:t>
      </w:r>
      <w:r w:rsidR="00097FF4" w:rsidRPr="00097FF4">
        <w:rPr>
          <w:rFonts w:ascii="Fira Sans" w:hAnsi="Fira Sans"/>
          <w:spacing w:val="-2"/>
          <w:sz w:val="19"/>
          <w:szCs w:val="19"/>
        </w:rPr>
        <w:t xml:space="preserve">odpowiedziało, że ich </w:t>
      </w:r>
      <w:r w:rsidR="00B9564E">
        <w:rPr>
          <w:rFonts w:ascii="Fira Sans" w:hAnsi="Fira Sans"/>
          <w:spacing w:val="-2"/>
          <w:sz w:val="19"/>
          <w:szCs w:val="19"/>
        </w:rPr>
        <w:t xml:space="preserve">wydatki </w:t>
      </w:r>
      <w:r w:rsidR="00097FF4" w:rsidRPr="00097FF4">
        <w:rPr>
          <w:rFonts w:ascii="Fira Sans" w:hAnsi="Fira Sans"/>
          <w:spacing w:val="-2"/>
          <w:sz w:val="19"/>
          <w:szCs w:val="19"/>
        </w:rPr>
        <w:t>inwestyc</w:t>
      </w:r>
      <w:r w:rsidR="004541A0">
        <w:rPr>
          <w:rFonts w:ascii="Fira Sans" w:hAnsi="Fira Sans"/>
          <w:spacing w:val="-2"/>
          <w:sz w:val="19"/>
          <w:szCs w:val="19"/>
        </w:rPr>
        <w:t>y</w:t>
      </w:r>
      <w:r w:rsidR="00097FF4" w:rsidRPr="00097FF4">
        <w:rPr>
          <w:rFonts w:ascii="Fira Sans" w:hAnsi="Fira Sans"/>
          <w:spacing w:val="-2"/>
          <w:sz w:val="19"/>
          <w:szCs w:val="19"/>
        </w:rPr>
        <w:t>j</w:t>
      </w:r>
      <w:r w:rsidR="004541A0">
        <w:rPr>
          <w:rFonts w:ascii="Fira Sans" w:hAnsi="Fira Sans"/>
          <w:spacing w:val="-2"/>
          <w:sz w:val="19"/>
          <w:szCs w:val="19"/>
        </w:rPr>
        <w:t>n</w:t>
      </w:r>
      <w:r w:rsidR="00097FF4" w:rsidRPr="00097FF4">
        <w:rPr>
          <w:rFonts w:ascii="Fira Sans" w:hAnsi="Fira Sans"/>
          <w:spacing w:val="-2"/>
          <w:sz w:val="19"/>
          <w:szCs w:val="19"/>
        </w:rPr>
        <w:t>e pozostały bez zmian</w:t>
      </w:r>
      <w:r w:rsidR="00B9564E">
        <w:rPr>
          <w:rFonts w:ascii="Fira Sans" w:hAnsi="Fira Sans"/>
          <w:spacing w:val="-2"/>
          <w:sz w:val="19"/>
          <w:szCs w:val="19"/>
        </w:rPr>
        <w:t xml:space="preserve"> (wzrost o 0,2 p. proc w porównaniu z 2022 r.), a </w:t>
      </w:r>
      <w:r w:rsidR="00097FF4" w:rsidRPr="00097FF4">
        <w:rPr>
          <w:rFonts w:ascii="Fira Sans" w:hAnsi="Fira Sans"/>
          <w:spacing w:val="-2"/>
          <w:sz w:val="19"/>
          <w:szCs w:val="19"/>
        </w:rPr>
        <w:t xml:space="preserve">11,5% uznało, że </w:t>
      </w:r>
      <w:r w:rsidR="00B9564E">
        <w:rPr>
          <w:rFonts w:ascii="Fira Sans" w:hAnsi="Fira Sans"/>
          <w:spacing w:val="-2"/>
          <w:sz w:val="19"/>
          <w:szCs w:val="19"/>
        </w:rPr>
        <w:t>uległy zmniejszeniu (wzrost o 2,3 p. proc. w porównaniu z 2022 r.).</w:t>
      </w:r>
    </w:p>
    <w:p w14:paraId="700C5EA5" w14:textId="579B7C1C" w:rsidR="00022ABD" w:rsidRDefault="00022ABD" w:rsidP="00765532">
      <w:pPr>
        <w:spacing w:line="259" w:lineRule="auto"/>
        <w:rPr>
          <w:rFonts w:ascii="Fira Sans" w:hAnsi="Fira Sans"/>
          <w:spacing w:val="-2"/>
          <w:sz w:val="19"/>
          <w:szCs w:val="19"/>
        </w:rPr>
      </w:pPr>
      <w:r>
        <w:rPr>
          <w:rFonts w:ascii="Fira Sans" w:hAnsi="Fira Sans"/>
          <w:spacing w:val="-2"/>
          <w:sz w:val="19"/>
          <w:szCs w:val="19"/>
        </w:rPr>
        <w:t>61,0</w:t>
      </w:r>
      <w:r w:rsidRPr="00022ABD">
        <w:rPr>
          <w:rFonts w:ascii="Fira Sans" w:hAnsi="Fira Sans"/>
          <w:spacing w:val="-2"/>
          <w:sz w:val="19"/>
          <w:szCs w:val="19"/>
        </w:rPr>
        <w:t>% użytkowników gospodarstw rolnych planuje ponieść wydatki</w:t>
      </w:r>
      <w:r w:rsidR="00C9206D">
        <w:rPr>
          <w:rFonts w:ascii="Fira Sans" w:hAnsi="Fira Sans"/>
          <w:spacing w:val="-2"/>
          <w:sz w:val="19"/>
          <w:szCs w:val="19"/>
        </w:rPr>
        <w:t xml:space="preserve"> inwestycyjne w 2024 r.</w:t>
      </w:r>
      <w:r w:rsidR="00600661">
        <w:rPr>
          <w:rFonts w:ascii="Fira Sans" w:hAnsi="Fira Sans"/>
          <w:spacing w:val="-2"/>
          <w:sz w:val="19"/>
          <w:szCs w:val="19"/>
        </w:rPr>
        <w:t>, tj. o </w:t>
      </w:r>
      <w:r w:rsidRPr="00022ABD">
        <w:rPr>
          <w:rFonts w:ascii="Fira Sans" w:hAnsi="Fira Sans"/>
          <w:spacing w:val="-2"/>
          <w:sz w:val="19"/>
          <w:szCs w:val="19"/>
        </w:rPr>
        <w:t>3,6 p. proc. wi</w:t>
      </w:r>
      <w:r w:rsidR="00BF2D3C">
        <w:rPr>
          <w:rFonts w:ascii="Fira Sans" w:hAnsi="Fira Sans"/>
          <w:spacing w:val="-2"/>
          <w:sz w:val="19"/>
          <w:szCs w:val="19"/>
        </w:rPr>
        <w:t>ęcej w porównaniu z planującymi</w:t>
      </w:r>
      <w:r w:rsidRPr="00022ABD">
        <w:rPr>
          <w:rFonts w:ascii="Fira Sans" w:hAnsi="Fira Sans"/>
          <w:spacing w:val="-2"/>
          <w:sz w:val="19"/>
          <w:szCs w:val="19"/>
        </w:rPr>
        <w:t xml:space="preserve"> inwestycje w ub. roku.</w:t>
      </w:r>
    </w:p>
    <w:p w14:paraId="3A64CEF4" w14:textId="77777777" w:rsidR="00CB7623" w:rsidRDefault="00CB7623" w:rsidP="003967C2">
      <w:pPr>
        <w:spacing w:before="360" w:after="120"/>
        <w:rPr>
          <w:rFonts w:ascii="Fira Sans" w:hAnsi="Fira Sans"/>
          <w:b/>
          <w:spacing w:val="-2"/>
          <w:sz w:val="19"/>
          <w:szCs w:val="19"/>
        </w:rPr>
      </w:pPr>
      <w:r w:rsidRPr="00C73C19">
        <w:rPr>
          <w:rFonts w:ascii="Fira Sans" w:hAnsi="Fira Sans"/>
          <w:b/>
          <w:spacing w:val="-2"/>
          <w:sz w:val="19"/>
          <w:szCs w:val="19"/>
        </w:rPr>
        <w:t xml:space="preserve">Czynniki sprzyjające i ograniczające rozwój gospodarstw rolnych </w:t>
      </w:r>
    </w:p>
    <w:p w14:paraId="48643743" w14:textId="348176ED" w:rsidR="00C73C19" w:rsidRPr="00C73C19" w:rsidRDefault="00BD6FA3" w:rsidP="0034619C">
      <w:pPr>
        <w:spacing w:before="240" w:after="240"/>
        <w:rPr>
          <w:rFonts w:ascii="Fira Sans" w:hAnsi="Fira Sans"/>
          <w:spacing w:val="-2"/>
          <w:sz w:val="19"/>
          <w:szCs w:val="19"/>
        </w:rPr>
      </w:pPr>
      <w:r w:rsidRPr="00BD6FA3">
        <w:rPr>
          <w:rFonts w:ascii="Fira Sans" w:hAnsi="Fira Sans"/>
          <w:spacing w:val="-2"/>
          <w:sz w:val="19"/>
          <w:szCs w:val="19"/>
        </w:rPr>
        <w:t xml:space="preserve">W 2023 r., podobnie jak w latach poprzednich </w:t>
      </w:r>
      <w:r w:rsidR="00C73C19" w:rsidRPr="00C73C19">
        <w:rPr>
          <w:rFonts w:ascii="Fira Sans" w:hAnsi="Fira Sans"/>
          <w:spacing w:val="-2"/>
          <w:sz w:val="19"/>
          <w:szCs w:val="19"/>
        </w:rPr>
        <w:t>kierujący gospodarstwami rolnymi wskazali wsparcie unijne (około 5</w:t>
      </w:r>
      <w:r w:rsidR="006B6D7F">
        <w:rPr>
          <w:rFonts w:ascii="Fira Sans" w:hAnsi="Fira Sans"/>
          <w:spacing w:val="-2"/>
          <w:sz w:val="19"/>
          <w:szCs w:val="19"/>
        </w:rPr>
        <w:t>1</w:t>
      </w:r>
      <w:r w:rsidR="00C73C19" w:rsidRPr="00C73C19">
        <w:rPr>
          <w:rFonts w:ascii="Fira Sans" w:hAnsi="Fira Sans"/>
          <w:spacing w:val="-2"/>
          <w:sz w:val="19"/>
          <w:szCs w:val="19"/>
        </w:rPr>
        <w:t>%) jako najważniejszy czynnik sprzyjający</w:t>
      </w:r>
      <w:r w:rsidR="0082170B">
        <w:rPr>
          <w:rFonts w:ascii="Fira Sans" w:hAnsi="Fira Sans"/>
          <w:spacing w:val="-2"/>
          <w:sz w:val="19"/>
          <w:szCs w:val="19"/>
        </w:rPr>
        <w:t xml:space="preserve"> rozwojowi gospodarstw rolnych.</w:t>
      </w:r>
    </w:p>
    <w:p w14:paraId="77E10C4F" w14:textId="59003BEC" w:rsidR="00E45327" w:rsidRDefault="00C73C19" w:rsidP="0034619C">
      <w:pPr>
        <w:spacing w:before="240" w:after="240"/>
        <w:rPr>
          <w:rFonts w:ascii="Fira Sans" w:hAnsi="Fira Sans"/>
          <w:spacing w:val="-2"/>
          <w:sz w:val="19"/>
          <w:szCs w:val="19"/>
        </w:rPr>
      </w:pPr>
      <w:r w:rsidRPr="00C73C19">
        <w:rPr>
          <w:rFonts w:ascii="Fira Sans" w:hAnsi="Fira Sans"/>
          <w:spacing w:val="-2"/>
          <w:sz w:val="19"/>
          <w:szCs w:val="19"/>
        </w:rPr>
        <w:t xml:space="preserve">W badanym okresie dla </w:t>
      </w:r>
      <w:r w:rsidR="00E92036">
        <w:rPr>
          <w:rFonts w:ascii="Fira Sans" w:hAnsi="Fira Sans"/>
          <w:spacing w:val="-2"/>
          <w:sz w:val="19"/>
          <w:szCs w:val="19"/>
        </w:rPr>
        <w:t>13,3</w:t>
      </w:r>
      <w:r w:rsidR="006567D8">
        <w:rPr>
          <w:rFonts w:ascii="Fira Sans" w:hAnsi="Fira Sans"/>
          <w:spacing w:val="-2"/>
          <w:sz w:val="19"/>
          <w:szCs w:val="19"/>
        </w:rPr>
        <w:t xml:space="preserve">% </w:t>
      </w:r>
      <w:r w:rsidRPr="00C73C19">
        <w:rPr>
          <w:rFonts w:ascii="Fira Sans" w:hAnsi="Fira Sans"/>
          <w:spacing w:val="-2"/>
          <w:sz w:val="19"/>
          <w:szCs w:val="19"/>
        </w:rPr>
        <w:t xml:space="preserve">gospodarstw wielokierunkowych oraz </w:t>
      </w:r>
      <w:r w:rsidR="006567D8">
        <w:rPr>
          <w:rFonts w:ascii="Fira Sans" w:hAnsi="Fira Sans"/>
          <w:spacing w:val="-2"/>
          <w:sz w:val="19"/>
          <w:szCs w:val="19"/>
        </w:rPr>
        <w:t xml:space="preserve">11,1% </w:t>
      </w:r>
      <w:r w:rsidRPr="00C73C19">
        <w:rPr>
          <w:rFonts w:ascii="Fira Sans" w:hAnsi="Fira Sans"/>
          <w:spacing w:val="-2"/>
          <w:sz w:val="19"/>
          <w:szCs w:val="19"/>
        </w:rPr>
        <w:t>gospodarstw ukier</w:t>
      </w:r>
      <w:r w:rsidR="001B3AB2">
        <w:rPr>
          <w:rFonts w:ascii="Fira Sans" w:hAnsi="Fira Sans"/>
          <w:spacing w:val="-2"/>
          <w:sz w:val="19"/>
          <w:szCs w:val="19"/>
        </w:rPr>
        <w:t>unkowanych na produkcję roślinną</w:t>
      </w:r>
      <w:r w:rsidRPr="00C73C19">
        <w:rPr>
          <w:rFonts w:ascii="Fira Sans" w:hAnsi="Fira Sans"/>
          <w:spacing w:val="-2"/>
          <w:sz w:val="19"/>
          <w:szCs w:val="19"/>
        </w:rPr>
        <w:t xml:space="preserve"> ważnym czynnikiem sprzyjającym</w:t>
      </w:r>
      <w:r w:rsidR="00297190">
        <w:rPr>
          <w:rFonts w:ascii="Fira Sans" w:hAnsi="Fira Sans"/>
          <w:spacing w:val="-2"/>
          <w:sz w:val="19"/>
          <w:szCs w:val="19"/>
        </w:rPr>
        <w:t xml:space="preserve"> rozwojowi</w:t>
      </w:r>
      <w:r w:rsidR="00645894">
        <w:rPr>
          <w:rFonts w:ascii="Fira Sans" w:hAnsi="Fira Sans"/>
          <w:spacing w:val="-2"/>
          <w:sz w:val="19"/>
          <w:szCs w:val="19"/>
        </w:rPr>
        <w:t xml:space="preserve"> gospoda</w:t>
      </w:r>
      <w:r w:rsidR="006567D8">
        <w:rPr>
          <w:rFonts w:ascii="Fira Sans" w:hAnsi="Fira Sans"/>
          <w:spacing w:val="-2"/>
          <w:sz w:val="19"/>
          <w:szCs w:val="19"/>
        </w:rPr>
        <w:t xml:space="preserve">rstw były kredyty preferencyjne. </w:t>
      </w:r>
      <w:r w:rsidR="00E45327">
        <w:rPr>
          <w:rFonts w:ascii="Fira Sans" w:hAnsi="Fira Sans"/>
          <w:spacing w:val="-2"/>
          <w:sz w:val="19"/>
          <w:szCs w:val="19"/>
        </w:rPr>
        <w:t>W przypadku gospodarstw ukierunkowanych na</w:t>
      </w:r>
      <w:r w:rsidR="00297190">
        <w:rPr>
          <w:rFonts w:ascii="Fira Sans" w:hAnsi="Fira Sans"/>
          <w:spacing w:val="-2"/>
          <w:sz w:val="19"/>
          <w:szCs w:val="19"/>
        </w:rPr>
        <w:t> </w:t>
      </w:r>
      <w:bookmarkStart w:id="0" w:name="_GoBack"/>
      <w:bookmarkEnd w:id="0"/>
      <w:r w:rsidR="00E45327">
        <w:rPr>
          <w:rFonts w:ascii="Fira Sans" w:hAnsi="Fira Sans"/>
          <w:spacing w:val="-2"/>
          <w:sz w:val="19"/>
          <w:szCs w:val="19"/>
        </w:rPr>
        <w:t xml:space="preserve">produkcję roślinną odnotowano największy wzrost </w:t>
      </w:r>
      <w:r w:rsidR="00B37F45">
        <w:rPr>
          <w:rFonts w:ascii="Fira Sans" w:hAnsi="Fira Sans"/>
          <w:spacing w:val="-2"/>
          <w:sz w:val="19"/>
          <w:szCs w:val="19"/>
        </w:rPr>
        <w:t>udział</w:t>
      </w:r>
      <w:r w:rsidR="00FA0A80">
        <w:rPr>
          <w:rFonts w:ascii="Fira Sans" w:hAnsi="Fira Sans"/>
          <w:spacing w:val="-2"/>
          <w:sz w:val="19"/>
          <w:szCs w:val="19"/>
        </w:rPr>
        <w:t>u procentowego odpowiedzi w </w:t>
      </w:r>
      <w:r w:rsidR="00B37F45">
        <w:rPr>
          <w:rFonts w:ascii="Fira Sans" w:hAnsi="Fira Sans"/>
          <w:spacing w:val="-2"/>
          <w:sz w:val="19"/>
          <w:szCs w:val="19"/>
        </w:rPr>
        <w:t>porównaniu z 2022 r.</w:t>
      </w:r>
      <w:r w:rsidR="005C1DDD">
        <w:rPr>
          <w:rFonts w:ascii="Fira Sans" w:hAnsi="Fira Sans"/>
          <w:spacing w:val="-2"/>
          <w:sz w:val="19"/>
          <w:szCs w:val="19"/>
        </w:rPr>
        <w:t xml:space="preserve">, </w:t>
      </w:r>
      <w:r w:rsidR="00B37F45">
        <w:rPr>
          <w:rFonts w:ascii="Fira Sans" w:hAnsi="Fira Sans"/>
          <w:spacing w:val="-2"/>
          <w:sz w:val="19"/>
          <w:szCs w:val="19"/>
        </w:rPr>
        <w:t>tj.</w:t>
      </w:r>
      <w:r w:rsidR="005C1DDD">
        <w:rPr>
          <w:rFonts w:ascii="Fira Sans" w:hAnsi="Fira Sans"/>
          <w:spacing w:val="-2"/>
          <w:sz w:val="19"/>
          <w:szCs w:val="19"/>
        </w:rPr>
        <w:t> o </w:t>
      </w:r>
      <w:r w:rsidR="00B37F45">
        <w:rPr>
          <w:rFonts w:ascii="Fira Sans" w:hAnsi="Fira Sans"/>
          <w:spacing w:val="-2"/>
          <w:sz w:val="19"/>
          <w:szCs w:val="19"/>
        </w:rPr>
        <w:t>7,0 p. pr</w:t>
      </w:r>
      <w:r w:rsidR="00FA0A80">
        <w:rPr>
          <w:rFonts w:ascii="Fira Sans" w:hAnsi="Fira Sans"/>
          <w:spacing w:val="-2"/>
          <w:sz w:val="19"/>
          <w:szCs w:val="19"/>
        </w:rPr>
        <w:t>o</w:t>
      </w:r>
      <w:r w:rsidR="00B37F45">
        <w:rPr>
          <w:rFonts w:ascii="Fira Sans" w:hAnsi="Fira Sans"/>
          <w:spacing w:val="-2"/>
          <w:sz w:val="19"/>
          <w:szCs w:val="19"/>
        </w:rPr>
        <w:t>c.</w:t>
      </w:r>
    </w:p>
    <w:p w14:paraId="37161BE6" w14:textId="77777777" w:rsidR="00C73C19" w:rsidRPr="00C73C19" w:rsidRDefault="00C73C19" w:rsidP="0034619C">
      <w:pPr>
        <w:spacing w:before="240" w:after="240"/>
        <w:rPr>
          <w:rFonts w:ascii="Fira Sans" w:hAnsi="Fira Sans"/>
          <w:spacing w:val="-2"/>
          <w:sz w:val="19"/>
          <w:szCs w:val="19"/>
        </w:rPr>
      </w:pPr>
      <w:r w:rsidRPr="00C73C19">
        <w:rPr>
          <w:rFonts w:ascii="Fira Sans" w:hAnsi="Fira Sans"/>
          <w:spacing w:val="-2"/>
          <w:sz w:val="19"/>
          <w:szCs w:val="19"/>
        </w:rPr>
        <w:t>Natomiast w opinii 46,9% kierujących gospodarstwami rolnymi nie wystąpiły żadne czynniki sprzyjające rozwojowi gospodarstw rolnych.</w:t>
      </w:r>
      <w:r w:rsidR="00634359">
        <w:rPr>
          <w:rFonts w:ascii="Fira Sans" w:hAnsi="Fira Sans"/>
          <w:spacing w:val="-2"/>
          <w:sz w:val="19"/>
          <w:szCs w:val="19"/>
        </w:rPr>
        <w:t xml:space="preserve"> </w:t>
      </w:r>
    </w:p>
    <w:p w14:paraId="35B6F5BB" w14:textId="4C3A7FF9" w:rsidR="00755C20" w:rsidRPr="00E84352" w:rsidRDefault="00C73C19" w:rsidP="002477A4">
      <w:pPr>
        <w:spacing w:before="120" w:after="360"/>
        <w:rPr>
          <w:rFonts w:ascii="Fira Sans" w:hAnsi="Fira Sans"/>
          <w:b/>
          <w:spacing w:val="-2"/>
          <w:sz w:val="19"/>
          <w:szCs w:val="19"/>
        </w:rPr>
      </w:pPr>
      <w:r w:rsidRPr="00AE0FF4">
        <w:rPr>
          <w:rFonts w:ascii="Fira Sans" w:hAnsi="Fira Sans"/>
          <w:noProof/>
          <w:sz w:val="16"/>
          <w:szCs w:val="16"/>
          <w:lang w:eastAsia="pl-PL"/>
        </w:rPr>
        <w:lastRenderedPageBreak/>
        <w:drawing>
          <wp:anchor distT="0" distB="0" distL="114300" distR="114300" simplePos="0" relativeHeight="252994560" behindDoc="0" locked="0" layoutInCell="1" allowOverlap="1" wp14:anchorId="153E4838" wp14:editId="3D393422">
            <wp:simplePos x="0" y="0"/>
            <wp:positionH relativeFrom="column">
              <wp:posOffset>3810</wp:posOffset>
            </wp:positionH>
            <wp:positionV relativeFrom="paragraph">
              <wp:posOffset>356870</wp:posOffset>
            </wp:positionV>
            <wp:extent cx="5113655" cy="2997200"/>
            <wp:effectExtent l="0" t="0" r="0" b="0"/>
            <wp:wrapTopAndBottom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4A4">
        <w:rPr>
          <w:rFonts w:ascii="Fira Sans" w:hAnsi="Fira Sans"/>
          <w:b/>
          <w:spacing w:val="-2"/>
          <w:sz w:val="19"/>
          <w:szCs w:val="19"/>
        </w:rPr>
        <w:t>Wykres 9</w:t>
      </w:r>
      <w:r w:rsidR="00E84352" w:rsidRPr="00E84352">
        <w:rPr>
          <w:rFonts w:ascii="Fira Sans" w:hAnsi="Fira Sans"/>
          <w:b/>
          <w:spacing w:val="-2"/>
          <w:sz w:val="19"/>
          <w:szCs w:val="19"/>
        </w:rPr>
        <w:t xml:space="preserve">. Czynniki </w:t>
      </w:r>
      <w:r>
        <w:rPr>
          <w:rFonts w:ascii="Fira Sans" w:hAnsi="Fira Sans"/>
          <w:b/>
          <w:spacing w:val="-2"/>
          <w:sz w:val="19"/>
          <w:szCs w:val="19"/>
        </w:rPr>
        <w:t>sprzyjające</w:t>
      </w:r>
      <w:r w:rsidR="00755C20">
        <w:rPr>
          <w:rFonts w:ascii="Fira Sans" w:hAnsi="Fira Sans"/>
          <w:b/>
          <w:spacing w:val="-2"/>
          <w:sz w:val="19"/>
          <w:szCs w:val="19"/>
        </w:rPr>
        <w:t xml:space="preserve"> rozwój</w:t>
      </w:r>
      <w:r w:rsidR="00E84352" w:rsidRPr="00E84352">
        <w:rPr>
          <w:rFonts w:ascii="Fira Sans" w:hAnsi="Fira Sans"/>
          <w:b/>
          <w:spacing w:val="-2"/>
          <w:sz w:val="19"/>
          <w:szCs w:val="19"/>
        </w:rPr>
        <w:t xml:space="preserve"> gospodarstwa rolnego w ostatnich 12 miesiącach</w:t>
      </w:r>
    </w:p>
    <w:p w14:paraId="12EFF143" w14:textId="51E7203B" w:rsidR="006205DD" w:rsidRDefault="00722348" w:rsidP="006C4562">
      <w:pPr>
        <w:spacing w:before="600" w:after="240"/>
        <w:rPr>
          <w:rFonts w:ascii="Fira Sans" w:hAnsi="Fira Sans"/>
          <w:spacing w:val="-2"/>
          <w:sz w:val="19"/>
          <w:szCs w:val="19"/>
        </w:rPr>
      </w:pPr>
      <w:r w:rsidRPr="00722348">
        <w:rPr>
          <w:rFonts w:ascii="Fira Sans" w:hAnsi="Fira Sans"/>
          <w:spacing w:val="-2"/>
          <w:sz w:val="19"/>
          <w:szCs w:val="19"/>
        </w:rPr>
        <w:t>Spośród czynników ograniczających roz</w:t>
      </w:r>
      <w:r w:rsidR="009F4F4B">
        <w:rPr>
          <w:rFonts w:ascii="Fira Sans" w:hAnsi="Fira Sans"/>
          <w:spacing w:val="-2"/>
          <w:sz w:val="19"/>
          <w:szCs w:val="19"/>
        </w:rPr>
        <w:t>wój gospodarstw rolnych w 2023 r.</w:t>
      </w:r>
      <w:r w:rsidRPr="00722348">
        <w:rPr>
          <w:rFonts w:ascii="Fira Sans" w:hAnsi="Fira Sans"/>
          <w:spacing w:val="-2"/>
          <w:sz w:val="19"/>
          <w:szCs w:val="19"/>
        </w:rPr>
        <w:t>, najczęściej wskazywaną barierą przez kierujących gospodarstwami rolny</w:t>
      </w:r>
      <w:r w:rsidR="00746323">
        <w:rPr>
          <w:rFonts w:ascii="Fira Sans" w:hAnsi="Fira Sans"/>
          <w:spacing w:val="-2"/>
          <w:sz w:val="19"/>
          <w:szCs w:val="19"/>
        </w:rPr>
        <w:t>mi były zbyt niskie ceny zbytu (</w:t>
      </w:r>
      <w:r w:rsidRPr="00722348">
        <w:rPr>
          <w:rFonts w:ascii="Fira Sans" w:hAnsi="Fira Sans"/>
          <w:spacing w:val="-2"/>
          <w:sz w:val="19"/>
          <w:szCs w:val="19"/>
        </w:rPr>
        <w:t>21,7</w:t>
      </w:r>
      <w:r w:rsidR="00E92036">
        <w:rPr>
          <w:rFonts w:ascii="Fira Sans" w:hAnsi="Fira Sans"/>
          <w:spacing w:val="-2"/>
          <w:sz w:val="19"/>
          <w:szCs w:val="19"/>
        </w:rPr>
        <w:t>% ogółu gospodarstw wobec 18,1</w:t>
      </w:r>
      <w:r w:rsidR="00746323">
        <w:rPr>
          <w:rFonts w:ascii="Fira Sans" w:hAnsi="Fira Sans"/>
          <w:spacing w:val="-2"/>
          <w:sz w:val="19"/>
          <w:szCs w:val="19"/>
        </w:rPr>
        <w:t xml:space="preserve">% w 2022 r) </w:t>
      </w:r>
      <w:r w:rsidRPr="00722348">
        <w:rPr>
          <w:rFonts w:ascii="Fira Sans" w:hAnsi="Fira Sans"/>
          <w:spacing w:val="-2"/>
          <w:sz w:val="19"/>
          <w:szCs w:val="19"/>
        </w:rPr>
        <w:t>oraz zbyt wysokie koszty produkcji (21,1%</w:t>
      </w:r>
      <w:r w:rsidR="00746323">
        <w:rPr>
          <w:rFonts w:ascii="Fira Sans" w:hAnsi="Fira Sans"/>
          <w:spacing w:val="-2"/>
          <w:sz w:val="19"/>
          <w:szCs w:val="19"/>
        </w:rPr>
        <w:t xml:space="preserve"> wobec 26,5% w 2022 r.</w:t>
      </w:r>
      <w:r w:rsidRPr="00722348">
        <w:rPr>
          <w:rFonts w:ascii="Fira Sans" w:hAnsi="Fira Sans"/>
          <w:spacing w:val="-2"/>
          <w:sz w:val="19"/>
          <w:szCs w:val="19"/>
        </w:rPr>
        <w:t xml:space="preserve">). Wśród tych gospodarstw najczęściej tę opinie wyrazili kierujący gospodarstwami ukierunkowanymi na produkcję zwierzęcą oraz gospodarstwa wielokierunkowe. </w:t>
      </w:r>
    </w:p>
    <w:p w14:paraId="1A0756F5" w14:textId="456DAB6E" w:rsidR="00CE11EB" w:rsidRPr="006205DD" w:rsidRDefault="006205DD" w:rsidP="00CB7623">
      <w:pPr>
        <w:spacing w:before="120" w:after="120"/>
        <w:rPr>
          <w:rFonts w:ascii="Fira Sans" w:hAnsi="Fira Sans"/>
          <w:b/>
          <w:spacing w:val="-2"/>
          <w:sz w:val="19"/>
          <w:szCs w:val="19"/>
        </w:rPr>
      </w:pPr>
      <w:r w:rsidRPr="00106F72">
        <w:rPr>
          <w:b/>
          <w:noProof/>
          <w:lang w:eastAsia="pl-PL"/>
        </w:rPr>
        <w:drawing>
          <wp:anchor distT="0" distB="0" distL="114300" distR="114300" simplePos="0" relativeHeight="252996608" behindDoc="1" locked="0" layoutInCell="1" allowOverlap="1" wp14:anchorId="78675DC1" wp14:editId="3084ACDA">
            <wp:simplePos x="0" y="0"/>
            <wp:positionH relativeFrom="column">
              <wp:posOffset>0</wp:posOffset>
            </wp:positionH>
            <wp:positionV relativeFrom="paragraph">
              <wp:posOffset>387422</wp:posOffset>
            </wp:positionV>
            <wp:extent cx="5122545" cy="2958465"/>
            <wp:effectExtent l="0" t="0" r="1905" b="0"/>
            <wp:wrapThrough wrapText="bothSides">
              <wp:wrapPolygon edited="0">
                <wp:start x="0" y="0"/>
                <wp:lineTo x="0" y="21419"/>
                <wp:lineTo x="21528" y="21419"/>
                <wp:lineTo x="21528" y="0"/>
                <wp:lineTo x="0" y="0"/>
              </wp:wrapPolygon>
            </wp:wrapThrough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CE11EB" w:rsidRPr="00E84352">
        <w:rPr>
          <w:rFonts w:ascii="Fira Sans" w:hAnsi="Fira Sans"/>
          <w:b/>
          <w:spacing w:val="-2"/>
          <w:sz w:val="19"/>
          <w:szCs w:val="19"/>
        </w:rPr>
        <w:t xml:space="preserve">Wykres </w:t>
      </w:r>
      <w:r w:rsidR="00D854A4">
        <w:rPr>
          <w:rFonts w:ascii="Fira Sans" w:hAnsi="Fira Sans"/>
          <w:b/>
          <w:spacing w:val="-2"/>
          <w:sz w:val="19"/>
          <w:szCs w:val="19"/>
        </w:rPr>
        <w:t>10</w:t>
      </w:r>
      <w:r w:rsidR="00CE11EB" w:rsidRPr="00E84352">
        <w:rPr>
          <w:rFonts w:ascii="Fira Sans" w:hAnsi="Fira Sans"/>
          <w:b/>
          <w:spacing w:val="-2"/>
          <w:sz w:val="19"/>
          <w:szCs w:val="19"/>
        </w:rPr>
        <w:t xml:space="preserve">. Czynniki </w:t>
      </w:r>
      <w:r w:rsidR="00722348">
        <w:rPr>
          <w:rFonts w:ascii="Fira Sans" w:hAnsi="Fira Sans"/>
          <w:b/>
          <w:spacing w:val="-2"/>
          <w:sz w:val="19"/>
          <w:szCs w:val="19"/>
        </w:rPr>
        <w:t>ograniczające rozwój</w:t>
      </w:r>
      <w:r w:rsidR="00CE11EB" w:rsidRPr="00E84352">
        <w:rPr>
          <w:rFonts w:ascii="Fira Sans" w:hAnsi="Fira Sans"/>
          <w:b/>
          <w:spacing w:val="-2"/>
          <w:sz w:val="19"/>
          <w:szCs w:val="19"/>
        </w:rPr>
        <w:t xml:space="preserve"> gospodarstwa rolnego w ostatnich 12 miesiącach</w:t>
      </w:r>
    </w:p>
    <w:p w14:paraId="269FB0A6" w14:textId="77777777" w:rsidR="00CE11EB" w:rsidRDefault="00CE11EB" w:rsidP="00CB7623">
      <w:pPr>
        <w:spacing w:before="120" w:after="120"/>
        <w:rPr>
          <w:rFonts w:ascii="Fira Sans" w:hAnsi="Fira Sans"/>
          <w:spacing w:val="-2"/>
          <w:sz w:val="19"/>
          <w:szCs w:val="19"/>
        </w:rPr>
      </w:pPr>
    </w:p>
    <w:p w14:paraId="57489A42" w14:textId="1A0D5754" w:rsidR="006205DD" w:rsidRPr="00722348" w:rsidRDefault="00BD4458" w:rsidP="0082170B">
      <w:pPr>
        <w:spacing w:before="240" w:after="240"/>
        <w:rPr>
          <w:rFonts w:ascii="Fira Sans" w:hAnsi="Fira Sans"/>
          <w:spacing w:val="-2"/>
          <w:sz w:val="19"/>
          <w:szCs w:val="19"/>
        </w:rPr>
      </w:pPr>
      <w:r>
        <w:rPr>
          <w:rFonts w:ascii="Fira Sans" w:hAnsi="Fira Sans"/>
          <w:spacing w:val="-2"/>
          <w:sz w:val="19"/>
          <w:szCs w:val="19"/>
        </w:rPr>
        <w:t>W badanym okresie wzrósł o 6,3 p. proc</w:t>
      </w:r>
      <w:r w:rsidR="00C9206D">
        <w:rPr>
          <w:rFonts w:ascii="Fira Sans" w:hAnsi="Fira Sans"/>
          <w:spacing w:val="-2"/>
          <w:sz w:val="19"/>
          <w:szCs w:val="19"/>
        </w:rPr>
        <w:t>.</w:t>
      </w:r>
      <w:r>
        <w:rPr>
          <w:rFonts w:ascii="Fira Sans" w:hAnsi="Fira Sans"/>
          <w:spacing w:val="-2"/>
          <w:sz w:val="19"/>
          <w:szCs w:val="19"/>
        </w:rPr>
        <w:t xml:space="preserve"> odsetek odpowiedzi dotyczący bariery zbyt niskie ceny zbytu d</w:t>
      </w:r>
      <w:r w:rsidR="006205DD" w:rsidRPr="00722348">
        <w:rPr>
          <w:rFonts w:ascii="Fira Sans" w:hAnsi="Fira Sans"/>
          <w:spacing w:val="-2"/>
          <w:sz w:val="19"/>
          <w:szCs w:val="19"/>
        </w:rPr>
        <w:t>la gospodarstw ukierunkowanych na produkcje zwierzęcą</w:t>
      </w:r>
      <w:r>
        <w:rPr>
          <w:rFonts w:ascii="Fira Sans" w:hAnsi="Fira Sans"/>
          <w:spacing w:val="-2"/>
          <w:sz w:val="19"/>
          <w:szCs w:val="19"/>
        </w:rPr>
        <w:t xml:space="preserve"> (22,8% wobec 16,5% w 2022 r.).</w:t>
      </w:r>
    </w:p>
    <w:p w14:paraId="19E5A859" w14:textId="7626DEB3" w:rsidR="00177F83" w:rsidRPr="002477A4" w:rsidRDefault="006205DD" w:rsidP="002477A4">
      <w:pPr>
        <w:spacing w:before="240" w:after="240"/>
        <w:rPr>
          <w:rFonts w:ascii="Fira Sans" w:hAnsi="Fira Sans"/>
          <w:spacing w:val="-2"/>
          <w:sz w:val="19"/>
          <w:szCs w:val="19"/>
        </w:rPr>
      </w:pPr>
      <w:r w:rsidRPr="00722348">
        <w:rPr>
          <w:rFonts w:ascii="Fira Sans" w:hAnsi="Fira Sans"/>
          <w:spacing w:val="-2"/>
          <w:sz w:val="19"/>
          <w:szCs w:val="19"/>
        </w:rPr>
        <w:t>Pozostałe czynniki ograniczające wskazało 32,0% ogółu gospodarstw, w tym najczęściej wskazywane były trudności ze zbytem.</w:t>
      </w:r>
    </w:p>
    <w:p w14:paraId="675AF05E" w14:textId="77777777" w:rsidR="002477A4" w:rsidRDefault="002477A4" w:rsidP="00765532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</w:pPr>
    </w:p>
    <w:p w14:paraId="3E82525F" w14:textId="77777777" w:rsidR="00BA1213" w:rsidRDefault="00BA1213" w:rsidP="00765532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</w:pPr>
    </w:p>
    <w:p w14:paraId="289EDB42" w14:textId="77777777" w:rsidR="00BA1213" w:rsidRDefault="00BA1213" w:rsidP="00765532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</w:pPr>
    </w:p>
    <w:p w14:paraId="0CD20B57" w14:textId="77777777" w:rsidR="00765532" w:rsidRDefault="00765532" w:rsidP="00765532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</w:pPr>
      <w:r w:rsidRPr="0025316F">
        <w:rPr>
          <w:rFonts w:ascii="Fira Sans" w:hAnsi="Fira Sans"/>
          <w:b/>
          <w:spacing w:val="-2"/>
          <w:sz w:val="19"/>
          <w:szCs w:val="19"/>
        </w:rPr>
        <w:lastRenderedPageBreak/>
        <w:t>Wojna w Ukrainie</w:t>
      </w:r>
    </w:p>
    <w:p w14:paraId="4BDECC0E" w14:textId="5602C17B" w:rsidR="00DD45DC" w:rsidRDefault="006205DD" w:rsidP="00D208DD">
      <w:pPr>
        <w:spacing w:before="240" w:after="240"/>
        <w:rPr>
          <w:rFonts w:ascii="Fira Sans" w:hAnsi="Fira Sans"/>
          <w:spacing w:val="-2"/>
          <w:sz w:val="19"/>
          <w:szCs w:val="19"/>
        </w:rPr>
      </w:pPr>
      <w:r w:rsidRPr="006205DD">
        <w:rPr>
          <w:rFonts w:ascii="Fira Sans" w:hAnsi="Fira Sans"/>
          <w:spacing w:val="-2"/>
          <w:sz w:val="19"/>
          <w:szCs w:val="19"/>
        </w:rPr>
        <w:t xml:space="preserve">W II półroczu 2023 r. rolnicy </w:t>
      </w:r>
      <w:r w:rsidR="00B47433">
        <w:rPr>
          <w:rFonts w:ascii="Fira Sans" w:hAnsi="Fira Sans"/>
          <w:spacing w:val="-2"/>
          <w:sz w:val="19"/>
          <w:szCs w:val="19"/>
        </w:rPr>
        <w:t xml:space="preserve">również </w:t>
      </w:r>
      <w:r w:rsidRPr="006205DD">
        <w:rPr>
          <w:rFonts w:ascii="Fira Sans" w:hAnsi="Fira Sans"/>
          <w:spacing w:val="-2"/>
          <w:sz w:val="19"/>
          <w:szCs w:val="19"/>
        </w:rPr>
        <w:t>odpowiadali na p</w:t>
      </w:r>
      <w:r w:rsidR="00766490">
        <w:rPr>
          <w:rFonts w:ascii="Fira Sans" w:hAnsi="Fira Sans"/>
          <w:spacing w:val="-2"/>
          <w:sz w:val="19"/>
          <w:szCs w:val="19"/>
        </w:rPr>
        <w:t>ytanie dotyczące wpływu wojny w </w:t>
      </w:r>
      <w:r w:rsidRPr="006205DD">
        <w:rPr>
          <w:rFonts w:ascii="Fira Sans" w:hAnsi="Fira Sans"/>
          <w:spacing w:val="-2"/>
          <w:sz w:val="19"/>
          <w:szCs w:val="19"/>
        </w:rPr>
        <w:t>Ukrainie na s</w:t>
      </w:r>
      <w:r w:rsidR="00C27648">
        <w:rPr>
          <w:rFonts w:ascii="Fira Sans" w:hAnsi="Fira Sans"/>
          <w:spacing w:val="-2"/>
          <w:sz w:val="19"/>
          <w:szCs w:val="19"/>
        </w:rPr>
        <w:t>ytuację ich gospodarstw rolnych.</w:t>
      </w:r>
      <w:r w:rsidR="00A5782D">
        <w:rPr>
          <w:rFonts w:ascii="Fira Sans" w:hAnsi="Fira Sans"/>
          <w:spacing w:val="-2"/>
          <w:sz w:val="19"/>
          <w:szCs w:val="19"/>
        </w:rPr>
        <w:t xml:space="preserve"> </w:t>
      </w:r>
    </w:p>
    <w:p w14:paraId="60D94CBA" w14:textId="6C6E25CD" w:rsidR="00856D71" w:rsidRDefault="002E77FB" w:rsidP="00D208DD">
      <w:pPr>
        <w:spacing w:before="240" w:after="240"/>
        <w:rPr>
          <w:rFonts w:ascii="Fira Sans" w:hAnsi="Fira Sans"/>
          <w:spacing w:val="-2"/>
          <w:sz w:val="19"/>
          <w:szCs w:val="19"/>
        </w:rPr>
      </w:pPr>
      <w:r>
        <w:rPr>
          <w:rFonts w:ascii="Fira Sans" w:hAnsi="Fira Sans"/>
          <w:spacing w:val="-2"/>
          <w:sz w:val="19"/>
          <w:szCs w:val="19"/>
        </w:rPr>
        <w:t>W bieżącej edycji badania</w:t>
      </w:r>
      <w:r w:rsidR="009D3EFE">
        <w:rPr>
          <w:rFonts w:ascii="Fira Sans" w:hAnsi="Fira Sans"/>
          <w:spacing w:val="-2"/>
          <w:sz w:val="19"/>
          <w:szCs w:val="19"/>
        </w:rPr>
        <w:t xml:space="preserve"> 30</w:t>
      </w:r>
      <w:r w:rsidR="00715BE3">
        <w:rPr>
          <w:rFonts w:ascii="Fira Sans" w:hAnsi="Fira Sans"/>
          <w:spacing w:val="-2"/>
          <w:sz w:val="19"/>
          <w:szCs w:val="19"/>
        </w:rPr>
        <w:t>,7</w:t>
      </w:r>
      <w:r w:rsidR="009D3EFE">
        <w:rPr>
          <w:rFonts w:ascii="Fira Sans" w:hAnsi="Fira Sans"/>
          <w:spacing w:val="-2"/>
          <w:sz w:val="19"/>
          <w:szCs w:val="19"/>
        </w:rPr>
        <w:t xml:space="preserve">% </w:t>
      </w:r>
      <w:r w:rsidR="00A02F3A">
        <w:rPr>
          <w:rFonts w:ascii="Fira Sans" w:hAnsi="Fira Sans"/>
          <w:spacing w:val="-2"/>
          <w:sz w:val="19"/>
          <w:szCs w:val="19"/>
        </w:rPr>
        <w:t xml:space="preserve">wszystkich </w:t>
      </w:r>
      <w:r w:rsidR="009D3EFE">
        <w:rPr>
          <w:rFonts w:ascii="Fira Sans" w:hAnsi="Fira Sans"/>
          <w:spacing w:val="-2"/>
          <w:sz w:val="19"/>
          <w:szCs w:val="19"/>
        </w:rPr>
        <w:t>użytkowników gospodarstw rolnych wskazało</w:t>
      </w:r>
      <w:r>
        <w:rPr>
          <w:rFonts w:ascii="Fira Sans" w:hAnsi="Fira Sans"/>
          <w:spacing w:val="-2"/>
          <w:sz w:val="19"/>
          <w:szCs w:val="19"/>
        </w:rPr>
        <w:t xml:space="preserve">, że wojna w Ukrainie miała </w:t>
      </w:r>
      <w:r w:rsidR="009D3EFE">
        <w:rPr>
          <w:rFonts w:ascii="Fira Sans" w:hAnsi="Fira Sans"/>
          <w:spacing w:val="-2"/>
          <w:sz w:val="19"/>
          <w:szCs w:val="19"/>
        </w:rPr>
        <w:t xml:space="preserve">poważny wpływ </w:t>
      </w:r>
      <w:r>
        <w:rPr>
          <w:rFonts w:ascii="Fira Sans" w:hAnsi="Fira Sans"/>
          <w:spacing w:val="-2"/>
          <w:sz w:val="19"/>
          <w:szCs w:val="19"/>
        </w:rPr>
        <w:t>na funkcjonowanie ich gospodar</w:t>
      </w:r>
      <w:r w:rsidR="00A00B1C">
        <w:rPr>
          <w:rFonts w:ascii="Fira Sans" w:hAnsi="Fira Sans"/>
          <w:spacing w:val="-2"/>
          <w:sz w:val="19"/>
          <w:szCs w:val="19"/>
        </w:rPr>
        <w:t>stw (</w:t>
      </w:r>
      <w:r w:rsidR="00A02F3A">
        <w:rPr>
          <w:rFonts w:ascii="Fira Sans" w:hAnsi="Fira Sans"/>
          <w:spacing w:val="-2"/>
          <w:sz w:val="19"/>
          <w:szCs w:val="19"/>
        </w:rPr>
        <w:t>spadek</w:t>
      </w:r>
      <w:r>
        <w:rPr>
          <w:rFonts w:ascii="Fira Sans" w:hAnsi="Fira Sans"/>
          <w:spacing w:val="-2"/>
          <w:sz w:val="19"/>
          <w:szCs w:val="19"/>
        </w:rPr>
        <w:t xml:space="preserve"> o 1,4 p. proc. w</w:t>
      </w:r>
      <w:r w:rsidR="00A02F3A">
        <w:rPr>
          <w:rFonts w:ascii="Fira Sans" w:hAnsi="Fira Sans"/>
          <w:spacing w:val="-2"/>
          <w:sz w:val="19"/>
          <w:szCs w:val="19"/>
        </w:rPr>
        <w:t> </w:t>
      </w:r>
      <w:r>
        <w:rPr>
          <w:rFonts w:ascii="Fira Sans" w:hAnsi="Fira Sans"/>
          <w:spacing w:val="-2"/>
          <w:sz w:val="19"/>
          <w:szCs w:val="19"/>
        </w:rPr>
        <w:t xml:space="preserve">stosunku </w:t>
      </w:r>
      <w:r w:rsidR="00A02F3A">
        <w:rPr>
          <w:rFonts w:ascii="Fira Sans" w:hAnsi="Fira Sans"/>
          <w:spacing w:val="-2"/>
          <w:sz w:val="19"/>
          <w:szCs w:val="19"/>
        </w:rPr>
        <w:t xml:space="preserve">do </w:t>
      </w:r>
      <w:r w:rsidR="00A00B1C">
        <w:rPr>
          <w:rFonts w:ascii="Fira Sans" w:hAnsi="Fira Sans"/>
          <w:spacing w:val="-2"/>
          <w:sz w:val="19"/>
          <w:szCs w:val="19"/>
        </w:rPr>
        <w:t>I edycji 2023 r</w:t>
      </w:r>
      <w:r w:rsidR="00A02F3A">
        <w:rPr>
          <w:rFonts w:ascii="Fira Sans" w:hAnsi="Fira Sans"/>
          <w:spacing w:val="-2"/>
          <w:sz w:val="19"/>
          <w:szCs w:val="19"/>
        </w:rPr>
        <w:t>.</w:t>
      </w:r>
      <w:r w:rsidR="00A00B1C">
        <w:rPr>
          <w:rFonts w:ascii="Fira Sans" w:hAnsi="Fira Sans"/>
          <w:spacing w:val="-2"/>
          <w:sz w:val="19"/>
          <w:szCs w:val="19"/>
        </w:rPr>
        <w:t>).</w:t>
      </w:r>
      <w:r w:rsidR="00A02F3A">
        <w:rPr>
          <w:rFonts w:ascii="Fira Sans" w:hAnsi="Fira Sans"/>
          <w:spacing w:val="-2"/>
          <w:sz w:val="19"/>
          <w:szCs w:val="19"/>
        </w:rPr>
        <w:t xml:space="preserve"> N</w:t>
      </w:r>
      <w:r w:rsidR="009D3EFE">
        <w:rPr>
          <w:rFonts w:ascii="Fira Sans" w:hAnsi="Fira Sans"/>
          <w:spacing w:val="-2"/>
          <w:sz w:val="19"/>
          <w:szCs w:val="19"/>
        </w:rPr>
        <w:t xml:space="preserve">atomiast </w:t>
      </w:r>
      <w:r>
        <w:rPr>
          <w:rFonts w:ascii="Fira Sans" w:hAnsi="Fira Sans"/>
          <w:spacing w:val="-2"/>
          <w:sz w:val="19"/>
          <w:szCs w:val="19"/>
        </w:rPr>
        <w:t>21</w:t>
      </w:r>
      <w:r w:rsidR="009128BB">
        <w:rPr>
          <w:rFonts w:ascii="Fira Sans" w:hAnsi="Fira Sans"/>
          <w:spacing w:val="-2"/>
          <w:sz w:val="19"/>
          <w:szCs w:val="19"/>
        </w:rPr>
        <w:t>,0</w:t>
      </w:r>
      <w:r>
        <w:rPr>
          <w:rFonts w:ascii="Fira Sans" w:hAnsi="Fira Sans"/>
          <w:spacing w:val="-2"/>
          <w:sz w:val="19"/>
          <w:szCs w:val="19"/>
        </w:rPr>
        <w:t>%</w:t>
      </w:r>
      <w:r w:rsidR="00A02F3A">
        <w:rPr>
          <w:rFonts w:ascii="Fira Sans" w:hAnsi="Fira Sans"/>
          <w:spacing w:val="-2"/>
          <w:sz w:val="19"/>
          <w:szCs w:val="19"/>
        </w:rPr>
        <w:t xml:space="preserve"> </w:t>
      </w:r>
      <w:r w:rsidR="00A00B1C">
        <w:rPr>
          <w:rFonts w:ascii="Fira Sans" w:hAnsi="Fira Sans"/>
          <w:spacing w:val="-2"/>
          <w:sz w:val="19"/>
          <w:szCs w:val="19"/>
        </w:rPr>
        <w:t xml:space="preserve">respondentów </w:t>
      </w:r>
      <w:r w:rsidR="00A02F3A">
        <w:rPr>
          <w:rFonts w:ascii="Fira Sans" w:hAnsi="Fira Sans"/>
          <w:spacing w:val="-2"/>
          <w:sz w:val="19"/>
          <w:szCs w:val="19"/>
        </w:rPr>
        <w:t xml:space="preserve">wskazało wojnę w Ukrainie jako czynnik </w:t>
      </w:r>
      <w:r w:rsidR="009D3EFE">
        <w:rPr>
          <w:rFonts w:ascii="Fira Sans" w:hAnsi="Fira Sans"/>
          <w:spacing w:val="-2"/>
          <w:sz w:val="19"/>
          <w:szCs w:val="19"/>
        </w:rPr>
        <w:t xml:space="preserve">zagrażający stabilności </w:t>
      </w:r>
      <w:r w:rsidR="00A00B1C">
        <w:rPr>
          <w:rFonts w:ascii="Fira Sans" w:hAnsi="Fira Sans"/>
          <w:spacing w:val="-2"/>
          <w:sz w:val="19"/>
          <w:szCs w:val="19"/>
        </w:rPr>
        <w:t>ich gospodarstw rolnych.</w:t>
      </w:r>
      <w:r w:rsidR="0086509D">
        <w:rPr>
          <w:rFonts w:ascii="Fira Sans" w:hAnsi="Fira Sans"/>
          <w:spacing w:val="-2"/>
          <w:sz w:val="19"/>
          <w:szCs w:val="19"/>
        </w:rPr>
        <w:t xml:space="preserve"> </w:t>
      </w:r>
      <w:r w:rsidR="00A44F76">
        <w:rPr>
          <w:rFonts w:ascii="Fira Sans" w:hAnsi="Fira Sans"/>
          <w:spacing w:val="-2"/>
          <w:sz w:val="19"/>
          <w:szCs w:val="19"/>
        </w:rPr>
        <w:t xml:space="preserve">W ostatnich edycjach badania procent wskazań tego wariantu odpowiedzi sukcesywnie wzrasta wśród użytkowników gospodarstw rolnych: w I edycji 2023 r. </w:t>
      </w:r>
      <w:r w:rsidR="0052132E">
        <w:rPr>
          <w:rFonts w:ascii="Fira Sans" w:hAnsi="Fira Sans"/>
          <w:spacing w:val="-2"/>
          <w:sz w:val="19"/>
          <w:szCs w:val="19"/>
        </w:rPr>
        <w:t>odsetek ten w</w:t>
      </w:r>
      <w:r w:rsidR="00A44F76">
        <w:rPr>
          <w:rFonts w:ascii="Fira Sans" w:hAnsi="Fira Sans"/>
          <w:spacing w:val="-2"/>
          <w:sz w:val="19"/>
          <w:szCs w:val="19"/>
        </w:rPr>
        <w:t>ynosił 19,5%, a w II edycji 2022 r. kształtował się na poziomie 16,9%.</w:t>
      </w:r>
    </w:p>
    <w:p w14:paraId="4DFA7316" w14:textId="3AAFFBA6" w:rsidR="00C9305A" w:rsidRPr="00C9305A" w:rsidRDefault="00C9305A" w:rsidP="00350561">
      <w:pPr>
        <w:spacing w:before="240" w:after="240"/>
        <w:rPr>
          <w:rFonts w:ascii="Fira Sans" w:hAnsi="Fira Sans"/>
          <w:b/>
          <w:spacing w:val="-2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006848" behindDoc="0" locked="0" layoutInCell="1" allowOverlap="1" wp14:anchorId="0053EF84" wp14:editId="10DB2A77">
            <wp:simplePos x="0" y="0"/>
            <wp:positionH relativeFrom="column">
              <wp:posOffset>-59635</wp:posOffset>
            </wp:positionH>
            <wp:positionV relativeFrom="paragraph">
              <wp:posOffset>422137</wp:posOffset>
            </wp:positionV>
            <wp:extent cx="5122545" cy="2854325"/>
            <wp:effectExtent l="0" t="0" r="1905" b="3175"/>
            <wp:wrapNone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Pr="00C9305A">
        <w:rPr>
          <w:rFonts w:ascii="Fira Sans" w:hAnsi="Fira Sans"/>
          <w:b/>
          <w:spacing w:val="-2"/>
          <w:sz w:val="19"/>
          <w:szCs w:val="19"/>
        </w:rPr>
        <w:t>Wykres 11. Wpływ wojny w Ukrainie na gospodarstwa rolne w II półroczu 2023 r. wg. rodzaju produkcji</w:t>
      </w:r>
    </w:p>
    <w:p w14:paraId="73C88455" w14:textId="0151D048" w:rsidR="00765532" w:rsidRDefault="00765532" w:rsidP="00765532">
      <w:pPr>
        <w:spacing w:line="259" w:lineRule="auto"/>
        <w:rPr>
          <w:rFonts w:ascii="Fira Sans" w:hAnsi="Fira Sans"/>
          <w:b/>
          <w:spacing w:val="-2"/>
          <w:sz w:val="18"/>
        </w:rPr>
      </w:pPr>
    </w:p>
    <w:p w14:paraId="5E6FC135" w14:textId="46F5594D" w:rsidR="00C9305A" w:rsidRDefault="00C9305A" w:rsidP="00765532">
      <w:pPr>
        <w:spacing w:line="259" w:lineRule="auto"/>
        <w:rPr>
          <w:rFonts w:ascii="Fira Sans" w:hAnsi="Fira Sans"/>
          <w:b/>
          <w:spacing w:val="-2"/>
          <w:sz w:val="18"/>
        </w:rPr>
      </w:pPr>
    </w:p>
    <w:p w14:paraId="42F8D51F" w14:textId="77777777" w:rsidR="00C9305A" w:rsidRDefault="00C9305A" w:rsidP="00717A15">
      <w:pPr>
        <w:spacing w:line="259" w:lineRule="auto"/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</w:pPr>
    </w:p>
    <w:p w14:paraId="5F14E173" w14:textId="77777777" w:rsidR="00C9305A" w:rsidRDefault="00C9305A" w:rsidP="00717A15">
      <w:pPr>
        <w:spacing w:line="259" w:lineRule="auto"/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</w:pPr>
    </w:p>
    <w:p w14:paraId="3F19D4CA" w14:textId="77777777" w:rsidR="00C9305A" w:rsidRDefault="00C9305A" w:rsidP="00717A15">
      <w:pPr>
        <w:spacing w:line="259" w:lineRule="auto"/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</w:pPr>
    </w:p>
    <w:p w14:paraId="5D052552" w14:textId="77777777" w:rsidR="00C9305A" w:rsidRDefault="00C9305A" w:rsidP="00717A15">
      <w:pPr>
        <w:spacing w:line="259" w:lineRule="auto"/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</w:pPr>
    </w:p>
    <w:p w14:paraId="29758FC2" w14:textId="77777777" w:rsidR="00C9305A" w:rsidRDefault="00C9305A" w:rsidP="00717A15">
      <w:pPr>
        <w:spacing w:line="259" w:lineRule="auto"/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</w:pPr>
    </w:p>
    <w:p w14:paraId="1E18DE92" w14:textId="77777777" w:rsidR="00C9305A" w:rsidRDefault="00C9305A" w:rsidP="00717A15">
      <w:pPr>
        <w:spacing w:line="259" w:lineRule="auto"/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</w:pPr>
    </w:p>
    <w:p w14:paraId="3B1F3964" w14:textId="77777777" w:rsidR="00C9305A" w:rsidRDefault="00C9305A" w:rsidP="00717A15">
      <w:pPr>
        <w:spacing w:line="259" w:lineRule="auto"/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</w:pPr>
    </w:p>
    <w:p w14:paraId="37E98D91" w14:textId="77777777" w:rsidR="00C9305A" w:rsidRDefault="00C9305A" w:rsidP="00717A15">
      <w:pPr>
        <w:spacing w:line="259" w:lineRule="auto"/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</w:pPr>
    </w:p>
    <w:p w14:paraId="15E8BE28" w14:textId="77777777" w:rsidR="00C9305A" w:rsidRDefault="00C9305A" w:rsidP="00717A15">
      <w:pPr>
        <w:spacing w:line="259" w:lineRule="auto"/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</w:pPr>
    </w:p>
    <w:p w14:paraId="425C6AB6" w14:textId="6E76A148" w:rsidR="003B2C96" w:rsidRDefault="00715BE3" w:rsidP="00134F51">
      <w:pPr>
        <w:spacing w:before="240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</w:pP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W stosunku do poprzedniej edycji badania</w:t>
      </w:r>
      <w:r w:rsidR="00134F51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o 2,0 p. proc.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wzrósł</w:t>
      </w:r>
      <w:r w:rsidR="00134F51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również </w:t>
      </w:r>
      <w:r w:rsidR="00134F51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odsetek gospodarstw</w:t>
      </w:r>
      <w:r w:rsidR="00856D71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,</w:t>
      </w:r>
      <w:r w:rsidR="00134F51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na które wojna w Ukrainie wywarła nieznaczny wpływ. Obecnie kształtuje się on na poziomie 30,6%. J</w:t>
      </w:r>
      <w:r w:rsidR="0052132E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ednocześnie </w:t>
      </w:r>
      <w:r w:rsidR="00134F51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zaobserwowano </w:t>
      </w:r>
      <w:r w:rsidR="0052132E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spadek liczby gospodarstw</w:t>
      </w:r>
      <w:r w:rsidR="00856D71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,</w:t>
      </w:r>
      <w:r w:rsidR="0052132E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na które wojna w Ukrainie nie wywiera negatywnych skutków. 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W II edycji 2023 r. o</w:t>
      </w:r>
      <w:r w:rsidR="0052132E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dpowiedź tę wskazało 17,7% użytkowników gospodarstw </w:t>
      </w:r>
      <w:r w:rsidR="009128BB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objętych badaniem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(spadek o 2,1 p. proc. w stosunku I edycji 2023 r.).</w:t>
      </w:r>
    </w:p>
    <w:p w14:paraId="6E89AC5C" w14:textId="10F519E4" w:rsidR="00D208DD" w:rsidRDefault="00A0171D" w:rsidP="00C9305A">
      <w:pPr>
        <w:spacing w:line="259" w:lineRule="auto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  <w:br w:type="page"/>
      </w:r>
    </w:p>
    <w:p w14:paraId="32A62C73" w14:textId="77777777" w:rsidR="00D208DD" w:rsidRPr="00D208DD" w:rsidRDefault="00D208DD" w:rsidP="00D208DD">
      <w:pPr>
        <w:spacing w:before="240" w:after="240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sectPr w:rsidR="00D208DD" w:rsidRPr="00D208DD" w:rsidSect="00E637E4">
          <w:type w:val="continuous"/>
          <w:pgSz w:w="11906" w:h="16838" w:code="9"/>
          <w:pgMar w:top="720" w:right="3119" w:bottom="142" w:left="720" w:header="284" w:footer="284" w:gutter="0"/>
          <w:cols w:space="708"/>
          <w:titlePg/>
          <w:docGrid w:linePitch="360"/>
        </w:sectPr>
      </w:pPr>
    </w:p>
    <w:tbl>
      <w:tblPr>
        <w:tblStyle w:val="Tabela-Siatka1"/>
        <w:tblW w:w="992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5001"/>
      </w:tblGrid>
      <w:tr w:rsidR="00FF0DFB" w:rsidRPr="00E31060" w14:paraId="0065D9DD" w14:textId="77777777" w:rsidTr="003B6FFA">
        <w:trPr>
          <w:trHeight w:val="1626"/>
        </w:trPr>
        <w:tc>
          <w:tcPr>
            <w:tcW w:w="4926" w:type="dxa"/>
          </w:tcPr>
          <w:p w14:paraId="2C040854" w14:textId="77777777" w:rsidR="00FF0DFB" w:rsidRPr="00E31060" w:rsidRDefault="00FF0DFB" w:rsidP="003B6FFA">
            <w:pPr>
              <w:spacing w:line="276" w:lineRule="auto"/>
              <w:rPr>
                <w:rFonts w:ascii="Fira Sans" w:eastAsia="Calibri" w:hAnsi="Fira Sans" w:cs="Arial"/>
                <w:sz w:val="20"/>
              </w:rPr>
            </w:pPr>
            <w:r w:rsidRPr="00E31060">
              <w:rPr>
                <w:rFonts w:ascii="Fira Sans" w:eastAsia="Calibri" w:hAnsi="Fira Sans" w:cs="Arial"/>
                <w:sz w:val="20"/>
              </w:rPr>
              <w:lastRenderedPageBreak/>
              <w:t>Opracowanie merytoryczne:</w:t>
            </w:r>
          </w:p>
          <w:p w14:paraId="31C03C1C" w14:textId="77777777" w:rsidR="00FF0DFB" w:rsidRPr="00E31060" w:rsidRDefault="00FF0DFB" w:rsidP="003B6FFA">
            <w:pPr>
              <w:spacing w:after="120" w:line="276" w:lineRule="auto"/>
              <w:rPr>
                <w:rFonts w:ascii="Fira Sans" w:eastAsia="Calibri" w:hAnsi="Fira Sans" w:cs="Arial"/>
                <w:b/>
                <w:color w:val="000000"/>
                <w:sz w:val="20"/>
              </w:rPr>
            </w:pPr>
            <w:r w:rsidRPr="00E31060">
              <w:rPr>
                <w:rFonts w:ascii="Fira Sans" w:eastAsia="Calibri" w:hAnsi="Fira Sans" w:cs="Arial"/>
                <w:b/>
                <w:sz w:val="20"/>
              </w:rPr>
              <w:t>Urząd Statystyczny w Zielonej Górze</w:t>
            </w:r>
          </w:p>
          <w:p w14:paraId="36CEBD7D" w14:textId="77777777" w:rsidR="00FF0DFB" w:rsidRPr="00E31060" w:rsidRDefault="00FF0DFB" w:rsidP="003B6FFA">
            <w:pPr>
              <w:spacing w:line="276" w:lineRule="auto"/>
              <w:rPr>
                <w:rFonts w:ascii="Fira Sans" w:eastAsia="Calibri" w:hAnsi="Fira Sans" w:cs="Times New Roman"/>
                <w:b/>
                <w:sz w:val="19"/>
                <w:lang w:val="fi-FI"/>
              </w:rPr>
            </w:pPr>
            <w:r w:rsidRPr="00E31060">
              <w:rPr>
                <w:rFonts w:ascii="Fira Sans" w:eastAsia="Calibri" w:hAnsi="Fira Sans" w:cs="Times New Roman"/>
                <w:b/>
                <w:sz w:val="19"/>
                <w:lang w:val="fi-FI"/>
              </w:rPr>
              <w:t>Dyrektor Roman Fedak</w:t>
            </w:r>
          </w:p>
          <w:p w14:paraId="34482A8B" w14:textId="77777777" w:rsidR="00FF0DFB" w:rsidRPr="00E31060" w:rsidRDefault="00FF0DFB" w:rsidP="003B6FFA">
            <w:pPr>
              <w:keepNext/>
              <w:keepLines/>
              <w:spacing w:after="120" w:line="240" w:lineRule="auto"/>
              <w:outlineLvl w:val="2"/>
              <w:rPr>
                <w:rFonts w:ascii="Fira Sans" w:eastAsia="Times New Roman" w:hAnsi="Fira Sans" w:cs="Arial"/>
                <w:color w:val="000000"/>
                <w:sz w:val="20"/>
                <w:szCs w:val="24"/>
                <w:lang w:val="fi-FI"/>
              </w:rPr>
            </w:pPr>
            <w:r w:rsidRPr="00E31060">
              <w:rPr>
                <w:rFonts w:ascii="Fira Sans" w:eastAsia="Times New Roman" w:hAnsi="Fira Sans" w:cs="Arial"/>
                <w:color w:val="000000"/>
                <w:sz w:val="20"/>
                <w:szCs w:val="24"/>
                <w:lang w:val="fi-FI"/>
              </w:rPr>
              <w:t>Tel: 68 322 31 12</w:t>
            </w:r>
          </w:p>
        </w:tc>
        <w:tc>
          <w:tcPr>
            <w:tcW w:w="5001" w:type="dxa"/>
          </w:tcPr>
          <w:p w14:paraId="4F94F0EF" w14:textId="77777777" w:rsidR="00FF0DFB" w:rsidRPr="00E31060" w:rsidRDefault="00FF0DFB" w:rsidP="003B6FFA">
            <w:pPr>
              <w:spacing w:after="120" w:line="276" w:lineRule="auto"/>
              <w:rPr>
                <w:rFonts w:ascii="Fira Sans" w:eastAsia="Calibri" w:hAnsi="Fira Sans" w:cs="Arial"/>
                <w:b/>
                <w:sz w:val="20"/>
              </w:rPr>
            </w:pPr>
            <w:r w:rsidRPr="00E31060">
              <w:rPr>
                <w:rFonts w:ascii="Fira Sans" w:eastAsia="Calibri" w:hAnsi="Fira Sans" w:cs="Arial"/>
                <w:sz w:val="20"/>
              </w:rPr>
              <w:t>Rozpowszechnianie:</w:t>
            </w:r>
            <w:r w:rsidRPr="00E31060">
              <w:rPr>
                <w:rFonts w:ascii="Fira Sans" w:eastAsia="Calibri" w:hAnsi="Fira Sans" w:cs="Arial"/>
                <w:sz w:val="20"/>
              </w:rPr>
              <w:br/>
            </w:r>
            <w:r w:rsidRPr="00E31060">
              <w:rPr>
                <w:rFonts w:ascii="Fira Sans" w:eastAsia="Calibri" w:hAnsi="Fira Sans" w:cs="Arial"/>
                <w:b/>
                <w:sz w:val="20"/>
              </w:rPr>
              <w:t>Rzecznik Prasowy Prezesa GUS</w:t>
            </w:r>
          </w:p>
          <w:p w14:paraId="1FEBE3E2" w14:textId="77777777" w:rsidR="00FF0DFB" w:rsidRPr="00E31060" w:rsidRDefault="00FF0DFB" w:rsidP="003B6FFA">
            <w:pPr>
              <w:keepNext/>
              <w:keepLines/>
              <w:spacing w:line="240" w:lineRule="auto"/>
              <w:outlineLvl w:val="2"/>
              <w:rPr>
                <w:rFonts w:ascii="Fira Sans" w:eastAsia="Times New Roman" w:hAnsi="Fira Sans" w:cs="Arial"/>
                <w:b/>
                <w:sz w:val="20"/>
                <w:szCs w:val="28"/>
              </w:rPr>
            </w:pPr>
            <w:r w:rsidRPr="00E31060">
              <w:rPr>
                <w:rFonts w:ascii="Fira Sans" w:eastAsia="Times New Roman" w:hAnsi="Fira Sans" w:cs="Arial"/>
                <w:b/>
                <w:sz w:val="20"/>
                <w:szCs w:val="28"/>
              </w:rPr>
              <w:t>Karolina Banaszek</w:t>
            </w:r>
          </w:p>
          <w:p w14:paraId="37920D86" w14:textId="77777777" w:rsidR="00FF0DFB" w:rsidRPr="00E31060" w:rsidRDefault="00FF0DFB" w:rsidP="003B6FFA">
            <w:pPr>
              <w:keepNext/>
              <w:keepLines/>
              <w:spacing w:line="240" w:lineRule="auto"/>
              <w:outlineLvl w:val="2"/>
              <w:rPr>
                <w:rFonts w:ascii="Fira Sans" w:eastAsia="Times New Roman" w:hAnsi="Fira Sans" w:cs="Arial"/>
                <w:sz w:val="20"/>
                <w:szCs w:val="24"/>
                <w:lang w:val="fi-FI"/>
              </w:rPr>
            </w:pPr>
            <w:r w:rsidRPr="00E31060">
              <w:rPr>
                <w:rFonts w:ascii="Fira Sans" w:eastAsia="Times New Roman" w:hAnsi="Fira Sans" w:cs="Arial"/>
                <w:sz w:val="20"/>
                <w:szCs w:val="24"/>
                <w:lang w:val="fi-FI"/>
              </w:rPr>
              <w:t>Tel: 695 255 011</w:t>
            </w:r>
          </w:p>
          <w:p w14:paraId="791D9EE6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sz w:val="18"/>
              </w:rPr>
            </w:pPr>
          </w:p>
        </w:tc>
      </w:tr>
      <w:tr w:rsidR="00FF0DFB" w:rsidRPr="00E31060" w14:paraId="0D0B64DA" w14:textId="77777777" w:rsidTr="003B6FFA">
        <w:trPr>
          <w:trHeight w:val="418"/>
        </w:trPr>
        <w:tc>
          <w:tcPr>
            <w:tcW w:w="4926" w:type="dxa"/>
            <w:vMerge w:val="restart"/>
          </w:tcPr>
          <w:p w14:paraId="5E63B3F2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  <w:r w:rsidRPr="00E31060">
              <w:rPr>
                <w:rFonts w:ascii="Fira Sans" w:eastAsia="Calibri" w:hAnsi="Fira Sans" w:cs="Times New Roman"/>
                <w:b/>
                <w:sz w:val="20"/>
              </w:rPr>
              <w:t xml:space="preserve">Wydział Współpracy z Mediami </w:t>
            </w:r>
          </w:p>
          <w:p w14:paraId="31FB41C1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sz w:val="20"/>
              </w:rPr>
            </w:pPr>
            <w:r w:rsidRPr="00E31060">
              <w:rPr>
                <w:rFonts w:ascii="Fira Sans" w:eastAsia="Calibri" w:hAnsi="Fira Sans" w:cs="Times New Roman"/>
                <w:sz w:val="20"/>
              </w:rPr>
              <w:t xml:space="preserve">Tel: 22 608 38 04 </w:t>
            </w:r>
          </w:p>
          <w:p w14:paraId="0F164E20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sz w:val="18"/>
                <w:lang w:val="en-US"/>
              </w:rPr>
            </w:pPr>
            <w:r w:rsidRPr="00E31060">
              <w:rPr>
                <w:rFonts w:ascii="Fira Sans" w:eastAsia="Calibri" w:hAnsi="Fira Sans" w:cs="Times New Roman"/>
                <w:b/>
                <w:sz w:val="20"/>
                <w:lang w:val="en-GB"/>
              </w:rPr>
              <w:t>e-mail:</w:t>
            </w:r>
            <w:r w:rsidRPr="00E31060">
              <w:rPr>
                <w:rFonts w:ascii="Fira Sans" w:eastAsia="Calibri" w:hAnsi="Fira Sans" w:cs="Times New Roman"/>
                <w:sz w:val="20"/>
                <w:lang w:val="en-GB"/>
              </w:rPr>
              <w:t xml:space="preserve"> </w:t>
            </w:r>
            <w:hyperlink r:id="rId26" w:history="1">
              <w:r w:rsidRPr="00E31060">
                <w:rPr>
                  <w:rFonts w:ascii="Fira Sans" w:eastAsia="Times New Roman" w:hAnsi="Fira Sans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5001" w:type="dxa"/>
            <w:vAlign w:val="center"/>
          </w:tcPr>
          <w:p w14:paraId="65BFE043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18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0000" behindDoc="0" locked="0" layoutInCell="1" allowOverlap="1" wp14:anchorId="1C0C7B34" wp14:editId="25DF3C4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1060">
              <w:rPr>
                <w:rFonts w:ascii="Fira Sans" w:eastAsia="Calibri" w:hAnsi="Fira Sans" w:cs="Times New Roman"/>
                <w:sz w:val="20"/>
              </w:rPr>
              <w:t>www.stat.gov.pl</w:t>
            </w:r>
          </w:p>
        </w:tc>
      </w:tr>
      <w:tr w:rsidR="00FF0DFB" w:rsidRPr="00E31060" w14:paraId="5C8C18E7" w14:textId="77777777" w:rsidTr="003B6FFA">
        <w:trPr>
          <w:trHeight w:val="418"/>
        </w:trPr>
        <w:tc>
          <w:tcPr>
            <w:tcW w:w="4926" w:type="dxa"/>
            <w:vMerge/>
          </w:tcPr>
          <w:p w14:paraId="0928B200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  <w:vAlign w:val="center"/>
          </w:tcPr>
          <w:p w14:paraId="79416351" w14:textId="77777777" w:rsidR="00FF0DFB" w:rsidRPr="00E31060" w:rsidRDefault="00A12E83" w:rsidP="00D735C2">
            <w:pPr>
              <w:spacing w:before="120" w:after="120"/>
              <w:rPr>
                <w:rFonts w:ascii="Fira Sans" w:eastAsia="Calibri" w:hAnsi="Fira Sans" w:cs="Times New Roman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003776" behindDoc="0" locked="0" layoutInCell="1" allowOverlap="1" wp14:anchorId="00184717" wp14:editId="3E6BE1EC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24765</wp:posOffset>
                  </wp:positionV>
                  <wp:extent cx="251460" cy="251460"/>
                  <wp:effectExtent l="0" t="0" r="0" b="0"/>
                  <wp:wrapThrough wrapText="bothSides">
                    <wp:wrapPolygon edited="0">
                      <wp:start x="1636" y="0"/>
                      <wp:lineTo x="0" y="4909"/>
                      <wp:lineTo x="0" y="16364"/>
                      <wp:lineTo x="1636" y="19636"/>
                      <wp:lineTo x="18000" y="19636"/>
                      <wp:lineTo x="19636" y="16364"/>
                      <wp:lineTo x="19636" y="4909"/>
                      <wp:lineTo x="18000" y="0"/>
                      <wp:lineTo x="1636" y="0"/>
                    </wp:wrapPolygon>
                  </wp:wrapThrough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0DFB" w:rsidRPr="00E31060">
              <w:rPr>
                <w:rFonts w:ascii="Fira Sans" w:eastAsia="Calibri" w:hAnsi="Fira Sans" w:cs="Times New Roman"/>
                <w:sz w:val="20"/>
              </w:rPr>
              <w:t>@GUS_STAT</w:t>
            </w:r>
          </w:p>
        </w:tc>
      </w:tr>
      <w:tr w:rsidR="00FF0DFB" w:rsidRPr="00E31060" w14:paraId="4C8F5415" w14:textId="77777777" w:rsidTr="003B6FFA">
        <w:trPr>
          <w:trHeight w:val="476"/>
        </w:trPr>
        <w:tc>
          <w:tcPr>
            <w:tcW w:w="4926" w:type="dxa"/>
            <w:vMerge/>
          </w:tcPr>
          <w:p w14:paraId="05A44723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0A49CECD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18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2048" behindDoc="0" locked="0" layoutInCell="1" allowOverlap="1" wp14:anchorId="4BC6E6CA" wp14:editId="2890A28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1060">
              <w:rPr>
                <w:rFonts w:ascii="Fira Sans" w:eastAsia="Calibri" w:hAnsi="Fira Sans" w:cs="Times New Roman"/>
                <w:sz w:val="20"/>
              </w:rPr>
              <w:t>@</w:t>
            </w:r>
            <w:proofErr w:type="spellStart"/>
            <w:r w:rsidRPr="00E31060">
              <w:rPr>
                <w:rFonts w:ascii="Fira Sans" w:eastAsia="Calibri" w:hAnsi="Fira Sans" w:cs="Times New Roman"/>
                <w:sz w:val="20"/>
              </w:rPr>
              <w:t>GlownyUrzadStatystyczny</w:t>
            </w:r>
            <w:proofErr w:type="spellEnd"/>
          </w:p>
        </w:tc>
      </w:tr>
      <w:tr w:rsidR="00FF0DFB" w:rsidRPr="00E31060" w14:paraId="1DEC2E6B" w14:textId="77777777" w:rsidTr="003B6FFA">
        <w:trPr>
          <w:trHeight w:val="476"/>
        </w:trPr>
        <w:tc>
          <w:tcPr>
            <w:tcW w:w="4926" w:type="dxa"/>
          </w:tcPr>
          <w:p w14:paraId="319979A7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67DCD535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20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3072" behindDoc="0" locked="0" layoutInCell="1" allowOverlap="1" wp14:anchorId="4FB727DF" wp14:editId="40817D4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31060">
              <w:rPr>
                <w:rFonts w:ascii="Fira Sans" w:eastAsia="Calibri" w:hAnsi="Fira Sans" w:cs="Times New Roman"/>
                <w:sz w:val="20"/>
              </w:rPr>
              <w:t>gus_stat</w:t>
            </w:r>
            <w:proofErr w:type="spellEnd"/>
          </w:p>
        </w:tc>
      </w:tr>
      <w:tr w:rsidR="00FF0DFB" w:rsidRPr="00E31060" w14:paraId="4C428E5B" w14:textId="77777777" w:rsidTr="003B6FFA">
        <w:trPr>
          <w:trHeight w:val="476"/>
        </w:trPr>
        <w:tc>
          <w:tcPr>
            <w:tcW w:w="4926" w:type="dxa"/>
          </w:tcPr>
          <w:p w14:paraId="08BD8263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693FB653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20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4096" behindDoc="0" locked="0" layoutInCell="1" allowOverlap="1" wp14:anchorId="42AF58B8" wp14:editId="5BEB5B7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" name="Obraz 2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31060">
              <w:rPr>
                <w:rFonts w:ascii="Fira Sans" w:eastAsia="Calibri" w:hAnsi="Fira Sans" w:cs="Times New Roman"/>
                <w:sz w:val="20"/>
              </w:rPr>
              <w:t>glownyurzadstatystycznygus</w:t>
            </w:r>
            <w:proofErr w:type="spellEnd"/>
          </w:p>
        </w:tc>
      </w:tr>
      <w:tr w:rsidR="00FF0DFB" w:rsidRPr="00E31060" w14:paraId="6BB21B60" w14:textId="77777777" w:rsidTr="003B6FFA">
        <w:trPr>
          <w:trHeight w:val="953"/>
        </w:trPr>
        <w:tc>
          <w:tcPr>
            <w:tcW w:w="4926" w:type="dxa"/>
          </w:tcPr>
          <w:p w14:paraId="305C0ABB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56148152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20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t>glownyurzadstatystyczny</w:t>
            </w: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5120" behindDoc="0" locked="0" layoutInCell="1" allowOverlap="1" wp14:anchorId="6F20CF27" wp14:editId="58B7EC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7" name="Obraz 17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0DFB" w:rsidRPr="00E31060" w14:paraId="6100405C" w14:textId="77777777" w:rsidTr="003B6FFA">
        <w:trPr>
          <w:trHeight w:val="4114"/>
        </w:trPr>
        <w:tc>
          <w:tcPr>
            <w:tcW w:w="9927" w:type="dxa"/>
            <w:gridSpan w:val="2"/>
            <w:shd w:val="clear" w:color="auto" w:fill="D9D9D9"/>
          </w:tcPr>
          <w:p w14:paraId="2AD123FE" w14:textId="77777777" w:rsidR="00FF0DFB" w:rsidRPr="00E31060" w:rsidRDefault="00FF0DFB" w:rsidP="003B6FFA">
            <w:pPr>
              <w:shd w:val="clear" w:color="auto" w:fill="D9D9D9"/>
              <w:spacing w:before="120" w:after="120"/>
              <w:rPr>
                <w:rFonts w:ascii="Fira Sans" w:eastAsia="Calibri" w:hAnsi="Fira Sans" w:cs="Times New Roman"/>
                <w:b/>
                <w:sz w:val="19"/>
              </w:rPr>
            </w:pPr>
            <w:r w:rsidRPr="00E31060">
              <w:rPr>
                <w:rFonts w:ascii="Fira Sans" w:eastAsia="Calibri" w:hAnsi="Fira Sans" w:cs="Times New Roman"/>
                <w:b/>
                <w:sz w:val="19"/>
              </w:rPr>
              <w:t>Powiązane opracowania</w:t>
            </w:r>
          </w:p>
          <w:p w14:paraId="345E9354" w14:textId="77777777" w:rsidR="007C046A" w:rsidRPr="009E67BF" w:rsidRDefault="00297190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9"/>
                <w:szCs w:val="19"/>
              </w:rPr>
            </w:pPr>
            <w:hyperlink r:id="rId33" w:history="1">
              <w:r w:rsidR="007C046A" w:rsidRPr="009E67BF">
                <w:rPr>
                  <w:rFonts w:ascii="Fira Sans" w:eastAsia="Fira Sans Light" w:hAnsi="Fira Sans" w:cs="Times New Roman"/>
                  <w:color w:val="0000FF"/>
                  <w:sz w:val="19"/>
                  <w:szCs w:val="19"/>
                  <w:u w:val="single"/>
                </w:rPr>
                <w:t>Rolnictwo</w:t>
              </w:r>
            </w:hyperlink>
            <w:r w:rsidR="007C046A" w:rsidRPr="009E67BF">
              <w:rPr>
                <w:rFonts w:ascii="Fira Sans" w:eastAsia="Fira Sans Light" w:hAnsi="Fira Sans" w:cs="Times New Roman"/>
                <w:color w:val="001D77"/>
                <w:sz w:val="19"/>
                <w:szCs w:val="19"/>
              </w:rPr>
              <w:t xml:space="preserve"> </w:t>
            </w:r>
          </w:p>
          <w:p w14:paraId="2B46BF01" w14:textId="77777777" w:rsidR="007C046A" w:rsidRPr="007C046A" w:rsidRDefault="00297190" w:rsidP="007C046A">
            <w:pPr>
              <w:spacing w:before="120" w:after="120"/>
              <w:rPr>
                <w:rFonts w:ascii="Fira Sans" w:eastAsia="Calibri" w:hAnsi="Fira Sans" w:cs="Times New Roman"/>
                <w:sz w:val="19"/>
              </w:rPr>
            </w:pPr>
            <w:hyperlink r:id="rId34" w:history="1">
              <w:r w:rsidR="007C046A" w:rsidRPr="007C046A">
                <w:rPr>
                  <w:rFonts w:ascii="Fira Sans" w:eastAsia="Calibri" w:hAnsi="Fira Sans" w:cs="Times New Roman"/>
                  <w:color w:val="0000FF"/>
                  <w:sz w:val="19"/>
                  <w:u w:val="single"/>
                </w:rPr>
                <w:t>Koniunktura</w:t>
              </w:r>
            </w:hyperlink>
          </w:p>
          <w:p w14:paraId="541A59C3" w14:textId="77777777" w:rsidR="007C046A" w:rsidRPr="007C046A" w:rsidRDefault="007C046A" w:rsidP="007C046A">
            <w:pPr>
              <w:spacing w:before="120" w:after="120"/>
              <w:rPr>
                <w:rFonts w:ascii="Fira Sans" w:eastAsia="Calibri" w:hAnsi="Fira Sans" w:cs="Times New Roman"/>
                <w:sz w:val="19"/>
              </w:rPr>
            </w:pPr>
            <w:r w:rsidRPr="007C046A">
              <w:rPr>
                <w:rFonts w:ascii="Fira Sans" w:eastAsia="Calibri" w:hAnsi="Fira Sans" w:cs="Times New Roman"/>
                <w:sz w:val="19"/>
              </w:rPr>
              <w:t>Informacja sygnalna – opinie formułowane przez użytkowników gospodarstw indywidualnych oraz jednostki prawne i niemające osobowości prawnej</w:t>
            </w:r>
          </w:p>
          <w:p w14:paraId="11F263DC" w14:textId="77777777" w:rsidR="007C046A" w:rsidRPr="007C046A" w:rsidRDefault="007C046A" w:rsidP="007C046A">
            <w:pPr>
              <w:shd w:val="clear" w:color="auto" w:fill="D9D9D9"/>
              <w:spacing w:before="360" w:after="120"/>
              <w:rPr>
                <w:rFonts w:ascii="Fira Sans" w:eastAsia="Calibri" w:hAnsi="Fira Sans" w:cs="Times New Roman"/>
                <w:b/>
                <w:color w:val="000000"/>
                <w:sz w:val="19"/>
                <w:szCs w:val="24"/>
              </w:rPr>
            </w:pPr>
            <w:r w:rsidRPr="007C046A">
              <w:rPr>
                <w:rFonts w:ascii="Fira Sans" w:eastAsia="Calibri" w:hAnsi="Fira Sans" w:cs="Times New Roman"/>
                <w:b/>
                <w:color w:val="000000"/>
                <w:sz w:val="19"/>
                <w:szCs w:val="24"/>
              </w:rPr>
              <w:t>Ważniejsze pojęcia dostępne w słowniku</w:t>
            </w:r>
          </w:p>
          <w:p w14:paraId="1AEDB67B" w14:textId="77777777" w:rsidR="007C046A" w:rsidRPr="007C046A" w:rsidRDefault="00297190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8"/>
                <w:szCs w:val="18"/>
              </w:rPr>
            </w:pPr>
            <w:hyperlink r:id="rId35" w:history="1">
              <w:r w:rsidR="007C046A" w:rsidRPr="007C046A">
                <w:rPr>
                  <w:rFonts w:ascii="Fira Sans" w:eastAsia="Fira Sans Light" w:hAnsi="Fira Sans" w:cs="Times New Roman"/>
                  <w:color w:val="001D77"/>
                  <w:sz w:val="18"/>
                  <w:szCs w:val="18"/>
                  <w:u w:val="single"/>
                </w:rPr>
                <w:t>Gospodarstwo rolne</w:t>
              </w:r>
            </w:hyperlink>
          </w:p>
          <w:p w14:paraId="2C7E5212" w14:textId="77777777" w:rsidR="007C046A" w:rsidRPr="007C046A" w:rsidRDefault="00297190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8"/>
                <w:szCs w:val="18"/>
              </w:rPr>
            </w:pPr>
            <w:hyperlink r:id="rId36" w:history="1">
              <w:r w:rsidR="007C046A" w:rsidRPr="007C046A">
                <w:rPr>
                  <w:rFonts w:ascii="Fira Sans" w:eastAsia="Fira Sans Light" w:hAnsi="Fira Sans" w:cs="Times New Roman"/>
                  <w:color w:val="001D77"/>
                  <w:sz w:val="18"/>
                  <w:szCs w:val="18"/>
                  <w:u w:val="single"/>
                </w:rPr>
                <w:t>Działalność rolnicza</w:t>
              </w:r>
            </w:hyperlink>
          </w:p>
          <w:p w14:paraId="051F37A9" w14:textId="77777777" w:rsidR="007C046A" w:rsidRPr="007C046A" w:rsidRDefault="00297190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8"/>
                <w:szCs w:val="18"/>
              </w:rPr>
            </w:pPr>
            <w:hyperlink r:id="rId37" w:history="1">
              <w:r w:rsidR="007C046A" w:rsidRPr="007C046A">
                <w:rPr>
                  <w:rFonts w:ascii="Fira Sans" w:eastAsia="Fira Sans Light" w:hAnsi="Fira Sans" w:cs="Times New Roman"/>
                  <w:color w:val="001D77"/>
                  <w:sz w:val="18"/>
                  <w:szCs w:val="18"/>
                  <w:u w:val="single"/>
                </w:rPr>
                <w:t>Koniunktura</w:t>
              </w:r>
            </w:hyperlink>
          </w:p>
          <w:p w14:paraId="19A70DF0" w14:textId="77777777" w:rsidR="007C046A" w:rsidRPr="007C046A" w:rsidRDefault="00297190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8"/>
                <w:szCs w:val="18"/>
              </w:rPr>
            </w:pPr>
            <w:hyperlink r:id="rId38" w:history="1">
              <w:r w:rsidR="007C046A" w:rsidRPr="007C046A">
                <w:rPr>
                  <w:rFonts w:ascii="Fira Sans" w:eastAsia="Fira Sans Light" w:hAnsi="Fira Sans" w:cs="Times New Roman"/>
                  <w:color w:val="001D77"/>
                  <w:sz w:val="18"/>
                  <w:szCs w:val="18"/>
                  <w:u w:val="single"/>
                </w:rPr>
                <w:t>Popyt</w:t>
              </w:r>
            </w:hyperlink>
          </w:p>
          <w:p w14:paraId="38CE64DD" w14:textId="77777777" w:rsidR="00FF0DFB" w:rsidRPr="00114ADF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color w:val="000000"/>
                <w:sz w:val="19"/>
                <w:szCs w:val="24"/>
              </w:rPr>
            </w:pPr>
          </w:p>
        </w:tc>
      </w:tr>
    </w:tbl>
    <w:p w14:paraId="61B1ED99" w14:textId="03892D32" w:rsidR="00FF0DFB" w:rsidRPr="00E31060" w:rsidRDefault="00FF0DFB" w:rsidP="00FF0DFB">
      <w:pPr>
        <w:spacing w:before="120" w:after="320"/>
        <w:rPr>
          <w:rFonts w:ascii="Fira Sans" w:eastAsia="Calibri" w:hAnsi="Fira Sans" w:cs="Times New Roman"/>
          <w:sz w:val="18"/>
        </w:rPr>
      </w:pPr>
    </w:p>
    <w:sectPr w:rsidR="00FF0DFB" w:rsidRPr="00E31060" w:rsidSect="003B6FFA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ED3F70" w16cid:durableId="29A2740D"/>
  <w16cid:commentId w16cid:paraId="5FE862F3" w16cid:durableId="29A2740E"/>
  <w16cid:commentId w16cid:paraId="35211854" w16cid:durableId="29A2740F"/>
  <w16cid:commentId w16cid:paraId="083C4111" w16cid:durableId="29A27410"/>
  <w16cid:commentId w16cid:paraId="7226EC25" w16cid:durableId="29A27411"/>
  <w16cid:commentId w16cid:paraId="09E2473E" w16cid:durableId="29A27412"/>
  <w16cid:commentId w16cid:paraId="07D50F9B" w16cid:durableId="29A27413"/>
  <w16cid:commentId w16cid:paraId="081E5D13" w16cid:durableId="29A27414"/>
  <w16cid:commentId w16cid:paraId="0D35D7CB" w16cid:durableId="29A28962"/>
  <w16cid:commentId w16cid:paraId="594AAA38" w16cid:durableId="29A28A5C"/>
  <w16cid:commentId w16cid:paraId="40970610" w16cid:durableId="29A27415"/>
  <w16cid:commentId w16cid:paraId="2B6B6DE0" w16cid:durableId="29A28B72"/>
  <w16cid:commentId w16cid:paraId="127FE502" w16cid:durableId="29A28EF8"/>
  <w16cid:commentId w16cid:paraId="2F1731E3" w16cid:durableId="29A2930C"/>
  <w16cid:commentId w16cid:paraId="3059F481" w16cid:durableId="29A29931"/>
  <w16cid:commentId w16cid:paraId="3F4E20A9" w16cid:durableId="29A2A06A"/>
  <w16cid:commentId w16cid:paraId="4CF12815" w16cid:durableId="29A2A241"/>
  <w16cid:commentId w16cid:paraId="4DD4F345" w16cid:durableId="29A2A490"/>
  <w16cid:commentId w16cid:paraId="61AD2CB7" w16cid:durableId="29A2A7C1"/>
  <w16cid:commentId w16cid:paraId="396D5218" w16cid:durableId="29A2A8D2"/>
  <w16cid:commentId w16cid:paraId="43A4A59E" w16cid:durableId="29A2AA25"/>
  <w16cid:commentId w16cid:paraId="19EF179C" w16cid:durableId="29A2AA8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50A1F" w14:textId="77777777" w:rsidR="00EE7679" w:rsidRDefault="00EE7679" w:rsidP="000662E2">
      <w:pPr>
        <w:spacing w:after="0" w:line="240" w:lineRule="auto"/>
      </w:pPr>
      <w:r>
        <w:separator/>
      </w:r>
    </w:p>
  </w:endnote>
  <w:endnote w:type="continuationSeparator" w:id="0">
    <w:p w14:paraId="0FB9C9D9" w14:textId="77777777" w:rsidR="00EE7679" w:rsidRDefault="00EE76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2204093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14:paraId="4FD28244" w14:textId="77777777" w:rsidR="00E14EFF" w:rsidRPr="00B7359B" w:rsidRDefault="00E14EFF" w:rsidP="00B7359B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B7359B">
          <w:rPr>
            <w:rFonts w:ascii="Fira Sans" w:hAnsi="Fira Sans"/>
            <w:sz w:val="19"/>
            <w:szCs w:val="19"/>
          </w:rPr>
          <w:fldChar w:fldCharType="begin"/>
        </w:r>
        <w:r w:rsidRPr="00B7359B">
          <w:rPr>
            <w:rFonts w:ascii="Fira Sans" w:hAnsi="Fira Sans"/>
            <w:sz w:val="19"/>
            <w:szCs w:val="19"/>
          </w:rPr>
          <w:instrText>PAGE   \* MERGEFORMAT</w:instrText>
        </w:r>
        <w:r w:rsidRPr="00B7359B">
          <w:rPr>
            <w:rFonts w:ascii="Fira Sans" w:hAnsi="Fira Sans"/>
            <w:sz w:val="19"/>
            <w:szCs w:val="19"/>
          </w:rPr>
          <w:fldChar w:fldCharType="separate"/>
        </w:r>
        <w:r w:rsidR="00297190">
          <w:rPr>
            <w:rFonts w:ascii="Fira Sans" w:hAnsi="Fira Sans"/>
            <w:noProof/>
            <w:sz w:val="19"/>
            <w:szCs w:val="19"/>
          </w:rPr>
          <w:t>10</w:t>
        </w:r>
        <w:r w:rsidRPr="00B7359B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7788554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14:paraId="32B941DB" w14:textId="77777777" w:rsidR="00E14EFF" w:rsidRPr="002B1A65" w:rsidRDefault="00E14EFF" w:rsidP="002B1A65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2B1A65">
          <w:rPr>
            <w:rFonts w:ascii="Fira Sans" w:hAnsi="Fira Sans"/>
            <w:sz w:val="19"/>
            <w:szCs w:val="19"/>
          </w:rPr>
          <w:fldChar w:fldCharType="begin"/>
        </w:r>
        <w:r w:rsidRPr="002B1A65">
          <w:rPr>
            <w:rFonts w:ascii="Fira Sans" w:hAnsi="Fira Sans"/>
            <w:sz w:val="19"/>
            <w:szCs w:val="19"/>
          </w:rPr>
          <w:instrText>PAGE   \* MERGEFORMAT</w:instrText>
        </w:r>
        <w:r w:rsidRPr="002B1A65">
          <w:rPr>
            <w:rFonts w:ascii="Fira Sans" w:hAnsi="Fira Sans"/>
            <w:sz w:val="19"/>
            <w:szCs w:val="19"/>
          </w:rPr>
          <w:fldChar w:fldCharType="separate"/>
        </w:r>
        <w:r w:rsidR="00297190">
          <w:rPr>
            <w:rFonts w:ascii="Fira Sans" w:hAnsi="Fira Sans"/>
            <w:noProof/>
            <w:sz w:val="19"/>
            <w:szCs w:val="19"/>
          </w:rPr>
          <w:t>1</w:t>
        </w:r>
        <w:r w:rsidRPr="002B1A65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79969D0" w14:textId="77777777" w:rsidR="00E14EFF" w:rsidRDefault="00E14EFF" w:rsidP="003B6FF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190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DA7DE" w14:textId="77777777" w:rsidR="00EE7679" w:rsidRDefault="00EE7679" w:rsidP="000662E2">
      <w:pPr>
        <w:spacing w:after="0" w:line="240" w:lineRule="auto"/>
      </w:pPr>
      <w:r>
        <w:separator/>
      </w:r>
    </w:p>
  </w:footnote>
  <w:footnote w:type="continuationSeparator" w:id="0">
    <w:p w14:paraId="0EB917C7" w14:textId="77777777" w:rsidR="00EE7679" w:rsidRDefault="00EE767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493EA" w14:textId="77777777" w:rsidR="00E14EFF" w:rsidRDefault="00E14EFF" w:rsidP="008A4518">
    <w:pPr>
      <w:pStyle w:val="Nagwek"/>
      <w:tabs>
        <w:tab w:val="clear" w:pos="4536"/>
        <w:tab w:val="clear" w:pos="9072"/>
        <w:tab w:val="left" w:pos="6601"/>
      </w:tabs>
      <w:spacing w:before="120" w:after="360"/>
    </w:pPr>
    <w:r w:rsidRPr="00FF52F5">
      <w:rPr>
        <w:b/>
        <w:noProof/>
        <w:spacing w:val="-2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8B0250C" wp14:editId="588A0D4F">
              <wp:simplePos x="0" y="0"/>
              <wp:positionH relativeFrom="page">
                <wp:posOffset>5756910</wp:posOffset>
              </wp:positionH>
              <wp:positionV relativeFrom="paragraph">
                <wp:posOffset>760095</wp:posOffset>
              </wp:positionV>
              <wp:extent cx="1743710" cy="1360805"/>
              <wp:effectExtent l="0" t="0" r="0" b="0"/>
              <wp:wrapTight wrapText="bothSides">
                <wp:wrapPolygon edited="0">
                  <wp:start x="708" y="0"/>
                  <wp:lineTo x="708" y="21167"/>
                  <wp:lineTo x="20766" y="21167"/>
                  <wp:lineTo x="20766" y="0"/>
                  <wp:lineTo x="708" y="0"/>
                </wp:wrapPolygon>
              </wp:wrapTight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710" cy="1360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C0BF0" w14:textId="77777777" w:rsidR="00E14EFF" w:rsidRPr="005429D3" w:rsidRDefault="00E14EFF" w:rsidP="00FF52F5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B0250C" id="_x0000_t202" coordsize="21600,21600" o:spt="202" path="m,l,21600r21600,l21600,xe">
              <v:stroke joinstyle="miter"/>
              <v:path gradientshapeok="t" o:connecttype="rect"/>
            </v:shapetype>
            <v:shape id="Pole tekstowe 13" o:spid="_x0000_s1034" type="#_x0000_t202" style="position:absolute;margin-left:453.3pt;margin-top:59.85pt;width:137.3pt;height:107.1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gzEAIAAPoDAAAOAAAAZHJzL2Uyb0RvYy54bWysU11v2yAUfZ+0/4B4X2zno0mtOFXXrtOk&#10;bqvU7gcQjGNU4DIgsbNf3wtOU2t7q+YHBL73nnvP4bC+6rUiB+G8BFPRYpJTIgyHWppdRX893X1a&#10;UeIDMzVTYERFj8LTq83HD+vOlmIKLahaOIIgxpedrWgbgi2zzPNWaOYnYIXBYANOs4BHt8tqxzpE&#10;1yqb5vlF1oGrrQMuvMe/t0OQbhJ+0wgefjaNF4GoiuJsIa0urdu4Zps1K3eO2Vby0xjsHVNoJg02&#10;PUPdssDI3sl/oLTkDjw0YcJBZ9A0kovEAdkU+V9sHltmReKC4nh7lsn/P1j+4/DgiKzx7maUGKbx&#10;jh5ACRLEsw/QCYL/UaTO+hJzHy1mh/4z9FiQCHt7D/zZEwM3LTM7ce0cdK1gNQ5ZxMpsVDrg+Aiy&#10;7b5Djc3YPkAC6huno4KoCUF0vKzj+YJEHwiPLZfz2bLAEMdYMbvIV/ki9WDla7l1PnwVoEncVNSh&#10;AxI8O9z7EMdh5WtK7GbgTiqVXKAM6Sp6uZguUsEoomVAkyqpK7rK4zfYJrL8YupUHJhUwx4bKHOi&#10;HZkOnEO/7TExarGF+ogCOBjMiI8HNy24P5R0aMSK+t975gQl6ptBES+L+Tw6Nx3mi+UUD24c2Y4j&#10;zHCEqmigZNjehOT2ges1it3IJMPbJKdZ0WBJndNjiA4en1PW25PdvAAAAP//AwBQSwMEFAAGAAgA&#10;AAAhAIJjnhffAAAADAEAAA8AAABkcnMvZG93bnJldi54bWxMj8FOwzAQRO9I/IO1SNyonbaEJsSp&#10;EIgrqIVW4raNt0lEvI5itwl/j3uC42qeZt4W68l24kyDbx1rSGYKBHHlTMu1hs+P17sVCB+QDXaO&#10;ScMPeViX11cF5saNvKHzNtQilrDPUUMTQp9L6auGLPqZ64ljdnSDxRDPoZZmwDGW207OlUqlxZbj&#10;QoM9PTdUfW9PVsPu7fi1X6r3+sXe96OblGSbSa1vb6anRxCBpvAHw0U/qkMZnQ7uxMaLTkOm0jSi&#10;MUiyBxAXIlklcxAHDYvFUoEsC/n/ifIXAAD//wMAUEsBAi0AFAAGAAgAAAAhALaDOJL+AAAA4QEA&#10;ABMAAAAAAAAAAAAAAAAAAAAAAFtDb250ZW50X1R5cGVzXS54bWxQSwECLQAUAAYACAAAACEAOP0h&#10;/9YAAACUAQAACwAAAAAAAAAAAAAAAAAvAQAAX3JlbHMvLnJlbHNQSwECLQAUAAYACAAAACEAZBlo&#10;MxACAAD6AwAADgAAAAAAAAAAAAAAAAAuAgAAZHJzL2Uyb0RvYy54bWxQSwECLQAUAAYACAAAACEA&#10;gmOeF98AAAAMAQAADwAAAAAAAAAAAAAAAABqBAAAZHJzL2Rvd25yZXYueG1sUEsFBgAAAAAEAAQA&#10;8wAAAHYFAAAAAA==&#10;" filled="f" stroked="f">
              <v:textbox>
                <w:txbxContent>
                  <w:p w14:paraId="7F8C0BF0" w14:textId="77777777" w:rsidR="00E14EFF" w:rsidRPr="005429D3" w:rsidRDefault="00E14EFF" w:rsidP="00FF52F5">
                    <w:pPr>
                      <w:pStyle w:val="tekstzboku"/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32D6245" wp14:editId="3F1FD15A">
              <wp:simplePos x="0" y="0"/>
              <wp:positionH relativeFrom="page">
                <wp:posOffset>5790536</wp:posOffset>
              </wp:positionH>
              <wp:positionV relativeFrom="paragraph">
                <wp:posOffset>-10316845</wp:posOffset>
              </wp:positionV>
              <wp:extent cx="1874520" cy="22680295"/>
              <wp:effectExtent l="0" t="0" r="0" b="8255"/>
              <wp:wrapNone/>
              <wp:docPr id="60" name="Prostokąt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A6DF6B" id="Prostokąt 60" o:spid="_x0000_s1026" style="position:absolute;margin-left:455.95pt;margin-top:-812.3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8hvpgIAAK0FAAAOAAAAZHJzL2Uyb0RvYy54bWysVEtv2zAMvg/YfxB0X+0ESR9BnSJo0WFA&#10;1wZrh54VWYqNSaImKXGy+/7ZftgoyXEfK3YYdpElPj6Sn0meX+y0IlvhfAumoqOjkhJhONStWVf0&#10;68P1h1NKfGCmZgqMqOheeHoxf//uvLMzMYYGVC0cQRDjZ52taBOCnRWF543QzB+BFQaVEpxmAZ9u&#10;XdSOdYiuVTEuy+OiA1dbB1x4j9KrrKTzhC+l4OFOSi8CURXF3EI6XTpX8Szm52y2dsw2Le/TYP+Q&#10;hWatwaAD1BULjGxc+weUbrkDDzIccdAFSNlykWrAakblq2ruG2ZFqgXJ8Xagyf8/WH67XTrS1hU9&#10;RnoM0/iPlphhgG+/fgaCQmSos36Ghvd26fqXx2ssdyedjl8shOwSq/uBVbELhKNwdHoymY4RnaNu&#10;PD4+Lcdn0whbPPlb58NHAZrES0Ud/rdEJ9ve+JBNDyYxnAfV1tetUukRe0VcKke2DP/yaj1Krmqj&#10;P0OdZWfTskyVYMjUWtE8JfACSZmIZyAi56BRUsTyc8HpFvZKRDtlvgiJ1GGJ4xRxQM5BGefChJyM&#10;b1gtsjim8nYuCTAiS4w/YPcAL4s8YOcse/voKlLPD87l3xLLzoNHigwmDM66NeDeAlBYVR852x9I&#10;ytREllZQ77GxHOSJ85Zft/hrb5gPS+ZwxLAfcG2EOzykgq6i0N8oacD9eEse7bHzUUtJhyNbUf99&#10;w5ygRH0yOBNno8kkznh6TKYnsefcc83qucZs9CVgv4xwQVmertE+qMNVOtCPuF0WMSqqmOEYu6I8&#10;uMPjMuRVgvuJi8UimeFcWxZuzL3lETyyGlv3YffInO37O+Bs3MJhvNnsVZtn2+hpYLEJINs0A0+8&#10;9nzjTkhN3O+vuHSev5PV05ad/wYAAP//AwBQSwMEFAAGAAgAAAAhAGBUapvjAAAADwEAAA8AAABk&#10;cnMvZG93bnJldi54bWxMj01PhDAQhu8m/odmTLzt9iMrCFI2ZpONJw+uxMRboSMQaYu0LPjv7Z7c&#10;20zmyTvPW+xXM5AzTr53VgLfMiBoG6d720qo3o+bRyA+KKvV4CxK+EUP+/L2plC5dot9w/MptCSG&#10;WJ8rCV0IY06pbzo0ym/diDbevtxkVIjr1FI9qSWGm4EKxhJqVG/jh06NeOiw+T7NRoKo1gexvB6z&#10;j8+qfmHJ/HMQmEh5f7c+PwEJuIZ/GC76UR3K6FS72WpPBgkZ51lEJWx4InYpkAsjWMqB1HHKdikD&#10;Whb0ukf5BwAA//8DAFBLAQItABQABgAIAAAAIQC2gziS/gAAAOEBAAATAAAAAAAAAAAAAAAAAAAA&#10;AABbQ29udGVudF9UeXBlc10ueG1sUEsBAi0AFAAGAAgAAAAhADj9If/WAAAAlAEAAAsAAAAAAAAA&#10;AAAAAAAALwEAAF9yZWxzLy5yZWxzUEsBAi0AFAAGAAgAAAAhAM9PyG+mAgAArQUAAA4AAAAAAAAA&#10;AAAAAAAALgIAAGRycy9lMm9Eb2MueG1sUEsBAi0AFAAGAAgAAAAhAGBUapvjAAAADwEAAA8AAAAA&#10;AAAAAAAAAAAAAAUAAGRycy9kb3ducmV2LnhtbFBLBQYAAAAABAAEAPMAAAAQBgAAAAA=&#10;" fillcolor="#f2f2f2 [3052]" stroked="f" strokeweight="1pt">
              <w10:wrap anchorx="page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EE0F2" w14:textId="77777777" w:rsidR="00E14EFF" w:rsidRDefault="00E14EFF" w:rsidP="00D34814">
    <w:pPr>
      <w:pStyle w:val="Nagwek"/>
      <w:tabs>
        <w:tab w:val="clear" w:pos="4536"/>
        <w:tab w:val="clear" w:pos="9072"/>
        <w:tab w:val="center" w:pos="2611"/>
      </w:tabs>
      <w:spacing w:before="120" w:after="1080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 wp14:anchorId="42AF2CD5" wp14:editId="5557B7A0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1114425" cy="619171"/>
          <wp:effectExtent l="0" t="0" r="0" b="9525"/>
          <wp:wrapTight wrapText="bothSides">
            <wp:wrapPolygon edited="0">
              <wp:start x="0" y="0"/>
              <wp:lineTo x="0" y="21268"/>
              <wp:lineTo x="21046" y="21268"/>
              <wp:lineTo x="21046" y="0"/>
              <wp:lineTo x="0" y="0"/>
            </wp:wrapPolygon>
          </wp:wrapTight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19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12C6392" wp14:editId="3EF4A7D7">
              <wp:simplePos x="0" y="0"/>
              <wp:positionH relativeFrom="column">
                <wp:posOffset>5266690</wp:posOffset>
              </wp:positionH>
              <wp:positionV relativeFrom="paragraph">
                <wp:posOffset>197485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62" name="Prostokąt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098EFC" id="Prostokąt 62" o:spid="_x0000_s1026" style="position:absolute;margin-left:414.7pt;margin-top:15.55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4CpwIAAK0FAAAOAAAAZHJzL2Uyb0RvYy54bWysVM1u2zAMvg/YOwi6r7aDpk2COkXQosOA&#10;rg2WDj0rshwbk0RNUuJk973ZHmyU5Lg/K3YYdrFFivxIfiJ5cblXkuyEdS3okhYnOSVCc6havSnp&#10;14ebDxNKnGe6YhK0KOlBOHo5f//uojMzMYIGZCUsQRDtZp0paeO9mWWZ441QzJ2AERova7CKeRTt&#10;Jqss6xBdyWyU52dZB7YyFrhwDrXX6ZLOI35dC+7v69oJT2RJMTcfvzZ+1+GbzS/YbGOZaVrep8H+&#10;IQvFWo1BB6hr5hnZ2vYPKNVyCw5qf8JBZVDXLRexBqymyF9Vs2qYEbEWJMeZgSb3/2D53W5pSVuV&#10;9GxEiWYK32iJGXr49uunJ6hEhjrjZmi4MkvbSw6Podx9bVX4YyFkH1k9DKyKvScclcXkvJhOkHyO&#10;d6PRNB/nk3GAzZ78jXX+owBFwqGkFt8t0sl2t84n06NJCOdAttVNK2UUQq+IK2nJjuErrzdFdJVb&#10;9RmqpJuO8zy+NYaMrRXMYwIvkKQOeBoCcgoaNFkoPxUcT/4gRbCT+ouokToscRQjDsgpKONcaJ+S&#10;cQ2rRFKHVN7OJQIG5BrjD9g9wMsij9gpy94+uIrY84Nz/rfEkvPgESOD9oOzajXYtwAkVtVHTvZH&#10;khI1gaU1VAdsLAtp4pzhNy0+7S1zfsksjhj2A64Nf4+fWkJXUuhPlDRgf7ylD/bY+XhLSYcjW1L3&#10;fcusoER+0jgT0+L0NMx4FE7H5yMU7POb9fMbvVVXgP1S4IIyPB6DvZfHY21BPeJ2WYSoeMU0x9gl&#10;5d4ehSufVgnuJy4Wi2iGc22Yv9UrwwN4YDW07sP+kVnT97fH2biD43iz2as2T7bBU8Ni66Fu4ww8&#10;8drzjTshNnG/v8LSeS5Hq6ctO/8NAAD//wMAUEsDBBQABgAIAAAAIQC/PAwD4QAAAAwBAAAPAAAA&#10;ZHJzL2Rvd25yZXYueG1sTI/BboMwDIbvk/YOkSfttgbSDlFKqKZK1U47rEOTdgvEA1TiMBIKe/ul&#10;p/Vo+9Pv78/3i+nZBUfXWZIQryJgSLXVHTUSyo/jUwrMeUVa9ZZQwi862Bf3d7nKtJ3pHS8n37AQ&#10;Qi5TElrvh4xzV7dolFvZASncvu1olA/j2HA9qjmEm56LKEq4UR2FD60a8NBifT5NRoIol2cxvx23&#10;n19l9Rol089BYCLl48PysgPmcfH/MFz1gzoUwamyE2nHegmp2G4CKmEdx8CuQCw2AlgVNsk6FcCL&#10;nN+WKP4AAAD//wMAUEsBAi0AFAAGAAgAAAAhALaDOJL+AAAA4QEAABMAAAAAAAAAAAAAAAAAAAAA&#10;AFtDb250ZW50X1R5cGVzXS54bWxQSwECLQAUAAYACAAAACEAOP0h/9YAAACUAQAACwAAAAAAAAAA&#10;AAAAAAAvAQAAX3JlbHMvLnJlbHNQSwECLQAUAAYACAAAACEAjdXOAqcCAACtBQAADgAAAAAAAAAA&#10;AAAAAAAuAgAAZHJzL2Uyb0RvYy54bWxQSwECLQAUAAYACAAAACEAvzwMA+EAAAAMAQAADwAAAAAA&#10;AAAAAAAAAAABBQAAZHJzL2Rvd25yZXYueG1sUEsFBgAAAAAEAAQA8wAAAA8GAAAAAA==&#10;" fillcolor="#f2f2f2 [3052]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AD7A7BD" wp14:editId="4E4AE62F">
              <wp:simplePos x="0" y="0"/>
              <wp:positionH relativeFrom="column">
                <wp:posOffset>5219395</wp:posOffset>
              </wp:positionH>
              <wp:positionV relativeFrom="paragraph">
                <wp:posOffset>953516</wp:posOffset>
              </wp:positionV>
              <wp:extent cx="1682115" cy="336550"/>
              <wp:effectExtent l="0" t="0" r="0" b="6350"/>
              <wp:wrapNone/>
              <wp:docPr id="63" name="Pole tekstowe 2" descr="28.0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11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6F99D6" w14:textId="77777777" w:rsidR="00E14EFF" w:rsidRPr="001123E0" w:rsidRDefault="00E14EF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eastAsiaTheme="minorEastAsia" w:hAnsi="Fira Sans SemiBold" w:cs="Fira Sans SemiBold"/>
                              <w:color w:val="000080"/>
                              <w:sz w:val="20"/>
                              <w:szCs w:val="20"/>
                              <w:lang w:eastAsia="pl-PL"/>
                            </w:rPr>
                            <w:t>29</w:t>
                          </w:r>
                          <w:r w:rsidRPr="00392074">
                            <w:rPr>
                              <w:rFonts w:ascii="Fira Sans SemiBold" w:eastAsiaTheme="minorEastAsia" w:hAnsi="Fira Sans SemiBold" w:cs="Fira Sans SemiBold"/>
                              <w:color w:val="000080"/>
                              <w:sz w:val="20"/>
                              <w:szCs w:val="20"/>
                              <w:lang w:eastAsia="pl-PL"/>
                            </w:rPr>
                            <w:t>.0</w:t>
                          </w:r>
                          <w:r>
                            <w:rPr>
                              <w:rFonts w:ascii="Fira Sans SemiBold" w:eastAsiaTheme="minorEastAsia" w:hAnsi="Fira Sans SemiBold" w:cs="Fira Sans SemiBold"/>
                              <w:color w:val="000080"/>
                              <w:sz w:val="20"/>
                              <w:szCs w:val="20"/>
                              <w:lang w:eastAsia="pl-PL"/>
                            </w:rPr>
                            <w:t>3.2024</w:t>
                          </w:r>
                          <w:r w:rsidRPr="00392074">
                            <w:rPr>
                              <w:rFonts w:ascii="Fira Sans SemiBold" w:eastAsiaTheme="minorEastAsia" w:hAnsi="Fira Sans SemiBold" w:cs="Fira Sans SemiBold"/>
                              <w:color w:val="000080"/>
                              <w:sz w:val="20"/>
                              <w:szCs w:val="20"/>
                              <w:lang w:eastAsia="pl-PL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7A7BD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28.02.2023 r." style="position:absolute;margin-left:411pt;margin-top:75.1pt;width:132.45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UJiIgIAABUEAAAOAAAAZHJzL2Uyb0RvYy54bWysU9Fu2yAUfZ+0f0C8z3acOEutOFXXrtOk&#10;bqvU7QMIxjEqcBmQ2NnX74LTNNrepvkBgS/33HvOPayvR63IQTgvwTR0lhWUCMOhlWbX0B/f79+t&#10;KPGBmZYpMKKhR+Hp9ebtm/Vga1FCD6oVjiCI8fVgG9qHYOs897wXmvkMrDAY7MBpFvDodnnr2IDo&#10;WuVlUSzzAVxrHXDhPf69m4J0k/C7TvDwreu8CEQ1FHsLaXVp3cY136xZvXPM9pKf2mD/0IVm0mDR&#10;M9QdC4zsnfwLSkvuwEMXMg46h66TXCQOyGZW/MHmqWdWJC4ojrdnmfz/g+VfD4+OyLahyzklhmmc&#10;0SMoQYJ49gEGQUpKWuE5alausqLMyqKcE5dF5QbrawR4sggRxg8wogOSCt4+AH/2xMBtz8xO3DgH&#10;Qy9Yi53PYmZ+kTrh+AiyHb5Aix2wfYAENHZOR1lRKILoOMHjeWpiDITHkstVOZtVlHCMzefLqkpj&#10;zVn9km2dD58EaBI3DXXoioTODg8+xG5Y/XIlFjNwL5VKzlCGDA29qsoqJVxEtAxoXCV1Q1dF/CYr&#10;RZIfTZuSA5Nq2mMBZU6sI9GJchi3Y5I+SRIV2UJ7RBkcTD7Fd4WbHtwvSgb0aEP9zz1zghL12aCU&#10;V7PFIpo6HRbV+xIP7jKyvYwwwxGqoYGSaXsb0kOYKN+g5J1Marx2cmoZvZdEOr2TaO7Lc7r1+po3&#10;vwEAAP//AwBQSwMEFAAGAAgAAAAhAM37E1ffAAAADAEAAA8AAABkcnMvZG93bnJldi54bWxMj81O&#10;wzAQhO9IfQdrK3Gjdg2t0pBNVYG4gig/Ejc33iYR8TqK3Sa8Pe4JjqMZzXxTbCfXiTMNofWMsFwo&#10;EMSVty3XCO9vTzcZiBANW9N5JoQfCrAtZ1eFya0f+ZXO+1iLVMIhNwhNjH0uZagaciYsfE+cvKMf&#10;nIlJDrW0gxlTueukVmotnWk5LTSmp4eGqu/9ySF8PB+/Pu/US/3oVv3oJyXZbSTi9Xza3YOINMW/&#10;MFzwEzqUiengT2yD6BAyrdOXmIyV0iAuCZWtNyAOCFrdapBlIf+fKH8BAAD//wMAUEsBAi0AFAAG&#10;AAgAAAAhALaDOJL+AAAA4QEAABMAAAAAAAAAAAAAAAAAAAAAAFtDb250ZW50X1R5cGVzXS54bWxQ&#10;SwECLQAUAAYACAAAACEAOP0h/9YAAACUAQAACwAAAAAAAAAAAAAAAAAvAQAAX3JlbHMvLnJlbHNQ&#10;SwECLQAUAAYACAAAACEAefVCYiICAAAVBAAADgAAAAAAAAAAAAAAAAAuAgAAZHJzL2Uyb0RvYy54&#10;bWxQSwECLQAUAAYACAAAACEAzfsTV98AAAAMAQAADwAAAAAAAAAAAAAAAAB8BAAAZHJzL2Rvd25y&#10;ZXYueG1sUEsFBgAAAAAEAAQA8wAAAIgFAAAAAA==&#10;" filled="f" stroked="f">
              <v:textbox>
                <w:txbxContent>
                  <w:p w14:paraId="7D6F99D6" w14:textId="77777777" w:rsidR="00E14EFF" w:rsidRPr="001123E0" w:rsidRDefault="00E14EF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eastAsiaTheme="minorEastAsia" w:hAnsi="Fira Sans SemiBold" w:cs="Fira Sans SemiBold"/>
                        <w:color w:val="000080"/>
                        <w:sz w:val="20"/>
                        <w:szCs w:val="20"/>
                        <w:lang w:eastAsia="pl-PL"/>
                      </w:rPr>
                      <w:t>29</w:t>
                    </w:r>
                    <w:r w:rsidRPr="00392074">
                      <w:rPr>
                        <w:rFonts w:ascii="Fira Sans SemiBold" w:eastAsiaTheme="minorEastAsia" w:hAnsi="Fira Sans SemiBold" w:cs="Fira Sans SemiBold"/>
                        <w:color w:val="000080"/>
                        <w:sz w:val="20"/>
                        <w:szCs w:val="20"/>
                        <w:lang w:eastAsia="pl-PL"/>
                      </w:rPr>
                      <w:t>.0</w:t>
                    </w:r>
                    <w:r>
                      <w:rPr>
                        <w:rFonts w:ascii="Fira Sans SemiBold" w:eastAsiaTheme="minorEastAsia" w:hAnsi="Fira Sans SemiBold" w:cs="Fira Sans SemiBold"/>
                        <w:color w:val="000080"/>
                        <w:sz w:val="20"/>
                        <w:szCs w:val="20"/>
                        <w:lang w:eastAsia="pl-PL"/>
                      </w:rPr>
                      <w:t>3.2024</w:t>
                    </w:r>
                    <w:r w:rsidRPr="00392074">
                      <w:rPr>
                        <w:rFonts w:ascii="Fira Sans SemiBold" w:eastAsiaTheme="minorEastAsia" w:hAnsi="Fira Sans SemiBold" w:cs="Fira Sans SemiBold"/>
                        <w:color w:val="000080"/>
                        <w:sz w:val="20"/>
                        <w:szCs w:val="20"/>
                        <w:lang w:eastAsia="pl-PL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6D81D3" wp14:editId="461A52F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61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B0A602" w14:textId="77777777" w:rsidR="00E14EFF" w:rsidRPr="000201D2" w:rsidRDefault="00E14EFF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</w:pPr>
                          <w:r w:rsidRPr="000201D2"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6D81D3" id="Schemat blokowy: opóźnienie 6" o:spid="_x0000_s1036" alt="Napis &quot;Informacje sygnalne&quot;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30aAYAAEA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zQIPUVxBjU518iValex3trtYIFb/9cfff9KC&#10;wD8089CaiAxy+BrXhUDffNwy+f0rqmuU/UaQuDijuKTETKgM72qxAKDT+i1vrgQMVbr2Oa9QXhb1&#10;T0AenUBICdrr+lwc6kP2EmXwZejP/DiJPZTBXAQjP1buJ8aP8pdthfyRsEqN8fmJkKa+axjp6qyb&#10;EDNGqSgk+QCcyKsSSv7tBPloh2ZBGExbWlxd/Wt39aZ/9QdI6MF3BFtP3AC2iY9cAKEFYDbujMA2&#10;afbkQokslIFh2CbNxlwoUwvFnSd79UAAoM2hGm6A7mrX5ru82KEgjdLQnzfd5Q5pFMyiKIjmUGYH&#10;xO2J1Dh2Q4yk0uBQRpIpiMLEnw1I2R1wylGUR1I5efuFkEo1EEexHzKdAth+FATRbBoN6VGBH0SB&#10;8zSyW04495M4idwwttHNDrxm/26IkZQaHMrYPhUk02kUu+MZSawBtbf71LDaXz0Ab0Aud9Vtjgyu&#10;hm3khuhwxNwY7kJ0jMzznetBwebI4FBso4EPOzZHgv+IWKonOupuE8tdlEdSPVxSDSi2zcGBtO3y&#10;477plPphHKZDDkA3V+12E8XpbBqn6nboh7CN3BCddmMcuyE6Rjen0+BQRvaoZA5/M3c4d8Gp/pp0&#10;Kejq59daVL/z7nKXc5segwthG/2/OaVbVH89HjKd4uksDfTDWn8Mj5yCV3eDb4+Rfer+OTW07Lfv&#10;UyG8EAlVq42g66b38q4zCeehTlU/xIheZRy7oxh7/vkDQ7kLXvUna2SvGlj129PK1DuOZ8E9vPeM&#10;/GkaT9VLvCjqhRhDKe3YDTGaUgNDGUmpII0TfXz0J2wkrQZU/ZFSTtZ+IZQaUOwHT6cYfg24lw4V&#10;hn5qOlQ/xIgOZRyrDtUPMZZOQ0MZ26ES+KlVc6o/nLvgVD/CyBbV73zEA/rQQjxyqv0NPwzm5h16&#10;f00eKeXqIY+Uain1wDsUqF/OWn0L3rSSl2xPG80LjBBWaixf62tqJpS+xhbAgJimvQSFixHUgJXW&#10;0/QbA0ls4+BGxnBK2cbhjYzh6LGN9c+YkIlh24a73zae3ggZzgrbuFUgaWSzgybxHMRnSnZWatmZ&#10;9BBIpriHQHa2UoB4UWOp6tUO0U6JmszjCdooQZaWIqnpip2Td0wvlFfUUQB5OVtSe1Vkjg+937au&#10;7YpsuyqyH8inzvponqZz0HdBfM1rgVrDHXYFE0GU+JGuFQRwbdbog9p8djA+i9iGC46nSRy0kpnG&#10;sbWfJhkmbwbWiu5yVlWgA9sGbFzCWQxQneXtgvZ/e+G1rJVMEHODqOJp6dmhihr6Un4mWFmsXxZl&#10;qcom+NnqecnROVY6RD94kSRNkjrLSn3TUabMDIz6ZqL0c0Yxp0fyoiTKaUl/Jjlo95QyTt/bWjVJ&#10;Djg4ywiVRlYnNnhNDHzsw1+LrqR+ykKHoh0qzzngH3w3DtqVxknr2+yyWa9MiRZdHoxN0/mXjRnj&#10;g4VGZlQejKuCMv65yEqIqkE269skmdSoLMn9aq91jZqr6psVW1+A1pEzIwIVdfay4EKeYCHfYg4S&#10;QCAHKFnlG/jISwZ3I9x1euShDeOfPve9Wg9iTJj10A5UpEtPfNxiTjxUvqIg00yDKagJkdQX0zgJ&#10;4YLbMyt7hm6r5wwIAm0VdqeHar0s22HOWfUeBK/HChWmMM0AG9q3hMZiLp5LuIYpkGNm5PhYj0Fq&#10;Ciw9oad11sosa4j83f495jVSw6UnQWT5mrWK00v1JLD6cq2qEGXHW8nyQkkrNTNNXpsLkKlqKjWS&#10;WqWDta/1qkvh79E/AAAA//8DAFBLAwQUAAYACAAAACEAME8M9d4AAAAKAQAADwAAAGRycy9kb3du&#10;cmV2LnhtbEyPwW7CMBBE75X6D9ZW6q04IRKhaTYIIbUnVKmE3k28TQL2OooNhL+vObXH1TzNvC1X&#10;kzXiQqPvHSOkswQEceN0zy3Cvn5/WYLwQbFWxjEh3MjDqnp8KFWh3ZW/6LILrYgl7AuF0IUwFFL6&#10;piOr/MwNxDH7caNVIZ5jK/WorrHcGjlPkoW0que40KmBNh01p93ZIhizGcY6fNw+62a93Sf1Nnwf&#10;PeLz07R+AxFoCn8w3PWjOlTR6eDOrL0wCPlrNo8oQpZmIO5AmuY5iAPCMl+ArEr5/4XqFwAA//8D&#10;AFBLAQItABQABgAIAAAAIQC2gziS/gAAAOEBAAATAAAAAAAAAAAAAAAAAAAAAABbQ29udGVudF9U&#10;eXBlc10ueG1sUEsBAi0AFAAGAAgAAAAhADj9If/WAAAAlAEAAAsAAAAAAAAAAAAAAAAALwEAAF9y&#10;ZWxzLy5yZWxzUEsBAi0AFAAGAAgAAAAhAMivjfRoBgAAQCwAAA4AAAAAAAAAAAAAAAAALgIAAGRy&#10;cy9lMm9Eb2MueG1sUEsBAi0AFAAGAAgAAAAhADBPDPXeAAAACgEAAA8AAAAAAAAAAAAAAAAAwggA&#10;AGRycy9kb3ducmV2LnhtbFBLBQYAAAAABAAEAPMAAADN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FB0A602" w14:textId="77777777" w:rsidR="00E14EFF" w:rsidRPr="000201D2" w:rsidRDefault="00E14EFF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  <w:sz w:val="19"/>
                        <w:szCs w:val="19"/>
                      </w:rPr>
                    </w:pPr>
                    <w:r w:rsidRPr="000201D2">
                      <w:rPr>
                        <w:rFonts w:ascii="Fira Sans SemiBold" w:hAnsi="Fira Sans SemiBold"/>
                        <w:sz w:val="19"/>
                        <w:szCs w:val="19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C7471" w14:textId="77777777" w:rsidR="00E14EFF" w:rsidRDefault="00E14EFF" w:rsidP="00106D6D">
    <w:pPr>
      <w:pStyle w:val="Nagwek"/>
      <w:spacing w:after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3EE78CB"/>
    <w:multiLevelType w:val="hybridMultilevel"/>
    <w:tmpl w:val="9280A9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8E5"/>
    <w:rsid w:val="00000DA0"/>
    <w:rsid w:val="00001C5B"/>
    <w:rsid w:val="00002CD0"/>
    <w:rsid w:val="00003437"/>
    <w:rsid w:val="00004825"/>
    <w:rsid w:val="000057E5"/>
    <w:rsid w:val="00005CE7"/>
    <w:rsid w:val="000066AA"/>
    <w:rsid w:val="00006D8E"/>
    <w:rsid w:val="0000709F"/>
    <w:rsid w:val="0000742A"/>
    <w:rsid w:val="00007D35"/>
    <w:rsid w:val="000108B8"/>
    <w:rsid w:val="000108D5"/>
    <w:rsid w:val="00010CE8"/>
    <w:rsid w:val="00010DE9"/>
    <w:rsid w:val="00011075"/>
    <w:rsid w:val="00011A11"/>
    <w:rsid w:val="00011C7D"/>
    <w:rsid w:val="00015053"/>
    <w:rsid w:val="000152F5"/>
    <w:rsid w:val="0001690E"/>
    <w:rsid w:val="00016D37"/>
    <w:rsid w:val="00017D23"/>
    <w:rsid w:val="000201D2"/>
    <w:rsid w:val="000207D0"/>
    <w:rsid w:val="00021619"/>
    <w:rsid w:val="00021D5F"/>
    <w:rsid w:val="00022730"/>
    <w:rsid w:val="00022ABD"/>
    <w:rsid w:val="000239A1"/>
    <w:rsid w:val="0002530B"/>
    <w:rsid w:val="000259F3"/>
    <w:rsid w:val="00026D09"/>
    <w:rsid w:val="00027359"/>
    <w:rsid w:val="00027A7D"/>
    <w:rsid w:val="000321C9"/>
    <w:rsid w:val="000323DB"/>
    <w:rsid w:val="00032432"/>
    <w:rsid w:val="00033353"/>
    <w:rsid w:val="00033B5D"/>
    <w:rsid w:val="00034B19"/>
    <w:rsid w:val="000366E9"/>
    <w:rsid w:val="00036D9A"/>
    <w:rsid w:val="00041BB2"/>
    <w:rsid w:val="00043AA8"/>
    <w:rsid w:val="000443F9"/>
    <w:rsid w:val="000444E6"/>
    <w:rsid w:val="00045569"/>
    <w:rsid w:val="0004582E"/>
    <w:rsid w:val="0004594F"/>
    <w:rsid w:val="00046699"/>
    <w:rsid w:val="000472E6"/>
    <w:rsid w:val="00047F8D"/>
    <w:rsid w:val="00051244"/>
    <w:rsid w:val="00051931"/>
    <w:rsid w:val="00051981"/>
    <w:rsid w:val="00052861"/>
    <w:rsid w:val="00052A2C"/>
    <w:rsid w:val="000534A5"/>
    <w:rsid w:val="00056277"/>
    <w:rsid w:val="000564BC"/>
    <w:rsid w:val="0005714F"/>
    <w:rsid w:val="0005758E"/>
    <w:rsid w:val="00057B5C"/>
    <w:rsid w:val="00057BCF"/>
    <w:rsid w:val="00057CA1"/>
    <w:rsid w:val="00060C40"/>
    <w:rsid w:val="00060C4D"/>
    <w:rsid w:val="00061350"/>
    <w:rsid w:val="00061635"/>
    <w:rsid w:val="00062C3F"/>
    <w:rsid w:val="00064D21"/>
    <w:rsid w:val="000662E2"/>
    <w:rsid w:val="00066883"/>
    <w:rsid w:val="00070069"/>
    <w:rsid w:val="00071612"/>
    <w:rsid w:val="00071636"/>
    <w:rsid w:val="00071C5B"/>
    <w:rsid w:val="00072A38"/>
    <w:rsid w:val="00074600"/>
    <w:rsid w:val="00075359"/>
    <w:rsid w:val="00075563"/>
    <w:rsid w:val="00076913"/>
    <w:rsid w:val="00076C1A"/>
    <w:rsid w:val="00076EB8"/>
    <w:rsid w:val="0008045F"/>
    <w:rsid w:val="000806F7"/>
    <w:rsid w:val="00083125"/>
    <w:rsid w:val="000834E9"/>
    <w:rsid w:val="00087473"/>
    <w:rsid w:val="00090A07"/>
    <w:rsid w:val="00090DEE"/>
    <w:rsid w:val="00090EF0"/>
    <w:rsid w:val="0009276C"/>
    <w:rsid w:val="00092A9F"/>
    <w:rsid w:val="000934FB"/>
    <w:rsid w:val="0009359E"/>
    <w:rsid w:val="0009439B"/>
    <w:rsid w:val="0009541F"/>
    <w:rsid w:val="00096BB4"/>
    <w:rsid w:val="00097476"/>
    <w:rsid w:val="00097D95"/>
    <w:rsid w:val="00097FF4"/>
    <w:rsid w:val="000A00C6"/>
    <w:rsid w:val="000A0C17"/>
    <w:rsid w:val="000A257F"/>
    <w:rsid w:val="000A3489"/>
    <w:rsid w:val="000A388D"/>
    <w:rsid w:val="000A3B1F"/>
    <w:rsid w:val="000A3ECC"/>
    <w:rsid w:val="000A46CA"/>
    <w:rsid w:val="000A4B95"/>
    <w:rsid w:val="000A5463"/>
    <w:rsid w:val="000A5E67"/>
    <w:rsid w:val="000A5E8B"/>
    <w:rsid w:val="000A6754"/>
    <w:rsid w:val="000A7811"/>
    <w:rsid w:val="000B02FD"/>
    <w:rsid w:val="000B0727"/>
    <w:rsid w:val="000B12CB"/>
    <w:rsid w:val="000B1421"/>
    <w:rsid w:val="000B373B"/>
    <w:rsid w:val="000B4470"/>
    <w:rsid w:val="000B5553"/>
    <w:rsid w:val="000B6929"/>
    <w:rsid w:val="000C0392"/>
    <w:rsid w:val="000C0479"/>
    <w:rsid w:val="000C135D"/>
    <w:rsid w:val="000C1F8B"/>
    <w:rsid w:val="000C2B9D"/>
    <w:rsid w:val="000C362F"/>
    <w:rsid w:val="000C411C"/>
    <w:rsid w:val="000C4534"/>
    <w:rsid w:val="000C5E81"/>
    <w:rsid w:val="000C5ECF"/>
    <w:rsid w:val="000C6CC4"/>
    <w:rsid w:val="000C7BAA"/>
    <w:rsid w:val="000D08EB"/>
    <w:rsid w:val="000D1D43"/>
    <w:rsid w:val="000D225C"/>
    <w:rsid w:val="000D3624"/>
    <w:rsid w:val="000D4DE5"/>
    <w:rsid w:val="000D51F5"/>
    <w:rsid w:val="000D6482"/>
    <w:rsid w:val="000D72BC"/>
    <w:rsid w:val="000D743F"/>
    <w:rsid w:val="000D7E3C"/>
    <w:rsid w:val="000D7E90"/>
    <w:rsid w:val="000E0052"/>
    <w:rsid w:val="000E0918"/>
    <w:rsid w:val="000E1B71"/>
    <w:rsid w:val="000E1DEF"/>
    <w:rsid w:val="000E27EF"/>
    <w:rsid w:val="000E2E85"/>
    <w:rsid w:val="000E3DA6"/>
    <w:rsid w:val="000E724D"/>
    <w:rsid w:val="000E747C"/>
    <w:rsid w:val="000E77DD"/>
    <w:rsid w:val="000E7ED0"/>
    <w:rsid w:val="000F03E5"/>
    <w:rsid w:val="000F074D"/>
    <w:rsid w:val="000F13F5"/>
    <w:rsid w:val="000F24CD"/>
    <w:rsid w:val="000F2613"/>
    <w:rsid w:val="000F2757"/>
    <w:rsid w:val="000F2902"/>
    <w:rsid w:val="000F2904"/>
    <w:rsid w:val="000F3461"/>
    <w:rsid w:val="000F3662"/>
    <w:rsid w:val="000F42CD"/>
    <w:rsid w:val="000F4581"/>
    <w:rsid w:val="000F55B1"/>
    <w:rsid w:val="001005D5"/>
    <w:rsid w:val="00100BB7"/>
    <w:rsid w:val="001011C3"/>
    <w:rsid w:val="00101BB6"/>
    <w:rsid w:val="001027F5"/>
    <w:rsid w:val="00103966"/>
    <w:rsid w:val="00105B28"/>
    <w:rsid w:val="001067BA"/>
    <w:rsid w:val="00106A01"/>
    <w:rsid w:val="00106D6D"/>
    <w:rsid w:val="00107915"/>
    <w:rsid w:val="00110D87"/>
    <w:rsid w:val="00110DEB"/>
    <w:rsid w:val="00110F99"/>
    <w:rsid w:val="00111CDB"/>
    <w:rsid w:val="00111D88"/>
    <w:rsid w:val="001123E0"/>
    <w:rsid w:val="00112B83"/>
    <w:rsid w:val="00112E06"/>
    <w:rsid w:val="00112E88"/>
    <w:rsid w:val="00114ADF"/>
    <w:rsid w:val="00114D3F"/>
    <w:rsid w:val="00114DB9"/>
    <w:rsid w:val="00114E77"/>
    <w:rsid w:val="00114F89"/>
    <w:rsid w:val="0011518C"/>
    <w:rsid w:val="00116087"/>
    <w:rsid w:val="00116F15"/>
    <w:rsid w:val="001203AA"/>
    <w:rsid w:val="0012124A"/>
    <w:rsid w:val="00121976"/>
    <w:rsid w:val="00123319"/>
    <w:rsid w:val="001244A5"/>
    <w:rsid w:val="00124665"/>
    <w:rsid w:val="001250AF"/>
    <w:rsid w:val="001259F0"/>
    <w:rsid w:val="00125ECF"/>
    <w:rsid w:val="0012798D"/>
    <w:rsid w:val="00130296"/>
    <w:rsid w:val="00130519"/>
    <w:rsid w:val="0013126B"/>
    <w:rsid w:val="001327F1"/>
    <w:rsid w:val="00132BDF"/>
    <w:rsid w:val="00133B51"/>
    <w:rsid w:val="00134852"/>
    <w:rsid w:val="00134F39"/>
    <w:rsid w:val="00134F51"/>
    <w:rsid w:val="00136557"/>
    <w:rsid w:val="00137568"/>
    <w:rsid w:val="00137929"/>
    <w:rsid w:val="001423B6"/>
    <w:rsid w:val="001423DA"/>
    <w:rsid w:val="0014293E"/>
    <w:rsid w:val="001448A7"/>
    <w:rsid w:val="00144E19"/>
    <w:rsid w:val="00144EC0"/>
    <w:rsid w:val="0014508D"/>
    <w:rsid w:val="00145C03"/>
    <w:rsid w:val="00146621"/>
    <w:rsid w:val="00146677"/>
    <w:rsid w:val="001475FF"/>
    <w:rsid w:val="001479AC"/>
    <w:rsid w:val="0015004F"/>
    <w:rsid w:val="00150BC6"/>
    <w:rsid w:val="00151172"/>
    <w:rsid w:val="00151FAD"/>
    <w:rsid w:val="00152011"/>
    <w:rsid w:val="001523FD"/>
    <w:rsid w:val="001531BB"/>
    <w:rsid w:val="00153768"/>
    <w:rsid w:val="00153917"/>
    <w:rsid w:val="00153AB1"/>
    <w:rsid w:val="00153ABA"/>
    <w:rsid w:val="0015435A"/>
    <w:rsid w:val="001557B1"/>
    <w:rsid w:val="00155A33"/>
    <w:rsid w:val="00155E45"/>
    <w:rsid w:val="00162325"/>
    <w:rsid w:val="00162486"/>
    <w:rsid w:val="00162D31"/>
    <w:rsid w:val="00163E39"/>
    <w:rsid w:val="0016439D"/>
    <w:rsid w:val="0016451D"/>
    <w:rsid w:val="001645F9"/>
    <w:rsid w:val="00164A2E"/>
    <w:rsid w:val="00165E66"/>
    <w:rsid w:val="00166FEA"/>
    <w:rsid w:val="001673EF"/>
    <w:rsid w:val="00167AC7"/>
    <w:rsid w:val="001701A7"/>
    <w:rsid w:val="00170980"/>
    <w:rsid w:val="00170BD8"/>
    <w:rsid w:val="00171293"/>
    <w:rsid w:val="00171A1E"/>
    <w:rsid w:val="00172888"/>
    <w:rsid w:val="00172E2E"/>
    <w:rsid w:val="00173452"/>
    <w:rsid w:val="00174773"/>
    <w:rsid w:val="001757F2"/>
    <w:rsid w:val="00175A81"/>
    <w:rsid w:val="001762A6"/>
    <w:rsid w:val="00177F83"/>
    <w:rsid w:val="0018029F"/>
    <w:rsid w:val="00180F24"/>
    <w:rsid w:val="001817F8"/>
    <w:rsid w:val="00183C21"/>
    <w:rsid w:val="001866DD"/>
    <w:rsid w:val="00186B0A"/>
    <w:rsid w:val="0018748E"/>
    <w:rsid w:val="00187851"/>
    <w:rsid w:val="00187A01"/>
    <w:rsid w:val="00187EC6"/>
    <w:rsid w:val="00190482"/>
    <w:rsid w:val="00191750"/>
    <w:rsid w:val="00191C12"/>
    <w:rsid w:val="00192197"/>
    <w:rsid w:val="0019293D"/>
    <w:rsid w:val="00193BDE"/>
    <w:rsid w:val="001940B0"/>
    <w:rsid w:val="001942CB"/>
    <w:rsid w:val="00194A77"/>
    <w:rsid w:val="001951DA"/>
    <w:rsid w:val="001974CD"/>
    <w:rsid w:val="001A06C4"/>
    <w:rsid w:val="001A160B"/>
    <w:rsid w:val="001A1B86"/>
    <w:rsid w:val="001A1D09"/>
    <w:rsid w:val="001A2895"/>
    <w:rsid w:val="001A317E"/>
    <w:rsid w:val="001A42E2"/>
    <w:rsid w:val="001A6A2E"/>
    <w:rsid w:val="001A784D"/>
    <w:rsid w:val="001B1E1C"/>
    <w:rsid w:val="001B2015"/>
    <w:rsid w:val="001B24E0"/>
    <w:rsid w:val="001B286E"/>
    <w:rsid w:val="001B2EB6"/>
    <w:rsid w:val="001B3AB2"/>
    <w:rsid w:val="001B48F9"/>
    <w:rsid w:val="001B4B41"/>
    <w:rsid w:val="001B56B5"/>
    <w:rsid w:val="001B64F3"/>
    <w:rsid w:val="001C015C"/>
    <w:rsid w:val="001C223E"/>
    <w:rsid w:val="001C2AD8"/>
    <w:rsid w:val="001C2E1C"/>
    <w:rsid w:val="001C3269"/>
    <w:rsid w:val="001C3468"/>
    <w:rsid w:val="001C3882"/>
    <w:rsid w:val="001C5CA0"/>
    <w:rsid w:val="001C7397"/>
    <w:rsid w:val="001C7E20"/>
    <w:rsid w:val="001D1305"/>
    <w:rsid w:val="001D1B00"/>
    <w:rsid w:val="001D1DB4"/>
    <w:rsid w:val="001D5205"/>
    <w:rsid w:val="001D5261"/>
    <w:rsid w:val="001D5433"/>
    <w:rsid w:val="001D5E3D"/>
    <w:rsid w:val="001D65E3"/>
    <w:rsid w:val="001D68AC"/>
    <w:rsid w:val="001E14AC"/>
    <w:rsid w:val="001E155C"/>
    <w:rsid w:val="001E178B"/>
    <w:rsid w:val="001E3E29"/>
    <w:rsid w:val="001E3F7F"/>
    <w:rsid w:val="001E4FEB"/>
    <w:rsid w:val="001E5D72"/>
    <w:rsid w:val="001E668B"/>
    <w:rsid w:val="001E6BB9"/>
    <w:rsid w:val="001E6E75"/>
    <w:rsid w:val="001E7232"/>
    <w:rsid w:val="001F0562"/>
    <w:rsid w:val="001F0737"/>
    <w:rsid w:val="001F0E57"/>
    <w:rsid w:val="001F0E73"/>
    <w:rsid w:val="001F135A"/>
    <w:rsid w:val="001F1393"/>
    <w:rsid w:val="001F1BE1"/>
    <w:rsid w:val="001F1D7A"/>
    <w:rsid w:val="001F2F57"/>
    <w:rsid w:val="001F33D0"/>
    <w:rsid w:val="001F347B"/>
    <w:rsid w:val="001F3BF9"/>
    <w:rsid w:val="001F3E25"/>
    <w:rsid w:val="001F44CC"/>
    <w:rsid w:val="001F5BB3"/>
    <w:rsid w:val="001F6AA4"/>
    <w:rsid w:val="00200529"/>
    <w:rsid w:val="00200C33"/>
    <w:rsid w:val="00204467"/>
    <w:rsid w:val="002053BC"/>
    <w:rsid w:val="00205BC2"/>
    <w:rsid w:val="00207ED8"/>
    <w:rsid w:val="002105E1"/>
    <w:rsid w:val="00210632"/>
    <w:rsid w:val="002112C0"/>
    <w:rsid w:val="00211B1D"/>
    <w:rsid w:val="002124DB"/>
    <w:rsid w:val="002130E1"/>
    <w:rsid w:val="00213F4E"/>
    <w:rsid w:val="002140F5"/>
    <w:rsid w:val="00214581"/>
    <w:rsid w:val="00216024"/>
    <w:rsid w:val="00216388"/>
    <w:rsid w:val="00216397"/>
    <w:rsid w:val="002213DC"/>
    <w:rsid w:val="002216DD"/>
    <w:rsid w:val="00221E29"/>
    <w:rsid w:val="00223D5A"/>
    <w:rsid w:val="00224302"/>
    <w:rsid w:val="002248CD"/>
    <w:rsid w:val="00224BF7"/>
    <w:rsid w:val="00224FBD"/>
    <w:rsid w:val="0022695C"/>
    <w:rsid w:val="00226D7A"/>
    <w:rsid w:val="00227AA4"/>
    <w:rsid w:val="00227B18"/>
    <w:rsid w:val="00230A60"/>
    <w:rsid w:val="00231301"/>
    <w:rsid w:val="002317C9"/>
    <w:rsid w:val="0023186B"/>
    <w:rsid w:val="00231AF4"/>
    <w:rsid w:val="00232255"/>
    <w:rsid w:val="00233883"/>
    <w:rsid w:val="00236553"/>
    <w:rsid w:val="00236586"/>
    <w:rsid w:val="00236D7C"/>
    <w:rsid w:val="00236E6D"/>
    <w:rsid w:val="0023792A"/>
    <w:rsid w:val="00237D17"/>
    <w:rsid w:val="00240F98"/>
    <w:rsid w:val="00241A1A"/>
    <w:rsid w:val="0024359D"/>
    <w:rsid w:val="002449D7"/>
    <w:rsid w:val="00244E38"/>
    <w:rsid w:val="0024604E"/>
    <w:rsid w:val="002476AC"/>
    <w:rsid w:val="002477A4"/>
    <w:rsid w:val="00247C30"/>
    <w:rsid w:val="00247DC5"/>
    <w:rsid w:val="002514D2"/>
    <w:rsid w:val="002518BC"/>
    <w:rsid w:val="0025250A"/>
    <w:rsid w:val="00252628"/>
    <w:rsid w:val="00252B05"/>
    <w:rsid w:val="0025316F"/>
    <w:rsid w:val="0025362D"/>
    <w:rsid w:val="00253E18"/>
    <w:rsid w:val="00255670"/>
    <w:rsid w:val="002574F9"/>
    <w:rsid w:val="00260240"/>
    <w:rsid w:val="00262306"/>
    <w:rsid w:val="0026306F"/>
    <w:rsid w:val="0026325D"/>
    <w:rsid w:val="00263742"/>
    <w:rsid w:val="00265D79"/>
    <w:rsid w:val="00266A16"/>
    <w:rsid w:val="00266F19"/>
    <w:rsid w:val="00266F8B"/>
    <w:rsid w:val="002676BE"/>
    <w:rsid w:val="0027088D"/>
    <w:rsid w:val="00271DB2"/>
    <w:rsid w:val="00273293"/>
    <w:rsid w:val="0027339B"/>
    <w:rsid w:val="002734DE"/>
    <w:rsid w:val="00273F7D"/>
    <w:rsid w:val="00275D41"/>
    <w:rsid w:val="00276811"/>
    <w:rsid w:val="002768C6"/>
    <w:rsid w:val="0027692E"/>
    <w:rsid w:val="00276993"/>
    <w:rsid w:val="0027719C"/>
    <w:rsid w:val="00277ADD"/>
    <w:rsid w:val="002810A2"/>
    <w:rsid w:val="00281218"/>
    <w:rsid w:val="00281BC2"/>
    <w:rsid w:val="00282699"/>
    <w:rsid w:val="00282DCD"/>
    <w:rsid w:val="00283A8A"/>
    <w:rsid w:val="00283D06"/>
    <w:rsid w:val="00283E75"/>
    <w:rsid w:val="00287F1F"/>
    <w:rsid w:val="00290346"/>
    <w:rsid w:val="002914A7"/>
    <w:rsid w:val="002914E4"/>
    <w:rsid w:val="00291EB1"/>
    <w:rsid w:val="0029253E"/>
    <w:rsid w:val="002926DF"/>
    <w:rsid w:val="00293563"/>
    <w:rsid w:val="00293A75"/>
    <w:rsid w:val="002946A4"/>
    <w:rsid w:val="0029470F"/>
    <w:rsid w:val="00295B9B"/>
    <w:rsid w:val="00296697"/>
    <w:rsid w:val="00297190"/>
    <w:rsid w:val="002A08DD"/>
    <w:rsid w:val="002A39B1"/>
    <w:rsid w:val="002A3C8F"/>
    <w:rsid w:val="002A486C"/>
    <w:rsid w:val="002A5E7C"/>
    <w:rsid w:val="002A71A0"/>
    <w:rsid w:val="002A7546"/>
    <w:rsid w:val="002B02E1"/>
    <w:rsid w:val="002B0472"/>
    <w:rsid w:val="002B0FF3"/>
    <w:rsid w:val="002B1A65"/>
    <w:rsid w:val="002B1FAC"/>
    <w:rsid w:val="002B3566"/>
    <w:rsid w:val="002B3BC7"/>
    <w:rsid w:val="002B3EC3"/>
    <w:rsid w:val="002B5972"/>
    <w:rsid w:val="002B5DD2"/>
    <w:rsid w:val="002B6259"/>
    <w:rsid w:val="002B6B12"/>
    <w:rsid w:val="002B756E"/>
    <w:rsid w:val="002B7DA0"/>
    <w:rsid w:val="002C01DB"/>
    <w:rsid w:val="002C1672"/>
    <w:rsid w:val="002C22D7"/>
    <w:rsid w:val="002C2FBF"/>
    <w:rsid w:val="002C39DC"/>
    <w:rsid w:val="002C3BAF"/>
    <w:rsid w:val="002C3C87"/>
    <w:rsid w:val="002C420B"/>
    <w:rsid w:val="002C4A43"/>
    <w:rsid w:val="002C4FF0"/>
    <w:rsid w:val="002C573D"/>
    <w:rsid w:val="002C6501"/>
    <w:rsid w:val="002C6D90"/>
    <w:rsid w:val="002C7B39"/>
    <w:rsid w:val="002D0554"/>
    <w:rsid w:val="002D0779"/>
    <w:rsid w:val="002D20A4"/>
    <w:rsid w:val="002D22C9"/>
    <w:rsid w:val="002D2459"/>
    <w:rsid w:val="002D2D76"/>
    <w:rsid w:val="002D3F81"/>
    <w:rsid w:val="002D4278"/>
    <w:rsid w:val="002D436D"/>
    <w:rsid w:val="002D492A"/>
    <w:rsid w:val="002D4BB9"/>
    <w:rsid w:val="002D5776"/>
    <w:rsid w:val="002D5A7F"/>
    <w:rsid w:val="002D5D3A"/>
    <w:rsid w:val="002D6F2E"/>
    <w:rsid w:val="002D7C90"/>
    <w:rsid w:val="002D7C97"/>
    <w:rsid w:val="002D7CA2"/>
    <w:rsid w:val="002E198E"/>
    <w:rsid w:val="002E1D54"/>
    <w:rsid w:val="002E3019"/>
    <w:rsid w:val="002E5495"/>
    <w:rsid w:val="002E6068"/>
    <w:rsid w:val="002E6140"/>
    <w:rsid w:val="002E6985"/>
    <w:rsid w:val="002E71B6"/>
    <w:rsid w:val="002E77FB"/>
    <w:rsid w:val="002E7990"/>
    <w:rsid w:val="002F109A"/>
    <w:rsid w:val="002F10D7"/>
    <w:rsid w:val="002F14FA"/>
    <w:rsid w:val="002F2B58"/>
    <w:rsid w:val="002F2C2E"/>
    <w:rsid w:val="002F2CD6"/>
    <w:rsid w:val="002F4D66"/>
    <w:rsid w:val="002F4E60"/>
    <w:rsid w:val="002F4F01"/>
    <w:rsid w:val="002F685E"/>
    <w:rsid w:val="002F77C8"/>
    <w:rsid w:val="00300CE5"/>
    <w:rsid w:val="00300CF4"/>
    <w:rsid w:val="00301633"/>
    <w:rsid w:val="0030263A"/>
    <w:rsid w:val="00303D35"/>
    <w:rsid w:val="00303E34"/>
    <w:rsid w:val="003041CB"/>
    <w:rsid w:val="00304F22"/>
    <w:rsid w:val="00305BCC"/>
    <w:rsid w:val="00305CAD"/>
    <w:rsid w:val="0030652F"/>
    <w:rsid w:val="003065C9"/>
    <w:rsid w:val="00306C7C"/>
    <w:rsid w:val="00310C8E"/>
    <w:rsid w:val="00311059"/>
    <w:rsid w:val="003113E1"/>
    <w:rsid w:val="00311CE9"/>
    <w:rsid w:val="00313722"/>
    <w:rsid w:val="00313ACB"/>
    <w:rsid w:val="00313AD5"/>
    <w:rsid w:val="00314148"/>
    <w:rsid w:val="00315067"/>
    <w:rsid w:val="00315142"/>
    <w:rsid w:val="003151BF"/>
    <w:rsid w:val="003156B1"/>
    <w:rsid w:val="003165A3"/>
    <w:rsid w:val="003166A4"/>
    <w:rsid w:val="00316B47"/>
    <w:rsid w:val="0032058B"/>
    <w:rsid w:val="00321488"/>
    <w:rsid w:val="00321A79"/>
    <w:rsid w:val="0032208A"/>
    <w:rsid w:val="003222AC"/>
    <w:rsid w:val="00322D35"/>
    <w:rsid w:val="00322EDD"/>
    <w:rsid w:val="00323111"/>
    <w:rsid w:val="0032388D"/>
    <w:rsid w:val="003238AD"/>
    <w:rsid w:val="003239A4"/>
    <w:rsid w:val="00323EF1"/>
    <w:rsid w:val="00326351"/>
    <w:rsid w:val="0033055D"/>
    <w:rsid w:val="00330949"/>
    <w:rsid w:val="003313BA"/>
    <w:rsid w:val="00332320"/>
    <w:rsid w:val="00333612"/>
    <w:rsid w:val="003337DC"/>
    <w:rsid w:val="00333992"/>
    <w:rsid w:val="00334BE9"/>
    <w:rsid w:val="00335366"/>
    <w:rsid w:val="00335E02"/>
    <w:rsid w:val="00336804"/>
    <w:rsid w:val="00336DB9"/>
    <w:rsid w:val="00337091"/>
    <w:rsid w:val="0034052C"/>
    <w:rsid w:val="003407E4"/>
    <w:rsid w:val="00341996"/>
    <w:rsid w:val="003419F3"/>
    <w:rsid w:val="0034561C"/>
    <w:rsid w:val="0034619C"/>
    <w:rsid w:val="00346794"/>
    <w:rsid w:val="00346D76"/>
    <w:rsid w:val="0034734A"/>
    <w:rsid w:val="00347A0E"/>
    <w:rsid w:val="00347D72"/>
    <w:rsid w:val="003500C3"/>
    <w:rsid w:val="003501BC"/>
    <w:rsid w:val="00350561"/>
    <w:rsid w:val="00351097"/>
    <w:rsid w:val="00352DFD"/>
    <w:rsid w:val="003538AF"/>
    <w:rsid w:val="00354A53"/>
    <w:rsid w:val="00354FA6"/>
    <w:rsid w:val="00355631"/>
    <w:rsid w:val="00356B8E"/>
    <w:rsid w:val="00357F62"/>
    <w:rsid w:val="0036049A"/>
    <w:rsid w:val="0036165F"/>
    <w:rsid w:val="00361BEA"/>
    <w:rsid w:val="00362A7C"/>
    <w:rsid w:val="0036304B"/>
    <w:rsid w:val="00363E95"/>
    <w:rsid w:val="00364AD4"/>
    <w:rsid w:val="00365A7C"/>
    <w:rsid w:val="00365F62"/>
    <w:rsid w:val="0036698B"/>
    <w:rsid w:val="00367237"/>
    <w:rsid w:val="0036763D"/>
    <w:rsid w:val="00367C61"/>
    <w:rsid w:val="003703DC"/>
    <w:rsid w:val="0037077F"/>
    <w:rsid w:val="00371234"/>
    <w:rsid w:val="0037141A"/>
    <w:rsid w:val="00371D1D"/>
    <w:rsid w:val="00373882"/>
    <w:rsid w:val="003740C7"/>
    <w:rsid w:val="00374A15"/>
    <w:rsid w:val="00374CAC"/>
    <w:rsid w:val="00374EC8"/>
    <w:rsid w:val="00375B4D"/>
    <w:rsid w:val="003848F9"/>
    <w:rsid w:val="00384A68"/>
    <w:rsid w:val="003855E8"/>
    <w:rsid w:val="003858DA"/>
    <w:rsid w:val="003860FF"/>
    <w:rsid w:val="0038792C"/>
    <w:rsid w:val="003904F8"/>
    <w:rsid w:val="00391145"/>
    <w:rsid w:val="00391BE8"/>
    <w:rsid w:val="00391E93"/>
    <w:rsid w:val="00392074"/>
    <w:rsid w:val="00393C8C"/>
    <w:rsid w:val="00393CB1"/>
    <w:rsid w:val="003945BD"/>
    <w:rsid w:val="00395702"/>
    <w:rsid w:val="003967C2"/>
    <w:rsid w:val="003972AF"/>
    <w:rsid w:val="0039759D"/>
    <w:rsid w:val="00397D18"/>
    <w:rsid w:val="003A0ABA"/>
    <w:rsid w:val="003A0E92"/>
    <w:rsid w:val="003A15A8"/>
    <w:rsid w:val="003A1B36"/>
    <w:rsid w:val="003A1EF7"/>
    <w:rsid w:val="003A2052"/>
    <w:rsid w:val="003A271E"/>
    <w:rsid w:val="003A2905"/>
    <w:rsid w:val="003A2DFB"/>
    <w:rsid w:val="003A311C"/>
    <w:rsid w:val="003A3943"/>
    <w:rsid w:val="003A42AD"/>
    <w:rsid w:val="003A48C2"/>
    <w:rsid w:val="003A5036"/>
    <w:rsid w:val="003A67CE"/>
    <w:rsid w:val="003B16F5"/>
    <w:rsid w:val="003B1FED"/>
    <w:rsid w:val="003B2183"/>
    <w:rsid w:val="003B2B69"/>
    <w:rsid w:val="003B2C96"/>
    <w:rsid w:val="003B2FE4"/>
    <w:rsid w:val="003B5B72"/>
    <w:rsid w:val="003B635A"/>
    <w:rsid w:val="003B6FDC"/>
    <w:rsid w:val="003B6FFA"/>
    <w:rsid w:val="003C0845"/>
    <w:rsid w:val="003C0978"/>
    <w:rsid w:val="003C15A2"/>
    <w:rsid w:val="003C196E"/>
    <w:rsid w:val="003C1DDE"/>
    <w:rsid w:val="003C4464"/>
    <w:rsid w:val="003C4528"/>
    <w:rsid w:val="003C5758"/>
    <w:rsid w:val="003C59E0"/>
    <w:rsid w:val="003C6AEF"/>
    <w:rsid w:val="003C6C8D"/>
    <w:rsid w:val="003C7247"/>
    <w:rsid w:val="003D05D4"/>
    <w:rsid w:val="003D0DE7"/>
    <w:rsid w:val="003D1B0C"/>
    <w:rsid w:val="003D27E4"/>
    <w:rsid w:val="003D2D75"/>
    <w:rsid w:val="003D2F16"/>
    <w:rsid w:val="003D3201"/>
    <w:rsid w:val="003D3E83"/>
    <w:rsid w:val="003D4BAB"/>
    <w:rsid w:val="003D4F95"/>
    <w:rsid w:val="003D509B"/>
    <w:rsid w:val="003D5EA6"/>
    <w:rsid w:val="003D5F42"/>
    <w:rsid w:val="003D60A9"/>
    <w:rsid w:val="003D6869"/>
    <w:rsid w:val="003D7387"/>
    <w:rsid w:val="003E10D7"/>
    <w:rsid w:val="003E1635"/>
    <w:rsid w:val="003E170B"/>
    <w:rsid w:val="003E1C87"/>
    <w:rsid w:val="003E1EC1"/>
    <w:rsid w:val="003E21F4"/>
    <w:rsid w:val="003E26D7"/>
    <w:rsid w:val="003E4C00"/>
    <w:rsid w:val="003E4F1E"/>
    <w:rsid w:val="003E769F"/>
    <w:rsid w:val="003E781B"/>
    <w:rsid w:val="003E7FF7"/>
    <w:rsid w:val="003F102C"/>
    <w:rsid w:val="003F1DDF"/>
    <w:rsid w:val="003F1ED6"/>
    <w:rsid w:val="003F218D"/>
    <w:rsid w:val="003F2B54"/>
    <w:rsid w:val="003F3065"/>
    <w:rsid w:val="003F4C97"/>
    <w:rsid w:val="003F4DC8"/>
    <w:rsid w:val="003F56E4"/>
    <w:rsid w:val="003F5AB3"/>
    <w:rsid w:val="003F7FE6"/>
    <w:rsid w:val="004002B7"/>
    <w:rsid w:val="0040262C"/>
    <w:rsid w:val="00402B19"/>
    <w:rsid w:val="00403AD3"/>
    <w:rsid w:val="00403C6B"/>
    <w:rsid w:val="004040CC"/>
    <w:rsid w:val="0040435C"/>
    <w:rsid w:val="00404D25"/>
    <w:rsid w:val="00405699"/>
    <w:rsid w:val="00410B80"/>
    <w:rsid w:val="00410C2D"/>
    <w:rsid w:val="00411187"/>
    <w:rsid w:val="004118D1"/>
    <w:rsid w:val="00411D3B"/>
    <w:rsid w:val="0041373E"/>
    <w:rsid w:val="0041394C"/>
    <w:rsid w:val="00413AE4"/>
    <w:rsid w:val="00415097"/>
    <w:rsid w:val="004159FA"/>
    <w:rsid w:val="00415B06"/>
    <w:rsid w:val="00415C94"/>
    <w:rsid w:val="004204A2"/>
    <w:rsid w:val="00420588"/>
    <w:rsid w:val="00420628"/>
    <w:rsid w:val="0042262E"/>
    <w:rsid w:val="0042323E"/>
    <w:rsid w:val="004232C1"/>
    <w:rsid w:val="004238D0"/>
    <w:rsid w:val="00423D86"/>
    <w:rsid w:val="0042406F"/>
    <w:rsid w:val="0042446D"/>
    <w:rsid w:val="00425512"/>
    <w:rsid w:val="00425F6A"/>
    <w:rsid w:val="00426F8A"/>
    <w:rsid w:val="00427BF8"/>
    <w:rsid w:val="0043075E"/>
    <w:rsid w:val="0043126D"/>
    <w:rsid w:val="00431C02"/>
    <w:rsid w:val="00432D84"/>
    <w:rsid w:val="00432E3F"/>
    <w:rsid w:val="004335CF"/>
    <w:rsid w:val="00433A69"/>
    <w:rsid w:val="0043416E"/>
    <w:rsid w:val="004366B1"/>
    <w:rsid w:val="00436F11"/>
    <w:rsid w:val="00437395"/>
    <w:rsid w:val="00437734"/>
    <w:rsid w:val="0044037C"/>
    <w:rsid w:val="00441377"/>
    <w:rsid w:val="004449D9"/>
    <w:rsid w:val="00445047"/>
    <w:rsid w:val="00445683"/>
    <w:rsid w:val="00445A7C"/>
    <w:rsid w:val="0044644A"/>
    <w:rsid w:val="00447798"/>
    <w:rsid w:val="00447C2F"/>
    <w:rsid w:val="004523B3"/>
    <w:rsid w:val="0045269C"/>
    <w:rsid w:val="00452A39"/>
    <w:rsid w:val="00452BBB"/>
    <w:rsid w:val="00453495"/>
    <w:rsid w:val="004541A0"/>
    <w:rsid w:val="00454346"/>
    <w:rsid w:val="004545FA"/>
    <w:rsid w:val="004546ED"/>
    <w:rsid w:val="00454A5C"/>
    <w:rsid w:val="0045517D"/>
    <w:rsid w:val="004553E8"/>
    <w:rsid w:val="00456CF9"/>
    <w:rsid w:val="00457611"/>
    <w:rsid w:val="00460C64"/>
    <w:rsid w:val="0046145E"/>
    <w:rsid w:val="004619FE"/>
    <w:rsid w:val="00461CA9"/>
    <w:rsid w:val="0046200B"/>
    <w:rsid w:val="00462235"/>
    <w:rsid w:val="00462D22"/>
    <w:rsid w:val="00463E39"/>
    <w:rsid w:val="00464F48"/>
    <w:rsid w:val="004657FC"/>
    <w:rsid w:val="004662CE"/>
    <w:rsid w:val="00466534"/>
    <w:rsid w:val="00466E49"/>
    <w:rsid w:val="00470A70"/>
    <w:rsid w:val="00471129"/>
    <w:rsid w:val="004714CB"/>
    <w:rsid w:val="004716D6"/>
    <w:rsid w:val="00471B7A"/>
    <w:rsid w:val="00472ED6"/>
    <w:rsid w:val="004733F6"/>
    <w:rsid w:val="00473463"/>
    <w:rsid w:val="00474408"/>
    <w:rsid w:val="0047464C"/>
    <w:rsid w:val="00474B44"/>
    <w:rsid w:val="00474E69"/>
    <w:rsid w:val="00480564"/>
    <w:rsid w:val="004823C7"/>
    <w:rsid w:val="00482BBE"/>
    <w:rsid w:val="00482E9C"/>
    <w:rsid w:val="00482FAD"/>
    <w:rsid w:val="00483989"/>
    <w:rsid w:val="0048414B"/>
    <w:rsid w:val="004845AA"/>
    <w:rsid w:val="004853D3"/>
    <w:rsid w:val="00485D23"/>
    <w:rsid w:val="00485DC2"/>
    <w:rsid w:val="00486DE1"/>
    <w:rsid w:val="00491909"/>
    <w:rsid w:val="004930E9"/>
    <w:rsid w:val="00493E8A"/>
    <w:rsid w:val="0049479A"/>
    <w:rsid w:val="004951F0"/>
    <w:rsid w:val="0049618D"/>
    <w:rsid w:val="0049621B"/>
    <w:rsid w:val="0049731C"/>
    <w:rsid w:val="00497BEC"/>
    <w:rsid w:val="004A0ED6"/>
    <w:rsid w:val="004A4DF7"/>
    <w:rsid w:val="004A50BE"/>
    <w:rsid w:val="004A569A"/>
    <w:rsid w:val="004A592F"/>
    <w:rsid w:val="004A6C60"/>
    <w:rsid w:val="004A6CA1"/>
    <w:rsid w:val="004A6CC2"/>
    <w:rsid w:val="004B059E"/>
    <w:rsid w:val="004B05D0"/>
    <w:rsid w:val="004B0752"/>
    <w:rsid w:val="004B1FEA"/>
    <w:rsid w:val="004B21A7"/>
    <w:rsid w:val="004B2534"/>
    <w:rsid w:val="004B35E0"/>
    <w:rsid w:val="004B492B"/>
    <w:rsid w:val="004B5159"/>
    <w:rsid w:val="004B57CF"/>
    <w:rsid w:val="004B5B15"/>
    <w:rsid w:val="004B5B91"/>
    <w:rsid w:val="004B6A39"/>
    <w:rsid w:val="004B7384"/>
    <w:rsid w:val="004B7812"/>
    <w:rsid w:val="004C05D4"/>
    <w:rsid w:val="004C07B9"/>
    <w:rsid w:val="004C0840"/>
    <w:rsid w:val="004C0E8B"/>
    <w:rsid w:val="004C1895"/>
    <w:rsid w:val="004C21B2"/>
    <w:rsid w:val="004C2C80"/>
    <w:rsid w:val="004C2F30"/>
    <w:rsid w:val="004C329D"/>
    <w:rsid w:val="004C3E78"/>
    <w:rsid w:val="004C432F"/>
    <w:rsid w:val="004C4611"/>
    <w:rsid w:val="004C4859"/>
    <w:rsid w:val="004C4D15"/>
    <w:rsid w:val="004C5696"/>
    <w:rsid w:val="004C5A76"/>
    <w:rsid w:val="004C5EAA"/>
    <w:rsid w:val="004C5EFD"/>
    <w:rsid w:val="004C6C78"/>
    <w:rsid w:val="004C6D40"/>
    <w:rsid w:val="004C7599"/>
    <w:rsid w:val="004D036F"/>
    <w:rsid w:val="004D211A"/>
    <w:rsid w:val="004D2F26"/>
    <w:rsid w:val="004D303B"/>
    <w:rsid w:val="004D30A4"/>
    <w:rsid w:val="004D453A"/>
    <w:rsid w:val="004D4BCB"/>
    <w:rsid w:val="004D6C26"/>
    <w:rsid w:val="004E04F8"/>
    <w:rsid w:val="004E070B"/>
    <w:rsid w:val="004E1B1E"/>
    <w:rsid w:val="004E2A40"/>
    <w:rsid w:val="004E4195"/>
    <w:rsid w:val="004E6AB5"/>
    <w:rsid w:val="004E6C76"/>
    <w:rsid w:val="004E70CF"/>
    <w:rsid w:val="004E7601"/>
    <w:rsid w:val="004E7DEA"/>
    <w:rsid w:val="004F03D7"/>
    <w:rsid w:val="004F096D"/>
    <w:rsid w:val="004F0C3C"/>
    <w:rsid w:val="004F0D71"/>
    <w:rsid w:val="004F23CC"/>
    <w:rsid w:val="004F2AEE"/>
    <w:rsid w:val="004F38B2"/>
    <w:rsid w:val="004F3AEE"/>
    <w:rsid w:val="004F41C3"/>
    <w:rsid w:val="004F4AF2"/>
    <w:rsid w:val="004F4B2E"/>
    <w:rsid w:val="004F63FC"/>
    <w:rsid w:val="004F68CD"/>
    <w:rsid w:val="004F6A6E"/>
    <w:rsid w:val="00500147"/>
    <w:rsid w:val="00500367"/>
    <w:rsid w:val="0050144E"/>
    <w:rsid w:val="00501AE4"/>
    <w:rsid w:val="0050225F"/>
    <w:rsid w:val="00502BF4"/>
    <w:rsid w:val="005030CC"/>
    <w:rsid w:val="0050403D"/>
    <w:rsid w:val="0050579E"/>
    <w:rsid w:val="00505A92"/>
    <w:rsid w:val="00506E7F"/>
    <w:rsid w:val="00506FD7"/>
    <w:rsid w:val="00507D32"/>
    <w:rsid w:val="005103BA"/>
    <w:rsid w:val="00511568"/>
    <w:rsid w:val="00512936"/>
    <w:rsid w:val="00514735"/>
    <w:rsid w:val="005151B9"/>
    <w:rsid w:val="005167C0"/>
    <w:rsid w:val="005203F1"/>
    <w:rsid w:val="0052092C"/>
    <w:rsid w:val="00520B52"/>
    <w:rsid w:val="0052132E"/>
    <w:rsid w:val="00521BC3"/>
    <w:rsid w:val="00521FD1"/>
    <w:rsid w:val="00522982"/>
    <w:rsid w:val="00526B0F"/>
    <w:rsid w:val="00527A4E"/>
    <w:rsid w:val="00530063"/>
    <w:rsid w:val="00530775"/>
    <w:rsid w:val="00530791"/>
    <w:rsid w:val="00530B2D"/>
    <w:rsid w:val="00532B4D"/>
    <w:rsid w:val="00533DED"/>
    <w:rsid w:val="00534D51"/>
    <w:rsid w:val="00535364"/>
    <w:rsid w:val="0053606D"/>
    <w:rsid w:val="005368EA"/>
    <w:rsid w:val="00541C9F"/>
    <w:rsid w:val="0054251F"/>
    <w:rsid w:val="00542AA3"/>
    <w:rsid w:val="00542E9F"/>
    <w:rsid w:val="0054306B"/>
    <w:rsid w:val="005436D8"/>
    <w:rsid w:val="005437A8"/>
    <w:rsid w:val="00543869"/>
    <w:rsid w:val="00545724"/>
    <w:rsid w:val="0054593C"/>
    <w:rsid w:val="00546045"/>
    <w:rsid w:val="00546255"/>
    <w:rsid w:val="005462FF"/>
    <w:rsid w:val="005471BB"/>
    <w:rsid w:val="00547318"/>
    <w:rsid w:val="00551389"/>
    <w:rsid w:val="005516BF"/>
    <w:rsid w:val="005520D8"/>
    <w:rsid w:val="00552243"/>
    <w:rsid w:val="0055415A"/>
    <w:rsid w:val="005545A0"/>
    <w:rsid w:val="00555170"/>
    <w:rsid w:val="00555C83"/>
    <w:rsid w:val="005561C0"/>
    <w:rsid w:val="00556CF1"/>
    <w:rsid w:val="005572D1"/>
    <w:rsid w:val="00557D23"/>
    <w:rsid w:val="00560300"/>
    <w:rsid w:val="00560493"/>
    <w:rsid w:val="005612BD"/>
    <w:rsid w:val="00561C5A"/>
    <w:rsid w:val="0056319D"/>
    <w:rsid w:val="00563DC2"/>
    <w:rsid w:val="005643FE"/>
    <w:rsid w:val="00564FCF"/>
    <w:rsid w:val="00565A3D"/>
    <w:rsid w:val="00566932"/>
    <w:rsid w:val="00570FD5"/>
    <w:rsid w:val="00571B3C"/>
    <w:rsid w:val="00571CAA"/>
    <w:rsid w:val="005720AE"/>
    <w:rsid w:val="005723B5"/>
    <w:rsid w:val="00572AB5"/>
    <w:rsid w:val="00573323"/>
    <w:rsid w:val="00574203"/>
    <w:rsid w:val="005742EB"/>
    <w:rsid w:val="00574EFA"/>
    <w:rsid w:val="005755F9"/>
    <w:rsid w:val="005762A7"/>
    <w:rsid w:val="00576D1F"/>
    <w:rsid w:val="005772AD"/>
    <w:rsid w:val="0057767A"/>
    <w:rsid w:val="00582408"/>
    <w:rsid w:val="005828BF"/>
    <w:rsid w:val="00582988"/>
    <w:rsid w:val="005849A0"/>
    <w:rsid w:val="0058585A"/>
    <w:rsid w:val="005859AA"/>
    <w:rsid w:val="005864BA"/>
    <w:rsid w:val="005870C1"/>
    <w:rsid w:val="00591004"/>
    <w:rsid w:val="005916D7"/>
    <w:rsid w:val="00595236"/>
    <w:rsid w:val="0059550D"/>
    <w:rsid w:val="00595B51"/>
    <w:rsid w:val="005965BF"/>
    <w:rsid w:val="005973B7"/>
    <w:rsid w:val="005A1C1A"/>
    <w:rsid w:val="005A698C"/>
    <w:rsid w:val="005A6F50"/>
    <w:rsid w:val="005A7E7C"/>
    <w:rsid w:val="005B11DA"/>
    <w:rsid w:val="005B2433"/>
    <w:rsid w:val="005B2442"/>
    <w:rsid w:val="005B2E55"/>
    <w:rsid w:val="005B42C4"/>
    <w:rsid w:val="005B44E2"/>
    <w:rsid w:val="005B5280"/>
    <w:rsid w:val="005B5787"/>
    <w:rsid w:val="005B5FAA"/>
    <w:rsid w:val="005C0BCC"/>
    <w:rsid w:val="005C1573"/>
    <w:rsid w:val="005C1DDD"/>
    <w:rsid w:val="005C2972"/>
    <w:rsid w:val="005C2CF9"/>
    <w:rsid w:val="005C3970"/>
    <w:rsid w:val="005C49AE"/>
    <w:rsid w:val="005C4F00"/>
    <w:rsid w:val="005C57B2"/>
    <w:rsid w:val="005C5F96"/>
    <w:rsid w:val="005C7964"/>
    <w:rsid w:val="005C7EEF"/>
    <w:rsid w:val="005D021D"/>
    <w:rsid w:val="005D0578"/>
    <w:rsid w:val="005D0C0F"/>
    <w:rsid w:val="005D0E81"/>
    <w:rsid w:val="005D0FDE"/>
    <w:rsid w:val="005D1569"/>
    <w:rsid w:val="005D212C"/>
    <w:rsid w:val="005D3DD0"/>
    <w:rsid w:val="005D4217"/>
    <w:rsid w:val="005D46F8"/>
    <w:rsid w:val="005D47AF"/>
    <w:rsid w:val="005D77FB"/>
    <w:rsid w:val="005D7C1F"/>
    <w:rsid w:val="005E0068"/>
    <w:rsid w:val="005E0799"/>
    <w:rsid w:val="005E14A3"/>
    <w:rsid w:val="005E2CB6"/>
    <w:rsid w:val="005E47F5"/>
    <w:rsid w:val="005E4ABD"/>
    <w:rsid w:val="005E5E39"/>
    <w:rsid w:val="005E6FB1"/>
    <w:rsid w:val="005F050E"/>
    <w:rsid w:val="005F0962"/>
    <w:rsid w:val="005F0C15"/>
    <w:rsid w:val="005F0DD0"/>
    <w:rsid w:val="005F1CBA"/>
    <w:rsid w:val="005F21A5"/>
    <w:rsid w:val="005F3E6C"/>
    <w:rsid w:val="005F4FE0"/>
    <w:rsid w:val="005F504D"/>
    <w:rsid w:val="005F5A80"/>
    <w:rsid w:val="005F6903"/>
    <w:rsid w:val="005F6DFA"/>
    <w:rsid w:val="005F7577"/>
    <w:rsid w:val="00600661"/>
    <w:rsid w:val="0060091A"/>
    <w:rsid w:val="00601033"/>
    <w:rsid w:val="006031BD"/>
    <w:rsid w:val="006044FF"/>
    <w:rsid w:val="00605F33"/>
    <w:rsid w:val="00606660"/>
    <w:rsid w:val="00607CC5"/>
    <w:rsid w:val="00610108"/>
    <w:rsid w:val="006110DF"/>
    <w:rsid w:val="006119CD"/>
    <w:rsid w:val="00611E75"/>
    <w:rsid w:val="0061219D"/>
    <w:rsid w:val="00612941"/>
    <w:rsid w:val="006134B4"/>
    <w:rsid w:val="00613526"/>
    <w:rsid w:val="00613C8E"/>
    <w:rsid w:val="006140C6"/>
    <w:rsid w:val="00614625"/>
    <w:rsid w:val="00615E34"/>
    <w:rsid w:val="00617632"/>
    <w:rsid w:val="00620025"/>
    <w:rsid w:val="006205DD"/>
    <w:rsid w:val="00621501"/>
    <w:rsid w:val="006218D3"/>
    <w:rsid w:val="00622181"/>
    <w:rsid w:val="0062238D"/>
    <w:rsid w:val="00623A30"/>
    <w:rsid w:val="00623AEC"/>
    <w:rsid w:val="00623C8B"/>
    <w:rsid w:val="00623F4D"/>
    <w:rsid w:val="00624488"/>
    <w:rsid w:val="00625089"/>
    <w:rsid w:val="006250B0"/>
    <w:rsid w:val="006274BF"/>
    <w:rsid w:val="00630EC5"/>
    <w:rsid w:val="00632056"/>
    <w:rsid w:val="00633014"/>
    <w:rsid w:val="00633B23"/>
    <w:rsid w:val="00634359"/>
    <w:rsid w:val="0063437B"/>
    <w:rsid w:val="006346E1"/>
    <w:rsid w:val="0063612A"/>
    <w:rsid w:val="006364C0"/>
    <w:rsid w:val="006374B3"/>
    <w:rsid w:val="0063792B"/>
    <w:rsid w:val="00640163"/>
    <w:rsid w:val="00640195"/>
    <w:rsid w:val="00640F41"/>
    <w:rsid w:val="006427E0"/>
    <w:rsid w:val="006450E9"/>
    <w:rsid w:val="006453C8"/>
    <w:rsid w:val="0064579F"/>
    <w:rsid w:val="00645894"/>
    <w:rsid w:val="00646554"/>
    <w:rsid w:val="006467C3"/>
    <w:rsid w:val="00647794"/>
    <w:rsid w:val="00647A17"/>
    <w:rsid w:val="006506FC"/>
    <w:rsid w:val="00650B67"/>
    <w:rsid w:val="006516CF"/>
    <w:rsid w:val="006528E7"/>
    <w:rsid w:val="00652DEE"/>
    <w:rsid w:val="00652FE9"/>
    <w:rsid w:val="006532F8"/>
    <w:rsid w:val="0065356C"/>
    <w:rsid w:val="00654699"/>
    <w:rsid w:val="00655471"/>
    <w:rsid w:val="00655B16"/>
    <w:rsid w:val="00655FB7"/>
    <w:rsid w:val="00655FD9"/>
    <w:rsid w:val="0065644D"/>
    <w:rsid w:val="006567D8"/>
    <w:rsid w:val="00657F37"/>
    <w:rsid w:val="00661D83"/>
    <w:rsid w:val="00662E47"/>
    <w:rsid w:val="0066358F"/>
    <w:rsid w:val="00664332"/>
    <w:rsid w:val="006650CE"/>
    <w:rsid w:val="00665485"/>
    <w:rsid w:val="006667DB"/>
    <w:rsid w:val="00666ED5"/>
    <w:rsid w:val="00666FE6"/>
    <w:rsid w:val="006673CA"/>
    <w:rsid w:val="00667C4F"/>
    <w:rsid w:val="006715A8"/>
    <w:rsid w:val="00671C72"/>
    <w:rsid w:val="00672548"/>
    <w:rsid w:val="00674918"/>
    <w:rsid w:val="00675304"/>
    <w:rsid w:val="006755A3"/>
    <w:rsid w:val="00676B47"/>
    <w:rsid w:val="00681A0F"/>
    <w:rsid w:val="0068231B"/>
    <w:rsid w:val="00682FF1"/>
    <w:rsid w:val="00683277"/>
    <w:rsid w:val="00684A7C"/>
    <w:rsid w:val="00684CBC"/>
    <w:rsid w:val="00685D3A"/>
    <w:rsid w:val="00690BEE"/>
    <w:rsid w:val="00691282"/>
    <w:rsid w:val="00691A4B"/>
    <w:rsid w:val="0069208C"/>
    <w:rsid w:val="00692138"/>
    <w:rsid w:val="006932A5"/>
    <w:rsid w:val="00694612"/>
    <w:rsid w:val="00694994"/>
    <w:rsid w:val="00695688"/>
    <w:rsid w:val="00695709"/>
    <w:rsid w:val="006959AD"/>
    <w:rsid w:val="00695D66"/>
    <w:rsid w:val="006966AD"/>
    <w:rsid w:val="006975EC"/>
    <w:rsid w:val="006A13F4"/>
    <w:rsid w:val="006A16B5"/>
    <w:rsid w:val="006A1BDC"/>
    <w:rsid w:val="006A22F2"/>
    <w:rsid w:val="006A41E2"/>
    <w:rsid w:val="006B05FA"/>
    <w:rsid w:val="006B0E9E"/>
    <w:rsid w:val="006B1D37"/>
    <w:rsid w:val="006B1F35"/>
    <w:rsid w:val="006B2D75"/>
    <w:rsid w:val="006B3239"/>
    <w:rsid w:val="006B3857"/>
    <w:rsid w:val="006B59FB"/>
    <w:rsid w:val="006B5AE4"/>
    <w:rsid w:val="006B6D7F"/>
    <w:rsid w:val="006B6DF1"/>
    <w:rsid w:val="006B708F"/>
    <w:rsid w:val="006B7E22"/>
    <w:rsid w:val="006C2464"/>
    <w:rsid w:val="006C2CA5"/>
    <w:rsid w:val="006C2E11"/>
    <w:rsid w:val="006C4562"/>
    <w:rsid w:val="006D09B4"/>
    <w:rsid w:val="006D109B"/>
    <w:rsid w:val="006D4054"/>
    <w:rsid w:val="006D4318"/>
    <w:rsid w:val="006D4940"/>
    <w:rsid w:val="006D51B4"/>
    <w:rsid w:val="006D54CC"/>
    <w:rsid w:val="006D55D8"/>
    <w:rsid w:val="006D6347"/>
    <w:rsid w:val="006D7274"/>
    <w:rsid w:val="006D7758"/>
    <w:rsid w:val="006D7DBC"/>
    <w:rsid w:val="006E02EC"/>
    <w:rsid w:val="006E05BB"/>
    <w:rsid w:val="006E1123"/>
    <w:rsid w:val="006E1245"/>
    <w:rsid w:val="006E1C2F"/>
    <w:rsid w:val="006E2869"/>
    <w:rsid w:val="006E30F5"/>
    <w:rsid w:val="006E4ACA"/>
    <w:rsid w:val="006E4BB4"/>
    <w:rsid w:val="006E560A"/>
    <w:rsid w:val="006E5F14"/>
    <w:rsid w:val="006E6D76"/>
    <w:rsid w:val="006E7789"/>
    <w:rsid w:val="006F04D4"/>
    <w:rsid w:val="006F2080"/>
    <w:rsid w:val="006F2D52"/>
    <w:rsid w:val="006F4BDE"/>
    <w:rsid w:val="006F57E5"/>
    <w:rsid w:val="006F5DEB"/>
    <w:rsid w:val="006F7FA8"/>
    <w:rsid w:val="0070166B"/>
    <w:rsid w:val="00701DF3"/>
    <w:rsid w:val="00702737"/>
    <w:rsid w:val="00703154"/>
    <w:rsid w:val="00703444"/>
    <w:rsid w:val="00706806"/>
    <w:rsid w:val="00706CF3"/>
    <w:rsid w:val="007108A9"/>
    <w:rsid w:val="00710960"/>
    <w:rsid w:val="00710966"/>
    <w:rsid w:val="00710A47"/>
    <w:rsid w:val="00710E4C"/>
    <w:rsid w:val="00711297"/>
    <w:rsid w:val="00711571"/>
    <w:rsid w:val="007119AF"/>
    <w:rsid w:val="00712025"/>
    <w:rsid w:val="0071456B"/>
    <w:rsid w:val="00714DE1"/>
    <w:rsid w:val="00714E46"/>
    <w:rsid w:val="00715357"/>
    <w:rsid w:val="00715BE3"/>
    <w:rsid w:val="007175B5"/>
    <w:rsid w:val="00717A15"/>
    <w:rsid w:val="007205CE"/>
    <w:rsid w:val="007209E1"/>
    <w:rsid w:val="0072115A"/>
    <w:rsid w:val="007211B1"/>
    <w:rsid w:val="00722348"/>
    <w:rsid w:val="007223D6"/>
    <w:rsid w:val="007227F3"/>
    <w:rsid w:val="00722E61"/>
    <w:rsid w:val="007243F0"/>
    <w:rsid w:val="00725216"/>
    <w:rsid w:val="007265CE"/>
    <w:rsid w:val="00726B70"/>
    <w:rsid w:val="00726E75"/>
    <w:rsid w:val="00730184"/>
    <w:rsid w:val="00731918"/>
    <w:rsid w:val="00731E67"/>
    <w:rsid w:val="00732354"/>
    <w:rsid w:val="00732401"/>
    <w:rsid w:val="00732809"/>
    <w:rsid w:val="0073602C"/>
    <w:rsid w:val="007368D2"/>
    <w:rsid w:val="007368FF"/>
    <w:rsid w:val="00737ADD"/>
    <w:rsid w:val="007402CD"/>
    <w:rsid w:val="007408B3"/>
    <w:rsid w:val="00742C35"/>
    <w:rsid w:val="00743C9B"/>
    <w:rsid w:val="00743F79"/>
    <w:rsid w:val="00745912"/>
    <w:rsid w:val="00746187"/>
    <w:rsid w:val="00746323"/>
    <w:rsid w:val="00747F84"/>
    <w:rsid w:val="007500D3"/>
    <w:rsid w:val="00750EB3"/>
    <w:rsid w:val="007518B2"/>
    <w:rsid w:val="00752B07"/>
    <w:rsid w:val="00752D31"/>
    <w:rsid w:val="00754106"/>
    <w:rsid w:val="007543F5"/>
    <w:rsid w:val="00754C63"/>
    <w:rsid w:val="00755C20"/>
    <w:rsid w:val="007577F0"/>
    <w:rsid w:val="007600A2"/>
    <w:rsid w:val="00760876"/>
    <w:rsid w:val="007615BC"/>
    <w:rsid w:val="007623ED"/>
    <w:rsid w:val="00762403"/>
    <w:rsid w:val="0076254F"/>
    <w:rsid w:val="0076405F"/>
    <w:rsid w:val="00765532"/>
    <w:rsid w:val="007658F6"/>
    <w:rsid w:val="00766490"/>
    <w:rsid w:val="0076662C"/>
    <w:rsid w:val="007667E4"/>
    <w:rsid w:val="007667F6"/>
    <w:rsid w:val="00767F9C"/>
    <w:rsid w:val="007700E4"/>
    <w:rsid w:val="00770B99"/>
    <w:rsid w:val="0077196D"/>
    <w:rsid w:val="00773E86"/>
    <w:rsid w:val="00774C6B"/>
    <w:rsid w:val="00776D72"/>
    <w:rsid w:val="007774DE"/>
    <w:rsid w:val="0077775C"/>
    <w:rsid w:val="00777923"/>
    <w:rsid w:val="00777CD1"/>
    <w:rsid w:val="00777F21"/>
    <w:rsid w:val="00777FA8"/>
    <w:rsid w:val="007801F5"/>
    <w:rsid w:val="00781050"/>
    <w:rsid w:val="007812FB"/>
    <w:rsid w:val="00781FDA"/>
    <w:rsid w:val="00782381"/>
    <w:rsid w:val="007824EE"/>
    <w:rsid w:val="00782EB3"/>
    <w:rsid w:val="00783CA4"/>
    <w:rsid w:val="007842FB"/>
    <w:rsid w:val="007844EC"/>
    <w:rsid w:val="00784B79"/>
    <w:rsid w:val="00784CC1"/>
    <w:rsid w:val="00785725"/>
    <w:rsid w:val="00785BBB"/>
    <w:rsid w:val="00785C4B"/>
    <w:rsid w:val="00786124"/>
    <w:rsid w:val="00790751"/>
    <w:rsid w:val="0079127B"/>
    <w:rsid w:val="00791FC6"/>
    <w:rsid w:val="00792ACE"/>
    <w:rsid w:val="007930BF"/>
    <w:rsid w:val="007946BC"/>
    <w:rsid w:val="00794932"/>
    <w:rsid w:val="00795040"/>
    <w:rsid w:val="0079514B"/>
    <w:rsid w:val="007963AE"/>
    <w:rsid w:val="00796583"/>
    <w:rsid w:val="00796C70"/>
    <w:rsid w:val="007979BE"/>
    <w:rsid w:val="00797A2B"/>
    <w:rsid w:val="00797A85"/>
    <w:rsid w:val="007A140D"/>
    <w:rsid w:val="007A1F66"/>
    <w:rsid w:val="007A207B"/>
    <w:rsid w:val="007A2DC1"/>
    <w:rsid w:val="007A3438"/>
    <w:rsid w:val="007A3C6F"/>
    <w:rsid w:val="007A58FE"/>
    <w:rsid w:val="007A59DF"/>
    <w:rsid w:val="007A62F1"/>
    <w:rsid w:val="007A7173"/>
    <w:rsid w:val="007A7C0E"/>
    <w:rsid w:val="007B145B"/>
    <w:rsid w:val="007B1B50"/>
    <w:rsid w:val="007B2651"/>
    <w:rsid w:val="007B2945"/>
    <w:rsid w:val="007B2BAE"/>
    <w:rsid w:val="007B47BA"/>
    <w:rsid w:val="007B5805"/>
    <w:rsid w:val="007B59C1"/>
    <w:rsid w:val="007B68A4"/>
    <w:rsid w:val="007B6E6F"/>
    <w:rsid w:val="007B7014"/>
    <w:rsid w:val="007C046A"/>
    <w:rsid w:val="007C14FB"/>
    <w:rsid w:val="007C233F"/>
    <w:rsid w:val="007C366B"/>
    <w:rsid w:val="007C3926"/>
    <w:rsid w:val="007C63DA"/>
    <w:rsid w:val="007D04E6"/>
    <w:rsid w:val="007D2B8D"/>
    <w:rsid w:val="007D3319"/>
    <w:rsid w:val="007D335D"/>
    <w:rsid w:val="007D473A"/>
    <w:rsid w:val="007D5635"/>
    <w:rsid w:val="007D5ACA"/>
    <w:rsid w:val="007D5EF3"/>
    <w:rsid w:val="007D624B"/>
    <w:rsid w:val="007D6BBD"/>
    <w:rsid w:val="007D7311"/>
    <w:rsid w:val="007D7898"/>
    <w:rsid w:val="007D7F70"/>
    <w:rsid w:val="007E160D"/>
    <w:rsid w:val="007E20C5"/>
    <w:rsid w:val="007E2275"/>
    <w:rsid w:val="007E2821"/>
    <w:rsid w:val="007E3301"/>
    <w:rsid w:val="007E3314"/>
    <w:rsid w:val="007E4196"/>
    <w:rsid w:val="007E4204"/>
    <w:rsid w:val="007E4B03"/>
    <w:rsid w:val="007E55DE"/>
    <w:rsid w:val="007E6147"/>
    <w:rsid w:val="007E6512"/>
    <w:rsid w:val="007E6B4A"/>
    <w:rsid w:val="007E7848"/>
    <w:rsid w:val="007F0FAF"/>
    <w:rsid w:val="007F164C"/>
    <w:rsid w:val="007F1F58"/>
    <w:rsid w:val="007F2321"/>
    <w:rsid w:val="007F324B"/>
    <w:rsid w:val="007F3482"/>
    <w:rsid w:val="007F3871"/>
    <w:rsid w:val="007F4BF3"/>
    <w:rsid w:val="007F5697"/>
    <w:rsid w:val="00800C23"/>
    <w:rsid w:val="00801CF4"/>
    <w:rsid w:val="00802737"/>
    <w:rsid w:val="00803E09"/>
    <w:rsid w:val="008040A3"/>
    <w:rsid w:val="0080476C"/>
    <w:rsid w:val="00804892"/>
    <w:rsid w:val="0080553C"/>
    <w:rsid w:val="00805B46"/>
    <w:rsid w:val="00806439"/>
    <w:rsid w:val="008106B9"/>
    <w:rsid w:val="0081118B"/>
    <w:rsid w:val="008114CF"/>
    <w:rsid w:val="00811595"/>
    <w:rsid w:val="008119BD"/>
    <w:rsid w:val="0081603F"/>
    <w:rsid w:val="0082170B"/>
    <w:rsid w:val="00821A4C"/>
    <w:rsid w:val="00822513"/>
    <w:rsid w:val="00822DA6"/>
    <w:rsid w:val="00823DDF"/>
    <w:rsid w:val="008252FD"/>
    <w:rsid w:val="0082557D"/>
    <w:rsid w:val="00825977"/>
    <w:rsid w:val="00825DC2"/>
    <w:rsid w:val="0082705D"/>
    <w:rsid w:val="008278E4"/>
    <w:rsid w:val="00827A31"/>
    <w:rsid w:val="00830BF5"/>
    <w:rsid w:val="00831364"/>
    <w:rsid w:val="00832552"/>
    <w:rsid w:val="008325FD"/>
    <w:rsid w:val="00833C16"/>
    <w:rsid w:val="008340F1"/>
    <w:rsid w:val="00834AD3"/>
    <w:rsid w:val="00834C1D"/>
    <w:rsid w:val="00834FFD"/>
    <w:rsid w:val="0083594E"/>
    <w:rsid w:val="00835F27"/>
    <w:rsid w:val="00840437"/>
    <w:rsid w:val="00843795"/>
    <w:rsid w:val="008443B3"/>
    <w:rsid w:val="008468C4"/>
    <w:rsid w:val="00846BFF"/>
    <w:rsid w:val="00847F0F"/>
    <w:rsid w:val="0085032D"/>
    <w:rsid w:val="00850344"/>
    <w:rsid w:val="0085047B"/>
    <w:rsid w:val="00850692"/>
    <w:rsid w:val="008512FD"/>
    <w:rsid w:val="00852448"/>
    <w:rsid w:val="0085293A"/>
    <w:rsid w:val="00852FE6"/>
    <w:rsid w:val="00854334"/>
    <w:rsid w:val="00856D71"/>
    <w:rsid w:val="008602E5"/>
    <w:rsid w:val="00860354"/>
    <w:rsid w:val="00860EEA"/>
    <w:rsid w:val="008627F7"/>
    <w:rsid w:val="00863D2E"/>
    <w:rsid w:val="0086492B"/>
    <w:rsid w:val="0086509D"/>
    <w:rsid w:val="008659BE"/>
    <w:rsid w:val="008665DB"/>
    <w:rsid w:val="008667ED"/>
    <w:rsid w:val="008672E8"/>
    <w:rsid w:val="00867D21"/>
    <w:rsid w:val="0087080B"/>
    <w:rsid w:val="0087165C"/>
    <w:rsid w:val="00871AEC"/>
    <w:rsid w:val="008720E4"/>
    <w:rsid w:val="00872B57"/>
    <w:rsid w:val="008736F6"/>
    <w:rsid w:val="00875D1F"/>
    <w:rsid w:val="00876B3A"/>
    <w:rsid w:val="00877A02"/>
    <w:rsid w:val="00880870"/>
    <w:rsid w:val="00880CBC"/>
    <w:rsid w:val="00880DD6"/>
    <w:rsid w:val="00880F1C"/>
    <w:rsid w:val="0088188F"/>
    <w:rsid w:val="00881C05"/>
    <w:rsid w:val="0088258A"/>
    <w:rsid w:val="00883AA9"/>
    <w:rsid w:val="00884717"/>
    <w:rsid w:val="00884F51"/>
    <w:rsid w:val="00884FF1"/>
    <w:rsid w:val="00885760"/>
    <w:rsid w:val="00885A66"/>
    <w:rsid w:val="00886332"/>
    <w:rsid w:val="0088650F"/>
    <w:rsid w:val="00886696"/>
    <w:rsid w:val="0088706B"/>
    <w:rsid w:val="00887885"/>
    <w:rsid w:val="008913C4"/>
    <w:rsid w:val="00891A64"/>
    <w:rsid w:val="0089266D"/>
    <w:rsid w:val="00892C69"/>
    <w:rsid w:val="008952D3"/>
    <w:rsid w:val="008A0B80"/>
    <w:rsid w:val="008A0DA3"/>
    <w:rsid w:val="008A2570"/>
    <w:rsid w:val="008A26D9"/>
    <w:rsid w:val="008A2ABD"/>
    <w:rsid w:val="008A3183"/>
    <w:rsid w:val="008A4518"/>
    <w:rsid w:val="008A58BA"/>
    <w:rsid w:val="008A5991"/>
    <w:rsid w:val="008A61DC"/>
    <w:rsid w:val="008A6991"/>
    <w:rsid w:val="008A6D84"/>
    <w:rsid w:val="008A781A"/>
    <w:rsid w:val="008B0BE6"/>
    <w:rsid w:val="008B1DDC"/>
    <w:rsid w:val="008B1E2E"/>
    <w:rsid w:val="008B1E67"/>
    <w:rsid w:val="008B1EC9"/>
    <w:rsid w:val="008B28BA"/>
    <w:rsid w:val="008B330C"/>
    <w:rsid w:val="008B4591"/>
    <w:rsid w:val="008B5923"/>
    <w:rsid w:val="008B6A1F"/>
    <w:rsid w:val="008B6C73"/>
    <w:rsid w:val="008B6FE1"/>
    <w:rsid w:val="008B79BE"/>
    <w:rsid w:val="008C0242"/>
    <w:rsid w:val="008C1100"/>
    <w:rsid w:val="008C1ACC"/>
    <w:rsid w:val="008C27D0"/>
    <w:rsid w:val="008C37FF"/>
    <w:rsid w:val="008C41D7"/>
    <w:rsid w:val="008C4E4E"/>
    <w:rsid w:val="008C530A"/>
    <w:rsid w:val="008C5679"/>
    <w:rsid w:val="008C692F"/>
    <w:rsid w:val="008C7013"/>
    <w:rsid w:val="008D1C94"/>
    <w:rsid w:val="008D361F"/>
    <w:rsid w:val="008D3901"/>
    <w:rsid w:val="008D671C"/>
    <w:rsid w:val="008E01F5"/>
    <w:rsid w:val="008E0426"/>
    <w:rsid w:val="008E18E9"/>
    <w:rsid w:val="008E2157"/>
    <w:rsid w:val="008E22FA"/>
    <w:rsid w:val="008E3158"/>
    <w:rsid w:val="008E3BC3"/>
    <w:rsid w:val="008E3FD2"/>
    <w:rsid w:val="008E6509"/>
    <w:rsid w:val="008E6907"/>
    <w:rsid w:val="008E6D40"/>
    <w:rsid w:val="008E70C8"/>
    <w:rsid w:val="008E750B"/>
    <w:rsid w:val="008E754F"/>
    <w:rsid w:val="008E7B86"/>
    <w:rsid w:val="008E7DB2"/>
    <w:rsid w:val="008E7EDE"/>
    <w:rsid w:val="008F0070"/>
    <w:rsid w:val="008F1AC9"/>
    <w:rsid w:val="008F3638"/>
    <w:rsid w:val="008F3654"/>
    <w:rsid w:val="008F41AD"/>
    <w:rsid w:val="008F423C"/>
    <w:rsid w:val="008F430A"/>
    <w:rsid w:val="008F592B"/>
    <w:rsid w:val="008F6632"/>
    <w:rsid w:val="008F6805"/>
    <w:rsid w:val="008F6971"/>
    <w:rsid w:val="008F6CB7"/>
    <w:rsid w:val="008F6F31"/>
    <w:rsid w:val="008F6FE3"/>
    <w:rsid w:val="008F74DF"/>
    <w:rsid w:val="0090026F"/>
    <w:rsid w:val="00900CCE"/>
    <w:rsid w:val="00901BC7"/>
    <w:rsid w:val="009021D3"/>
    <w:rsid w:val="00902896"/>
    <w:rsid w:val="0090306F"/>
    <w:rsid w:val="00903EC3"/>
    <w:rsid w:val="009046CB"/>
    <w:rsid w:val="009055F6"/>
    <w:rsid w:val="00905DC8"/>
    <w:rsid w:val="00906936"/>
    <w:rsid w:val="00906D07"/>
    <w:rsid w:val="0090773D"/>
    <w:rsid w:val="009104D1"/>
    <w:rsid w:val="00910C2A"/>
    <w:rsid w:val="00910C4C"/>
    <w:rsid w:val="0091110E"/>
    <w:rsid w:val="00911235"/>
    <w:rsid w:val="009127BA"/>
    <w:rsid w:val="009128BB"/>
    <w:rsid w:val="00912F59"/>
    <w:rsid w:val="00913383"/>
    <w:rsid w:val="00914BA8"/>
    <w:rsid w:val="0091509B"/>
    <w:rsid w:val="00915408"/>
    <w:rsid w:val="0091546E"/>
    <w:rsid w:val="009179B6"/>
    <w:rsid w:val="00917CA5"/>
    <w:rsid w:val="0092031B"/>
    <w:rsid w:val="009203E7"/>
    <w:rsid w:val="009209AA"/>
    <w:rsid w:val="00920B7D"/>
    <w:rsid w:val="009210C8"/>
    <w:rsid w:val="009227A6"/>
    <w:rsid w:val="00922C8A"/>
    <w:rsid w:val="0092366F"/>
    <w:rsid w:val="0092391F"/>
    <w:rsid w:val="00925F89"/>
    <w:rsid w:val="009268CB"/>
    <w:rsid w:val="009269E1"/>
    <w:rsid w:val="00926C98"/>
    <w:rsid w:val="0092753D"/>
    <w:rsid w:val="00930F17"/>
    <w:rsid w:val="0093218B"/>
    <w:rsid w:val="00932372"/>
    <w:rsid w:val="00932EB5"/>
    <w:rsid w:val="00933EC1"/>
    <w:rsid w:val="00936692"/>
    <w:rsid w:val="00936AB4"/>
    <w:rsid w:val="00936B02"/>
    <w:rsid w:val="0093708A"/>
    <w:rsid w:val="00937A43"/>
    <w:rsid w:val="0094021A"/>
    <w:rsid w:val="009404D5"/>
    <w:rsid w:val="009411B3"/>
    <w:rsid w:val="00941BB9"/>
    <w:rsid w:val="00941C5E"/>
    <w:rsid w:val="00941CF0"/>
    <w:rsid w:val="00941EF9"/>
    <w:rsid w:val="00942B4A"/>
    <w:rsid w:val="00943F43"/>
    <w:rsid w:val="00945F8B"/>
    <w:rsid w:val="009466D3"/>
    <w:rsid w:val="00946EF7"/>
    <w:rsid w:val="009522F3"/>
    <w:rsid w:val="00952ABE"/>
    <w:rsid w:val="009530DB"/>
    <w:rsid w:val="00953676"/>
    <w:rsid w:val="00957840"/>
    <w:rsid w:val="00957E41"/>
    <w:rsid w:val="009602FC"/>
    <w:rsid w:val="009603AD"/>
    <w:rsid w:val="0096077F"/>
    <w:rsid w:val="0096080A"/>
    <w:rsid w:val="00961A8B"/>
    <w:rsid w:val="00962443"/>
    <w:rsid w:val="009645E7"/>
    <w:rsid w:val="009647C9"/>
    <w:rsid w:val="0096491C"/>
    <w:rsid w:val="00964B83"/>
    <w:rsid w:val="00966C5D"/>
    <w:rsid w:val="00967F99"/>
    <w:rsid w:val="009705EE"/>
    <w:rsid w:val="0097373A"/>
    <w:rsid w:val="009762F8"/>
    <w:rsid w:val="00976BDA"/>
    <w:rsid w:val="00977927"/>
    <w:rsid w:val="0098009F"/>
    <w:rsid w:val="00980223"/>
    <w:rsid w:val="0098135C"/>
    <w:rsid w:val="0098156A"/>
    <w:rsid w:val="00983FE4"/>
    <w:rsid w:val="0098422A"/>
    <w:rsid w:val="00984347"/>
    <w:rsid w:val="00984351"/>
    <w:rsid w:val="0098537F"/>
    <w:rsid w:val="00985B99"/>
    <w:rsid w:val="00985CAD"/>
    <w:rsid w:val="00986135"/>
    <w:rsid w:val="009872A5"/>
    <w:rsid w:val="00990182"/>
    <w:rsid w:val="009921EB"/>
    <w:rsid w:val="0099584D"/>
    <w:rsid w:val="00996693"/>
    <w:rsid w:val="00997E65"/>
    <w:rsid w:val="009A02B2"/>
    <w:rsid w:val="009A16AA"/>
    <w:rsid w:val="009A203A"/>
    <w:rsid w:val="009A24B0"/>
    <w:rsid w:val="009A2819"/>
    <w:rsid w:val="009A34B2"/>
    <w:rsid w:val="009A40B0"/>
    <w:rsid w:val="009A4C7B"/>
    <w:rsid w:val="009A4E18"/>
    <w:rsid w:val="009A6736"/>
    <w:rsid w:val="009A792E"/>
    <w:rsid w:val="009B068E"/>
    <w:rsid w:val="009B4CC8"/>
    <w:rsid w:val="009B5808"/>
    <w:rsid w:val="009B743A"/>
    <w:rsid w:val="009B75C1"/>
    <w:rsid w:val="009C0165"/>
    <w:rsid w:val="009C0FB5"/>
    <w:rsid w:val="009C1335"/>
    <w:rsid w:val="009C1AB2"/>
    <w:rsid w:val="009C22CC"/>
    <w:rsid w:val="009C3183"/>
    <w:rsid w:val="009C3B6E"/>
    <w:rsid w:val="009C3BE7"/>
    <w:rsid w:val="009C41DE"/>
    <w:rsid w:val="009C55CE"/>
    <w:rsid w:val="009C58E0"/>
    <w:rsid w:val="009C59D5"/>
    <w:rsid w:val="009C5DCB"/>
    <w:rsid w:val="009C7251"/>
    <w:rsid w:val="009C7F79"/>
    <w:rsid w:val="009D03BD"/>
    <w:rsid w:val="009D0E86"/>
    <w:rsid w:val="009D2AD9"/>
    <w:rsid w:val="009D3868"/>
    <w:rsid w:val="009D3EFE"/>
    <w:rsid w:val="009D48BF"/>
    <w:rsid w:val="009D4EB8"/>
    <w:rsid w:val="009D4ED8"/>
    <w:rsid w:val="009D5A59"/>
    <w:rsid w:val="009D7E71"/>
    <w:rsid w:val="009E085B"/>
    <w:rsid w:val="009E1846"/>
    <w:rsid w:val="009E19E6"/>
    <w:rsid w:val="009E1D0F"/>
    <w:rsid w:val="009E2E91"/>
    <w:rsid w:val="009E5AE7"/>
    <w:rsid w:val="009E60C2"/>
    <w:rsid w:val="009E61CF"/>
    <w:rsid w:val="009E67BF"/>
    <w:rsid w:val="009E6CC1"/>
    <w:rsid w:val="009E708E"/>
    <w:rsid w:val="009E791B"/>
    <w:rsid w:val="009F0255"/>
    <w:rsid w:val="009F32DF"/>
    <w:rsid w:val="009F46AA"/>
    <w:rsid w:val="009F4F4B"/>
    <w:rsid w:val="009F62B9"/>
    <w:rsid w:val="009F7688"/>
    <w:rsid w:val="009F7BAC"/>
    <w:rsid w:val="00A00B1C"/>
    <w:rsid w:val="00A00B80"/>
    <w:rsid w:val="00A00D1C"/>
    <w:rsid w:val="00A0171D"/>
    <w:rsid w:val="00A02F3A"/>
    <w:rsid w:val="00A0402E"/>
    <w:rsid w:val="00A051E2"/>
    <w:rsid w:val="00A051F6"/>
    <w:rsid w:val="00A068AA"/>
    <w:rsid w:val="00A06BD8"/>
    <w:rsid w:val="00A07F1D"/>
    <w:rsid w:val="00A07FB6"/>
    <w:rsid w:val="00A11789"/>
    <w:rsid w:val="00A11D43"/>
    <w:rsid w:val="00A12E83"/>
    <w:rsid w:val="00A13211"/>
    <w:rsid w:val="00A13956"/>
    <w:rsid w:val="00A139F5"/>
    <w:rsid w:val="00A13D15"/>
    <w:rsid w:val="00A1570A"/>
    <w:rsid w:val="00A15E77"/>
    <w:rsid w:val="00A206F5"/>
    <w:rsid w:val="00A22043"/>
    <w:rsid w:val="00A223E6"/>
    <w:rsid w:val="00A2281C"/>
    <w:rsid w:val="00A22FE4"/>
    <w:rsid w:val="00A231F3"/>
    <w:rsid w:val="00A235A0"/>
    <w:rsid w:val="00A24EE1"/>
    <w:rsid w:val="00A25A93"/>
    <w:rsid w:val="00A25E14"/>
    <w:rsid w:val="00A266B5"/>
    <w:rsid w:val="00A268F8"/>
    <w:rsid w:val="00A31325"/>
    <w:rsid w:val="00A321E4"/>
    <w:rsid w:val="00A32A72"/>
    <w:rsid w:val="00A32A86"/>
    <w:rsid w:val="00A336F9"/>
    <w:rsid w:val="00A33C43"/>
    <w:rsid w:val="00A33F4A"/>
    <w:rsid w:val="00A341BE"/>
    <w:rsid w:val="00A35935"/>
    <w:rsid w:val="00A365F4"/>
    <w:rsid w:val="00A36A5C"/>
    <w:rsid w:val="00A36AF6"/>
    <w:rsid w:val="00A36BA6"/>
    <w:rsid w:val="00A36C7F"/>
    <w:rsid w:val="00A36EB7"/>
    <w:rsid w:val="00A36F79"/>
    <w:rsid w:val="00A3727D"/>
    <w:rsid w:val="00A4019F"/>
    <w:rsid w:val="00A422C5"/>
    <w:rsid w:val="00A44AB4"/>
    <w:rsid w:val="00A44F76"/>
    <w:rsid w:val="00A47D80"/>
    <w:rsid w:val="00A47FB5"/>
    <w:rsid w:val="00A50D17"/>
    <w:rsid w:val="00A510D2"/>
    <w:rsid w:val="00A521CD"/>
    <w:rsid w:val="00A5294B"/>
    <w:rsid w:val="00A53132"/>
    <w:rsid w:val="00A543FD"/>
    <w:rsid w:val="00A54FE2"/>
    <w:rsid w:val="00A55245"/>
    <w:rsid w:val="00A55D19"/>
    <w:rsid w:val="00A563F2"/>
    <w:rsid w:val="00A566E8"/>
    <w:rsid w:val="00A56BA3"/>
    <w:rsid w:val="00A56FCB"/>
    <w:rsid w:val="00A5782D"/>
    <w:rsid w:val="00A57A69"/>
    <w:rsid w:val="00A61A12"/>
    <w:rsid w:val="00A62657"/>
    <w:rsid w:val="00A63E3D"/>
    <w:rsid w:val="00A643BB"/>
    <w:rsid w:val="00A66A57"/>
    <w:rsid w:val="00A66C2E"/>
    <w:rsid w:val="00A66EAC"/>
    <w:rsid w:val="00A673EB"/>
    <w:rsid w:val="00A67A65"/>
    <w:rsid w:val="00A70B9B"/>
    <w:rsid w:val="00A71448"/>
    <w:rsid w:val="00A71ED5"/>
    <w:rsid w:val="00A72F76"/>
    <w:rsid w:val="00A7332B"/>
    <w:rsid w:val="00A7341B"/>
    <w:rsid w:val="00A7366D"/>
    <w:rsid w:val="00A73880"/>
    <w:rsid w:val="00A73A32"/>
    <w:rsid w:val="00A73ABE"/>
    <w:rsid w:val="00A73AE7"/>
    <w:rsid w:val="00A73B75"/>
    <w:rsid w:val="00A7422C"/>
    <w:rsid w:val="00A74B25"/>
    <w:rsid w:val="00A750E3"/>
    <w:rsid w:val="00A758C8"/>
    <w:rsid w:val="00A75F9D"/>
    <w:rsid w:val="00A76285"/>
    <w:rsid w:val="00A80CFB"/>
    <w:rsid w:val="00A810BB"/>
    <w:rsid w:val="00A811F0"/>
    <w:rsid w:val="00A852B4"/>
    <w:rsid w:val="00A86A42"/>
    <w:rsid w:val="00A86CFA"/>
    <w:rsid w:val="00A86ECC"/>
    <w:rsid w:val="00A86FCC"/>
    <w:rsid w:val="00A8706C"/>
    <w:rsid w:val="00A87B2A"/>
    <w:rsid w:val="00A92431"/>
    <w:rsid w:val="00A93290"/>
    <w:rsid w:val="00A94A12"/>
    <w:rsid w:val="00A96559"/>
    <w:rsid w:val="00A96926"/>
    <w:rsid w:val="00A97C7D"/>
    <w:rsid w:val="00A97CB1"/>
    <w:rsid w:val="00AA0221"/>
    <w:rsid w:val="00AA04B6"/>
    <w:rsid w:val="00AA0C5A"/>
    <w:rsid w:val="00AA34FD"/>
    <w:rsid w:val="00AA6722"/>
    <w:rsid w:val="00AA705A"/>
    <w:rsid w:val="00AA710D"/>
    <w:rsid w:val="00AA7560"/>
    <w:rsid w:val="00AB01F1"/>
    <w:rsid w:val="00AB3317"/>
    <w:rsid w:val="00AB37B4"/>
    <w:rsid w:val="00AB37B7"/>
    <w:rsid w:val="00AB4A33"/>
    <w:rsid w:val="00AB5850"/>
    <w:rsid w:val="00AB62A0"/>
    <w:rsid w:val="00AB6B89"/>
    <w:rsid w:val="00AB6D25"/>
    <w:rsid w:val="00AB6D9B"/>
    <w:rsid w:val="00AB72CA"/>
    <w:rsid w:val="00AB7B3A"/>
    <w:rsid w:val="00AB7BE5"/>
    <w:rsid w:val="00AB7E3B"/>
    <w:rsid w:val="00AC13AF"/>
    <w:rsid w:val="00AC16C5"/>
    <w:rsid w:val="00AC2BAC"/>
    <w:rsid w:val="00AC3527"/>
    <w:rsid w:val="00AC4085"/>
    <w:rsid w:val="00AC4CDB"/>
    <w:rsid w:val="00AC5106"/>
    <w:rsid w:val="00AC7586"/>
    <w:rsid w:val="00AC7777"/>
    <w:rsid w:val="00AD085B"/>
    <w:rsid w:val="00AD2A26"/>
    <w:rsid w:val="00AD300C"/>
    <w:rsid w:val="00AD44DF"/>
    <w:rsid w:val="00AD6428"/>
    <w:rsid w:val="00AD699B"/>
    <w:rsid w:val="00AD7219"/>
    <w:rsid w:val="00AE0502"/>
    <w:rsid w:val="00AE1068"/>
    <w:rsid w:val="00AE110F"/>
    <w:rsid w:val="00AE14B1"/>
    <w:rsid w:val="00AE19FD"/>
    <w:rsid w:val="00AE269F"/>
    <w:rsid w:val="00AE2D4B"/>
    <w:rsid w:val="00AE464A"/>
    <w:rsid w:val="00AE4822"/>
    <w:rsid w:val="00AE4F99"/>
    <w:rsid w:val="00AE62E6"/>
    <w:rsid w:val="00AE6D71"/>
    <w:rsid w:val="00AF2781"/>
    <w:rsid w:val="00AF48F2"/>
    <w:rsid w:val="00AF4F89"/>
    <w:rsid w:val="00AF5350"/>
    <w:rsid w:val="00AF5E70"/>
    <w:rsid w:val="00AF6313"/>
    <w:rsid w:val="00B00F58"/>
    <w:rsid w:val="00B01C23"/>
    <w:rsid w:val="00B030A8"/>
    <w:rsid w:val="00B05A32"/>
    <w:rsid w:val="00B05B24"/>
    <w:rsid w:val="00B06AC7"/>
    <w:rsid w:val="00B074A1"/>
    <w:rsid w:val="00B0783E"/>
    <w:rsid w:val="00B10D73"/>
    <w:rsid w:val="00B1200C"/>
    <w:rsid w:val="00B126B5"/>
    <w:rsid w:val="00B145E2"/>
    <w:rsid w:val="00B14952"/>
    <w:rsid w:val="00B1514F"/>
    <w:rsid w:val="00B16C73"/>
    <w:rsid w:val="00B16F73"/>
    <w:rsid w:val="00B172DF"/>
    <w:rsid w:val="00B200FA"/>
    <w:rsid w:val="00B210BF"/>
    <w:rsid w:val="00B211FA"/>
    <w:rsid w:val="00B2134C"/>
    <w:rsid w:val="00B21431"/>
    <w:rsid w:val="00B21986"/>
    <w:rsid w:val="00B23412"/>
    <w:rsid w:val="00B23D69"/>
    <w:rsid w:val="00B24A8B"/>
    <w:rsid w:val="00B24E11"/>
    <w:rsid w:val="00B24E62"/>
    <w:rsid w:val="00B25B97"/>
    <w:rsid w:val="00B2691D"/>
    <w:rsid w:val="00B27092"/>
    <w:rsid w:val="00B27B75"/>
    <w:rsid w:val="00B31E5A"/>
    <w:rsid w:val="00B350A0"/>
    <w:rsid w:val="00B35AB8"/>
    <w:rsid w:val="00B35DDE"/>
    <w:rsid w:val="00B35F4F"/>
    <w:rsid w:val="00B362F8"/>
    <w:rsid w:val="00B366F3"/>
    <w:rsid w:val="00B36FEF"/>
    <w:rsid w:val="00B37483"/>
    <w:rsid w:val="00B37F45"/>
    <w:rsid w:val="00B407A6"/>
    <w:rsid w:val="00B41A2C"/>
    <w:rsid w:val="00B447C4"/>
    <w:rsid w:val="00B44F0A"/>
    <w:rsid w:val="00B45428"/>
    <w:rsid w:val="00B47305"/>
    <w:rsid w:val="00B47433"/>
    <w:rsid w:val="00B4786B"/>
    <w:rsid w:val="00B50344"/>
    <w:rsid w:val="00B511F2"/>
    <w:rsid w:val="00B51E9F"/>
    <w:rsid w:val="00B52CD2"/>
    <w:rsid w:val="00B53BF2"/>
    <w:rsid w:val="00B55F11"/>
    <w:rsid w:val="00B560E4"/>
    <w:rsid w:val="00B562B0"/>
    <w:rsid w:val="00B56BFB"/>
    <w:rsid w:val="00B56C44"/>
    <w:rsid w:val="00B56D99"/>
    <w:rsid w:val="00B57E6A"/>
    <w:rsid w:val="00B6005B"/>
    <w:rsid w:val="00B607E7"/>
    <w:rsid w:val="00B60A9B"/>
    <w:rsid w:val="00B60C8B"/>
    <w:rsid w:val="00B60CAA"/>
    <w:rsid w:val="00B60CAC"/>
    <w:rsid w:val="00B60EB4"/>
    <w:rsid w:val="00B62C22"/>
    <w:rsid w:val="00B63913"/>
    <w:rsid w:val="00B653AB"/>
    <w:rsid w:val="00B653BB"/>
    <w:rsid w:val="00B653FD"/>
    <w:rsid w:val="00B65F9E"/>
    <w:rsid w:val="00B66839"/>
    <w:rsid w:val="00B66B19"/>
    <w:rsid w:val="00B70B43"/>
    <w:rsid w:val="00B71535"/>
    <w:rsid w:val="00B7359B"/>
    <w:rsid w:val="00B7448A"/>
    <w:rsid w:val="00B74F89"/>
    <w:rsid w:val="00B76EA1"/>
    <w:rsid w:val="00B805EF"/>
    <w:rsid w:val="00B80DCF"/>
    <w:rsid w:val="00B81944"/>
    <w:rsid w:val="00B81F95"/>
    <w:rsid w:val="00B847C2"/>
    <w:rsid w:val="00B85801"/>
    <w:rsid w:val="00B86633"/>
    <w:rsid w:val="00B8712B"/>
    <w:rsid w:val="00B87436"/>
    <w:rsid w:val="00B90948"/>
    <w:rsid w:val="00B914E9"/>
    <w:rsid w:val="00B92CDE"/>
    <w:rsid w:val="00B94373"/>
    <w:rsid w:val="00B9564E"/>
    <w:rsid w:val="00B956EE"/>
    <w:rsid w:val="00B95BFE"/>
    <w:rsid w:val="00B97210"/>
    <w:rsid w:val="00B97DCA"/>
    <w:rsid w:val="00B97E8A"/>
    <w:rsid w:val="00BA0245"/>
    <w:rsid w:val="00BA0895"/>
    <w:rsid w:val="00BA09FF"/>
    <w:rsid w:val="00BA1213"/>
    <w:rsid w:val="00BA1328"/>
    <w:rsid w:val="00BA272B"/>
    <w:rsid w:val="00BA2BA1"/>
    <w:rsid w:val="00BA3B38"/>
    <w:rsid w:val="00BA3E13"/>
    <w:rsid w:val="00BA437D"/>
    <w:rsid w:val="00BA4A82"/>
    <w:rsid w:val="00BA6475"/>
    <w:rsid w:val="00BA6E49"/>
    <w:rsid w:val="00BA6E7F"/>
    <w:rsid w:val="00BA7208"/>
    <w:rsid w:val="00BA73E2"/>
    <w:rsid w:val="00BB0131"/>
    <w:rsid w:val="00BB127F"/>
    <w:rsid w:val="00BB20E3"/>
    <w:rsid w:val="00BB2EB4"/>
    <w:rsid w:val="00BB2F29"/>
    <w:rsid w:val="00BB37E6"/>
    <w:rsid w:val="00BB3FFB"/>
    <w:rsid w:val="00BB4795"/>
    <w:rsid w:val="00BB67A7"/>
    <w:rsid w:val="00BB6EB5"/>
    <w:rsid w:val="00BB7375"/>
    <w:rsid w:val="00BB7783"/>
    <w:rsid w:val="00BB77CB"/>
    <w:rsid w:val="00BB7C37"/>
    <w:rsid w:val="00BC30E5"/>
    <w:rsid w:val="00BC3226"/>
    <w:rsid w:val="00BC32E1"/>
    <w:rsid w:val="00BC3899"/>
    <w:rsid w:val="00BC399A"/>
    <w:rsid w:val="00BC4B59"/>
    <w:rsid w:val="00BC4CA6"/>
    <w:rsid w:val="00BC4DE3"/>
    <w:rsid w:val="00BC512B"/>
    <w:rsid w:val="00BC62B2"/>
    <w:rsid w:val="00BC6B1C"/>
    <w:rsid w:val="00BC6C00"/>
    <w:rsid w:val="00BC6D91"/>
    <w:rsid w:val="00BC717A"/>
    <w:rsid w:val="00BC77E9"/>
    <w:rsid w:val="00BD0AF7"/>
    <w:rsid w:val="00BD11FA"/>
    <w:rsid w:val="00BD26FA"/>
    <w:rsid w:val="00BD3265"/>
    <w:rsid w:val="00BD3AD3"/>
    <w:rsid w:val="00BD4458"/>
    <w:rsid w:val="00BD4BD5"/>
    <w:rsid w:val="00BD4E33"/>
    <w:rsid w:val="00BD6CBF"/>
    <w:rsid w:val="00BD6FA3"/>
    <w:rsid w:val="00BE0358"/>
    <w:rsid w:val="00BE25CD"/>
    <w:rsid w:val="00BE29A1"/>
    <w:rsid w:val="00BE6128"/>
    <w:rsid w:val="00BE6E57"/>
    <w:rsid w:val="00BE7644"/>
    <w:rsid w:val="00BF1A32"/>
    <w:rsid w:val="00BF21DD"/>
    <w:rsid w:val="00BF2AF3"/>
    <w:rsid w:val="00BF2BE0"/>
    <w:rsid w:val="00BF2D3C"/>
    <w:rsid w:val="00BF2F2C"/>
    <w:rsid w:val="00BF3F8A"/>
    <w:rsid w:val="00BF5D18"/>
    <w:rsid w:val="00BF7CA3"/>
    <w:rsid w:val="00C00040"/>
    <w:rsid w:val="00C0207B"/>
    <w:rsid w:val="00C030DE"/>
    <w:rsid w:val="00C040ED"/>
    <w:rsid w:val="00C04116"/>
    <w:rsid w:val="00C045D8"/>
    <w:rsid w:val="00C045E4"/>
    <w:rsid w:val="00C04CDF"/>
    <w:rsid w:val="00C064E4"/>
    <w:rsid w:val="00C06507"/>
    <w:rsid w:val="00C116FD"/>
    <w:rsid w:val="00C12DDE"/>
    <w:rsid w:val="00C13BC5"/>
    <w:rsid w:val="00C14AAE"/>
    <w:rsid w:val="00C15E8A"/>
    <w:rsid w:val="00C163BD"/>
    <w:rsid w:val="00C16FE4"/>
    <w:rsid w:val="00C17BB9"/>
    <w:rsid w:val="00C20E2E"/>
    <w:rsid w:val="00C22105"/>
    <w:rsid w:val="00C22830"/>
    <w:rsid w:val="00C22ACA"/>
    <w:rsid w:val="00C2352A"/>
    <w:rsid w:val="00C23AAF"/>
    <w:rsid w:val="00C244B6"/>
    <w:rsid w:val="00C2702E"/>
    <w:rsid w:val="00C2740D"/>
    <w:rsid w:val="00C27648"/>
    <w:rsid w:val="00C27BE6"/>
    <w:rsid w:val="00C3244F"/>
    <w:rsid w:val="00C32A13"/>
    <w:rsid w:val="00C3598D"/>
    <w:rsid w:val="00C35FC8"/>
    <w:rsid w:val="00C36EA1"/>
    <w:rsid w:val="00C372D6"/>
    <w:rsid w:val="00C3739E"/>
    <w:rsid w:val="00C37609"/>
    <w:rsid w:val="00C40D4F"/>
    <w:rsid w:val="00C40E24"/>
    <w:rsid w:val="00C411ED"/>
    <w:rsid w:val="00C41277"/>
    <w:rsid w:val="00C412F7"/>
    <w:rsid w:val="00C427AE"/>
    <w:rsid w:val="00C42B6B"/>
    <w:rsid w:val="00C42E05"/>
    <w:rsid w:val="00C4481B"/>
    <w:rsid w:val="00C45334"/>
    <w:rsid w:val="00C45FA6"/>
    <w:rsid w:val="00C465CF"/>
    <w:rsid w:val="00C46C22"/>
    <w:rsid w:val="00C4751D"/>
    <w:rsid w:val="00C4786E"/>
    <w:rsid w:val="00C47FC4"/>
    <w:rsid w:val="00C51A8A"/>
    <w:rsid w:val="00C51F98"/>
    <w:rsid w:val="00C5230F"/>
    <w:rsid w:val="00C537C3"/>
    <w:rsid w:val="00C5394E"/>
    <w:rsid w:val="00C548B8"/>
    <w:rsid w:val="00C549B0"/>
    <w:rsid w:val="00C5561A"/>
    <w:rsid w:val="00C5773C"/>
    <w:rsid w:val="00C579CE"/>
    <w:rsid w:val="00C60C4B"/>
    <w:rsid w:val="00C614D2"/>
    <w:rsid w:val="00C615DF"/>
    <w:rsid w:val="00C6198C"/>
    <w:rsid w:val="00C648ED"/>
    <w:rsid w:val="00C64A37"/>
    <w:rsid w:val="00C64D56"/>
    <w:rsid w:val="00C652B3"/>
    <w:rsid w:val="00C65676"/>
    <w:rsid w:val="00C6574D"/>
    <w:rsid w:val="00C668EA"/>
    <w:rsid w:val="00C67861"/>
    <w:rsid w:val="00C70AFF"/>
    <w:rsid w:val="00C7158E"/>
    <w:rsid w:val="00C715FF"/>
    <w:rsid w:val="00C7250B"/>
    <w:rsid w:val="00C7295D"/>
    <w:rsid w:val="00C7346B"/>
    <w:rsid w:val="00C73BAE"/>
    <w:rsid w:val="00C73C19"/>
    <w:rsid w:val="00C74257"/>
    <w:rsid w:val="00C75437"/>
    <w:rsid w:val="00C75940"/>
    <w:rsid w:val="00C75CAD"/>
    <w:rsid w:val="00C76DB1"/>
    <w:rsid w:val="00C775FA"/>
    <w:rsid w:val="00C77C0E"/>
    <w:rsid w:val="00C8318C"/>
    <w:rsid w:val="00C839F0"/>
    <w:rsid w:val="00C850B6"/>
    <w:rsid w:val="00C90344"/>
    <w:rsid w:val="00C90C85"/>
    <w:rsid w:val="00C91687"/>
    <w:rsid w:val="00C9206D"/>
    <w:rsid w:val="00C924A8"/>
    <w:rsid w:val="00C9305A"/>
    <w:rsid w:val="00C9373E"/>
    <w:rsid w:val="00C93EB3"/>
    <w:rsid w:val="00C945FE"/>
    <w:rsid w:val="00C94819"/>
    <w:rsid w:val="00C96473"/>
    <w:rsid w:val="00C96FAA"/>
    <w:rsid w:val="00C97A04"/>
    <w:rsid w:val="00C97D7D"/>
    <w:rsid w:val="00C97E85"/>
    <w:rsid w:val="00CA0495"/>
    <w:rsid w:val="00CA107B"/>
    <w:rsid w:val="00CA14E6"/>
    <w:rsid w:val="00CA23F5"/>
    <w:rsid w:val="00CA38AE"/>
    <w:rsid w:val="00CA484D"/>
    <w:rsid w:val="00CA4A38"/>
    <w:rsid w:val="00CA6407"/>
    <w:rsid w:val="00CA6856"/>
    <w:rsid w:val="00CA6E34"/>
    <w:rsid w:val="00CA6E97"/>
    <w:rsid w:val="00CB047A"/>
    <w:rsid w:val="00CB0DAC"/>
    <w:rsid w:val="00CB2CE6"/>
    <w:rsid w:val="00CB3A5F"/>
    <w:rsid w:val="00CB4742"/>
    <w:rsid w:val="00CB5572"/>
    <w:rsid w:val="00CB57DE"/>
    <w:rsid w:val="00CB61AE"/>
    <w:rsid w:val="00CB7623"/>
    <w:rsid w:val="00CB77D4"/>
    <w:rsid w:val="00CB7B94"/>
    <w:rsid w:val="00CC20A7"/>
    <w:rsid w:val="00CC25D0"/>
    <w:rsid w:val="00CC2DF1"/>
    <w:rsid w:val="00CC39DC"/>
    <w:rsid w:val="00CC4B15"/>
    <w:rsid w:val="00CC4D5F"/>
    <w:rsid w:val="00CC4F14"/>
    <w:rsid w:val="00CC57DD"/>
    <w:rsid w:val="00CC5A92"/>
    <w:rsid w:val="00CC6E4A"/>
    <w:rsid w:val="00CC739E"/>
    <w:rsid w:val="00CC7E7A"/>
    <w:rsid w:val="00CD0E16"/>
    <w:rsid w:val="00CD1BB3"/>
    <w:rsid w:val="00CD3020"/>
    <w:rsid w:val="00CD3028"/>
    <w:rsid w:val="00CD367F"/>
    <w:rsid w:val="00CD3F77"/>
    <w:rsid w:val="00CD44CC"/>
    <w:rsid w:val="00CD5579"/>
    <w:rsid w:val="00CD58B7"/>
    <w:rsid w:val="00CD6D4C"/>
    <w:rsid w:val="00CD790C"/>
    <w:rsid w:val="00CD7EAB"/>
    <w:rsid w:val="00CE06F1"/>
    <w:rsid w:val="00CE104F"/>
    <w:rsid w:val="00CE11EB"/>
    <w:rsid w:val="00CE2BA3"/>
    <w:rsid w:val="00CE479B"/>
    <w:rsid w:val="00CE4B17"/>
    <w:rsid w:val="00CE5119"/>
    <w:rsid w:val="00CE52D3"/>
    <w:rsid w:val="00CE5AE4"/>
    <w:rsid w:val="00CE69C6"/>
    <w:rsid w:val="00CE6A10"/>
    <w:rsid w:val="00CE6D4A"/>
    <w:rsid w:val="00CE738C"/>
    <w:rsid w:val="00CF0700"/>
    <w:rsid w:val="00CF0EB6"/>
    <w:rsid w:val="00CF1BCC"/>
    <w:rsid w:val="00CF3244"/>
    <w:rsid w:val="00CF354B"/>
    <w:rsid w:val="00CF3739"/>
    <w:rsid w:val="00CF3ABD"/>
    <w:rsid w:val="00CF3FF1"/>
    <w:rsid w:val="00CF4099"/>
    <w:rsid w:val="00CF77E4"/>
    <w:rsid w:val="00CF787A"/>
    <w:rsid w:val="00CF78FE"/>
    <w:rsid w:val="00CF7B34"/>
    <w:rsid w:val="00D0156F"/>
    <w:rsid w:val="00D035ED"/>
    <w:rsid w:val="00D050BB"/>
    <w:rsid w:val="00D05162"/>
    <w:rsid w:val="00D05C62"/>
    <w:rsid w:val="00D06AC9"/>
    <w:rsid w:val="00D07944"/>
    <w:rsid w:val="00D07A39"/>
    <w:rsid w:val="00D10570"/>
    <w:rsid w:val="00D10C61"/>
    <w:rsid w:val="00D110BD"/>
    <w:rsid w:val="00D126C5"/>
    <w:rsid w:val="00D13E33"/>
    <w:rsid w:val="00D144D4"/>
    <w:rsid w:val="00D16814"/>
    <w:rsid w:val="00D16B1B"/>
    <w:rsid w:val="00D17D8C"/>
    <w:rsid w:val="00D208DD"/>
    <w:rsid w:val="00D20D4B"/>
    <w:rsid w:val="00D22A74"/>
    <w:rsid w:val="00D22F17"/>
    <w:rsid w:val="00D22F3C"/>
    <w:rsid w:val="00D23533"/>
    <w:rsid w:val="00D23A75"/>
    <w:rsid w:val="00D248F4"/>
    <w:rsid w:val="00D24DFD"/>
    <w:rsid w:val="00D261A2"/>
    <w:rsid w:val="00D26424"/>
    <w:rsid w:val="00D26EC1"/>
    <w:rsid w:val="00D272B7"/>
    <w:rsid w:val="00D30038"/>
    <w:rsid w:val="00D30667"/>
    <w:rsid w:val="00D30873"/>
    <w:rsid w:val="00D30AB1"/>
    <w:rsid w:val="00D313B7"/>
    <w:rsid w:val="00D31EDD"/>
    <w:rsid w:val="00D32507"/>
    <w:rsid w:val="00D32E28"/>
    <w:rsid w:val="00D33600"/>
    <w:rsid w:val="00D33ADF"/>
    <w:rsid w:val="00D33AF1"/>
    <w:rsid w:val="00D33C0E"/>
    <w:rsid w:val="00D34790"/>
    <w:rsid w:val="00D34814"/>
    <w:rsid w:val="00D34B9C"/>
    <w:rsid w:val="00D350AE"/>
    <w:rsid w:val="00D35CA9"/>
    <w:rsid w:val="00D35FC9"/>
    <w:rsid w:val="00D3676A"/>
    <w:rsid w:val="00D36F49"/>
    <w:rsid w:val="00D377EE"/>
    <w:rsid w:val="00D378DC"/>
    <w:rsid w:val="00D37939"/>
    <w:rsid w:val="00D4076C"/>
    <w:rsid w:val="00D40BFF"/>
    <w:rsid w:val="00D4119F"/>
    <w:rsid w:val="00D41C37"/>
    <w:rsid w:val="00D424E9"/>
    <w:rsid w:val="00D42C69"/>
    <w:rsid w:val="00D42F89"/>
    <w:rsid w:val="00D43133"/>
    <w:rsid w:val="00D4442D"/>
    <w:rsid w:val="00D45562"/>
    <w:rsid w:val="00D45C50"/>
    <w:rsid w:val="00D46354"/>
    <w:rsid w:val="00D46AAD"/>
    <w:rsid w:val="00D46DAF"/>
    <w:rsid w:val="00D475CA"/>
    <w:rsid w:val="00D477D3"/>
    <w:rsid w:val="00D50F65"/>
    <w:rsid w:val="00D511A5"/>
    <w:rsid w:val="00D527B6"/>
    <w:rsid w:val="00D54E78"/>
    <w:rsid w:val="00D55234"/>
    <w:rsid w:val="00D5712F"/>
    <w:rsid w:val="00D608CF"/>
    <w:rsid w:val="00D61206"/>
    <w:rsid w:val="00D616D2"/>
    <w:rsid w:val="00D635A9"/>
    <w:rsid w:val="00D63B5F"/>
    <w:rsid w:val="00D63F51"/>
    <w:rsid w:val="00D648DE"/>
    <w:rsid w:val="00D64C6A"/>
    <w:rsid w:val="00D6714E"/>
    <w:rsid w:val="00D67785"/>
    <w:rsid w:val="00D70186"/>
    <w:rsid w:val="00D7099F"/>
    <w:rsid w:val="00D70EF7"/>
    <w:rsid w:val="00D715DF"/>
    <w:rsid w:val="00D71B34"/>
    <w:rsid w:val="00D72389"/>
    <w:rsid w:val="00D733F4"/>
    <w:rsid w:val="00D735C2"/>
    <w:rsid w:val="00D738D3"/>
    <w:rsid w:val="00D741A0"/>
    <w:rsid w:val="00D742B6"/>
    <w:rsid w:val="00D74A5A"/>
    <w:rsid w:val="00D76E82"/>
    <w:rsid w:val="00D77205"/>
    <w:rsid w:val="00D816EE"/>
    <w:rsid w:val="00D81C58"/>
    <w:rsid w:val="00D8319E"/>
    <w:rsid w:val="00D83308"/>
    <w:rsid w:val="00D83966"/>
    <w:rsid w:val="00D8397C"/>
    <w:rsid w:val="00D854A4"/>
    <w:rsid w:val="00D8754D"/>
    <w:rsid w:val="00D90208"/>
    <w:rsid w:val="00D9133B"/>
    <w:rsid w:val="00D920F9"/>
    <w:rsid w:val="00D92B60"/>
    <w:rsid w:val="00D93376"/>
    <w:rsid w:val="00D94657"/>
    <w:rsid w:val="00D94BB0"/>
    <w:rsid w:val="00D94CE0"/>
    <w:rsid w:val="00D94EED"/>
    <w:rsid w:val="00D96026"/>
    <w:rsid w:val="00D96083"/>
    <w:rsid w:val="00D9640F"/>
    <w:rsid w:val="00D9643D"/>
    <w:rsid w:val="00D96619"/>
    <w:rsid w:val="00D97655"/>
    <w:rsid w:val="00D97F2A"/>
    <w:rsid w:val="00DA0110"/>
    <w:rsid w:val="00DA0179"/>
    <w:rsid w:val="00DA1044"/>
    <w:rsid w:val="00DA11F9"/>
    <w:rsid w:val="00DA1D07"/>
    <w:rsid w:val="00DA42BA"/>
    <w:rsid w:val="00DA5596"/>
    <w:rsid w:val="00DA5E0F"/>
    <w:rsid w:val="00DA70D1"/>
    <w:rsid w:val="00DB0097"/>
    <w:rsid w:val="00DB0B3F"/>
    <w:rsid w:val="00DB0C17"/>
    <w:rsid w:val="00DB147A"/>
    <w:rsid w:val="00DB159E"/>
    <w:rsid w:val="00DB1B7A"/>
    <w:rsid w:val="00DB1BA1"/>
    <w:rsid w:val="00DB29CE"/>
    <w:rsid w:val="00DB2D3A"/>
    <w:rsid w:val="00DB4EFB"/>
    <w:rsid w:val="00DB5158"/>
    <w:rsid w:val="00DB5613"/>
    <w:rsid w:val="00DB72F4"/>
    <w:rsid w:val="00DB778D"/>
    <w:rsid w:val="00DC0739"/>
    <w:rsid w:val="00DC09C3"/>
    <w:rsid w:val="00DC10F1"/>
    <w:rsid w:val="00DC1C11"/>
    <w:rsid w:val="00DC1DEC"/>
    <w:rsid w:val="00DC25CD"/>
    <w:rsid w:val="00DC3808"/>
    <w:rsid w:val="00DC4DDD"/>
    <w:rsid w:val="00DC5668"/>
    <w:rsid w:val="00DC5762"/>
    <w:rsid w:val="00DC58EC"/>
    <w:rsid w:val="00DC6708"/>
    <w:rsid w:val="00DC6F18"/>
    <w:rsid w:val="00DC77F9"/>
    <w:rsid w:val="00DD0693"/>
    <w:rsid w:val="00DD0C95"/>
    <w:rsid w:val="00DD112C"/>
    <w:rsid w:val="00DD1ABC"/>
    <w:rsid w:val="00DD2439"/>
    <w:rsid w:val="00DD25F7"/>
    <w:rsid w:val="00DD42AD"/>
    <w:rsid w:val="00DD45DC"/>
    <w:rsid w:val="00DD4D9D"/>
    <w:rsid w:val="00DD54A4"/>
    <w:rsid w:val="00DD6C42"/>
    <w:rsid w:val="00DD7469"/>
    <w:rsid w:val="00DE0352"/>
    <w:rsid w:val="00DE0D53"/>
    <w:rsid w:val="00DE0DEE"/>
    <w:rsid w:val="00DE2DE3"/>
    <w:rsid w:val="00DE3D79"/>
    <w:rsid w:val="00DE5AB6"/>
    <w:rsid w:val="00DE6052"/>
    <w:rsid w:val="00DE6313"/>
    <w:rsid w:val="00DE6E09"/>
    <w:rsid w:val="00DE7698"/>
    <w:rsid w:val="00DE78B6"/>
    <w:rsid w:val="00DF013A"/>
    <w:rsid w:val="00DF065B"/>
    <w:rsid w:val="00DF16C0"/>
    <w:rsid w:val="00DF1D45"/>
    <w:rsid w:val="00DF39C9"/>
    <w:rsid w:val="00DF3B68"/>
    <w:rsid w:val="00DF3BFD"/>
    <w:rsid w:val="00DF4D04"/>
    <w:rsid w:val="00DF50C1"/>
    <w:rsid w:val="00DF542D"/>
    <w:rsid w:val="00DF543F"/>
    <w:rsid w:val="00E00026"/>
    <w:rsid w:val="00E00298"/>
    <w:rsid w:val="00E00F91"/>
    <w:rsid w:val="00E011CF"/>
    <w:rsid w:val="00E01436"/>
    <w:rsid w:val="00E01BC8"/>
    <w:rsid w:val="00E01EBF"/>
    <w:rsid w:val="00E020FD"/>
    <w:rsid w:val="00E0233B"/>
    <w:rsid w:val="00E03C52"/>
    <w:rsid w:val="00E03FF7"/>
    <w:rsid w:val="00E045BD"/>
    <w:rsid w:val="00E04FF2"/>
    <w:rsid w:val="00E0587B"/>
    <w:rsid w:val="00E06546"/>
    <w:rsid w:val="00E0664E"/>
    <w:rsid w:val="00E06DD1"/>
    <w:rsid w:val="00E10C95"/>
    <w:rsid w:val="00E10FCD"/>
    <w:rsid w:val="00E11664"/>
    <w:rsid w:val="00E130AD"/>
    <w:rsid w:val="00E130B3"/>
    <w:rsid w:val="00E1366D"/>
    <w:rsid w:val="00E144E4"/>
    <w:rsid w:val="00E14756"/>
    <w:rsid w:val="00E14EFF"/>
    <w:rsid w:val="00E16D71"/>
    <w:rsid w:val="00E17B77"/>
    <w:rsid w:val="00E206DA"/>
    <w:rsid w:val="00E21369"/>
    <w:rsid w:val="00E22028"/>
    <w:rsid w:val="00E2213D"/>
    <w:rsid w:val="00E233B5"/>
    <w:rsid w:val="00E249C3"/>
    <w:rsid w:val="00E26825"/>
    <w:rsid w:val="00E26998"/>
    <w:rsid w:val="00E272AA"/>
    <w:rsid w:val="00E30A17"/>
    <w:rsid w:val="00E30AAF"/>
    <w:rsid w:val="00E31714"/>
    <w:rsid w:val="00E318F3"/>
    <w:rsid w:val="00E31A42"/>
    <w:rsid w:val="00E31B99"/>
    <w:rsid w:val="00E32061"/>
    <w:rsid w:val="00E32C96"/>
    <w:rsid w:val="00E33ED9"/>
    <w:rsid w:val="00E3508C"/>
    <w:rsid w:val="00E35D77"/>
    <w:rsid w:val="00E36AD5"/>
    <w:rsid w:val="00E36B28"/>
    <w:rsid w:val="00E36F46"/>
    <w:rsid w:val="00E37368"/>
    <w:rsid w:val="00E377B8"/>
    <w:rsid w:val="00E40336"/>
    <w:rsid w:val="00E407E2"/>
    <w:rsid w:val="00E40BBB"/>
    <w:rsid w:val="00E41760"/>
    <w:rsid w:val="00E42E54"/>
    <w:rsid w:val="00E42FF9"/>
    <w:rsid w:val="00E43A7E"/>
    <w:rsid w:val="00E43B1E"/>
    <w:rsid w:val="00E44307"/>
    <w:rsid w:val="00E45327"/>
    <w:rsid w:val="00E454B8"/>
    <w:rsid w:val="00E458E1"/>
    <w:rsid w:val="00E4714C"/>
    <w:rsid w:val="00E476A0"/>
    <w:rsid w:val="00E51242"/>
    <w:rsid w:val="00E5190C"/>
    <w:rsid w:val="00E51AD7"/>
    <w:rsid w:val="00E51AEB"/>
    <w:rsid w:val="00E51E90"/>
    <w:rsid w:val="00E522A7"/>
    <w:rsid w:val="00E5342D"/>
    <w:rsid w:val="00E54452"/>
    <w:rsid w:val="00E5604E"/>
    <w:rsid w:val="00E568B2"/>
    <w:rsid w:val="00E606A7"/>
    <w:rsid w:val="00E6257D"/>
    <w:rsid w:val="00E62F8C"/>
    <w:rsid w:val="00E637E4"/>
    <w:rsid w:val="00E650CA"/>
    <w:rsid w:val="00E6622F"/>
    <w:rsid w:val="00E664C5"/>
    <w:rsid w:val="00E6655D"/>
    <w:rsid w:val="00E671A2"/>
    <w:rsid w:val="00E67F8A"/>
    <w:rsid w:val="00E7052E"/>
    <w:rsid w:val="00E70683"/>
    <w:rsid w:val="00E7165D"/>
    <w:rsid w:val="00E7180B"/>
    <w:rsid w:val="00E71CE1"/>
    <w:rsid w:val="00E72C42"/>
    <w:rsid w:val="00E7323D"/>
    <w:rsid w:val="00E7345B"/>
    <w:rsid w:val="00E74945"/>
    <w:rsid w:val="00E74B3C"/>
    <w:rsid w:val="00E761B5"/>
    <w:rsid w:val="00E76D26"/>
    <w:rsid w:val="00E76ECE"/>
    <w:rsid w:val="00E77CC5"/>
    <w:rsid w:val="00E80351"/>
    <w:rsid w:val="00E809A7"/>
    <w:rsid w:val="00E815DD"/>
    <w:rsid w:val="00E839A7"/>
    <w:rsid w:val="00E83F75"/>
    <w:rsid w:val="00E84352"/>
    <w:rsid w:val="00E8543C"/>
    <w:rsid w:val="00E861ED"/>
    <w:rsid w:val="00E86C4D"/>
    <w:rsid w:val="00E86E0C"/>
    <w:rsid w:val="00E86E99"/>
    <w:rsid w:val="00E910CE"/>
    <w:rsid w:val="00E9194D"/>
    <w:rsid w:val="00E91ADB"/>
    <w:rsid w:val="00E91EBC"/>
    <w:rsid w:val="00E92036"/>
    <w:rsid w:val="00E94A7F"/>
    <w:rsid w:val="00E95726"/>
    <w:rsid w:val="00E95DE6"/>
    <w:rsid w:val="00E966E0"/>
    <w:rsid w:val="00E97DA6"/>
    <w:rsid w:val="00EA0278"/>
    <w:rsid w:val="00EA1D9A"/>
    <w:rsid w:val="00EA2BF4"/>
    <w:rsid w:val="00EA2E62"/>
    <w:rsid w:val="00EA2FFC"/>
    <w:rsid w:val="00EA3343"/>
    <w:rsid w:val="00EA3376"/>
    <w:rsid w:val="00EA45BA"/>
    <w:rsid w:val="00EA471D"/>
    <w:rsid w:val="00EA505D"/>
    <w:rsid w:val="00EA505F"/>
    <w:rsid w:val="00EA6211"/>
    <w:rsid w:val="00EB1390"/>
    <w:rsid w:val="00EB2818"/>
    <w:rsid w:val="00EB2C71"/>
    <w:rsid w:val="00EB3DD7"/>
    <w:rsid w:val="00EB4340"/>
    <w:rsid w:val="00EB7AB1"/>
    <w:rsid w:val="00EB7FF2"/>
    <w:rsid w:val="00EC1598"/>
    <w:rsid w:val="00EC301F"/>
    <w:rsid w:val="00EC41F8"/>
    <w:rsid w:val="00EC526F"/>
    <w:rsid w:val="00EC5695"/>
    <w:rsid w:val="00EC59AD"/>
    <w:rsid w:val="00EC5FFD"/>
    <w:rsid w:val="00EC6F1B"/>
    <w:rsid w:val="00EC71BC"/>
    <w:rsid w:val="00EC7DBE"/>
    <w:rsid w:val="00ED0A2A"/>
    <w:rsid w:val="00ED19F1"/>
    <w:rsid w:val="00ED1FFF"/>
    <w:rsid w:val="00ED55C0"/>
    <w:rsid w:val="00ED682B"/>
    <w:rsid w:val="00ED6FDF"/>
    <w:rsid w:val="00ED710B"/>
    <w:rsid w:val="00ED7F3A"/>
    <w:rsid w:val="00EE0828"/>
    <w:rsid w:val="00EE08D1"/>
    <w:rsid w:val="00EE096A"/>
    <w:rsid w:val="00EE0F10"/>
    <w:rsid w:val="00EE2477"/>
    <w:rsid w:val="00EE4180"/>
    <w:rsid w:val="00EE41D5"/>
    <w:rsid w:val="00EE432C"/>
    <w:rsid w:val="00EE4391"/>
    <w:rsid w:val="00EE4537"/>
    <w:rsid w:val="00EE4A24"/>
    <w:rsid w:val="00EE505A"/>
    <w:rsid w:val="00EE5ABA"/>
    <w:rsid w:val="00EE6647"/>
    <w:rsid w:val="00EE7679"/>
    <w:rsid w:val="00EE7D11"/>
    <w:rsid w:val="00EF1AD5"/>
    <w:rsid w:val="00EF2A56"/>
    <w:rsid w:val="00EF5861"/>
    <w:rsid w:val="00EF6082"/>
    <w:rsid w:val="00EF6153"/>
    <w:rsid w:val="00F037A4"/>
    <w:rsid w:val="00F0474B"/>
    <w:rsid w:val="00F06B16"/>
    <w:rsid w:val="00F070E2"/>
    <w:rsid w:val="00F07A6E"/>
    <w:rsid w:val="00F07C17"/>
    <w:rsid w:val="00F109B0"/>
    <w:rsid w:val="00F10EB2"/>
    <w:rsid w:val="00F10F98"/>
    <w:rsid w:val="00F11112"/>
    <w:rsid w:val="00F11CDE"/>
    <w:rsid w:val="00F13DFD"/>
    <w:rsid w:val="00F14538"/>
    <w:rsid w:val="00F162AE"/>
    <w:rsid w:val="00F2593A"/>
    <w:rsid w:val="00F25F27"/>
    <w:rsid w:val="00F27C8F"/>
    <w:rsid w:val="00F31150"/>
    <w:rsid w:val="00F31C42"/>
    <w:rsid w:val="00F32749"/>
    <w:rsid w:val="00F33B6D"/>
    <w:rsid w:val="00F34843"/>
    <w:rsid w:val="00F34B38"/>
    <w:rsid w:val="00F352BC"/>
    <w:rsid w:val="00F358F8"/>
    <w:rsid w:val="00F35B45"/>
    <w:rsid w:val="00F364E6"/>
    <w:rsid w:val="00F37172"/>
    <w:rsid w:val="00F37483"/>
    <w:rsid w:val="00F3796B"/>
    <w:rsid w:val="00F37D5F"/>
    <w:rsid w:val="00F4061B"/>
    <w:rsid w:val="00F410E9"/>
    <w:rsid w:val="00F41A30"/>
    <w:rsid w:val="00F439E7"/>
    <w:rsid w:val="00F4477E"/>
    <w:rsid w:val="00F45642"/>
    <w:rsid w:val="00F460CA"/>
    <w:rsid w:val="00F47224"/>
    <w:rsid w:val="00F47508"/>
    <w:rsid w:val="00F5003E"/>
    <w:rsid w:val="00F525A4"/>
    <w:rsid w:val="00F52D34"/>
    <w:rsid w:val="00F533A8"/>
    <w:rsid w:val="00F579C5"/>
    <w:rsid w:val="00F601A3"/>
    <w:rsid w:val="00F60387"/>
    <w:rsid w:val="00F64978"/>
    <w:rsid w:val="00F64A02"/>
    <w:rsid w:val="00F64AB0"/>
    <w:rsid w:val="00F67B9B"/>
    <w:rsid w:val="00F67D8F"/>
    <w:rsid w:val="00F70A4C"/>
    <w:rsid w:val="00F71749"/>
    <w:rsid w:val="00F731DE"/>
    <w:rsid w:val="00F734CF"/>
    <w:rsid w:val="00F74CAC"/>
    <w:rsid w:val="00F7650F"/>
    <w:rsid w:val="00F76BAA"/>
    <w:rsid w:val="00F76BFB"/>
    <w:rsid w:val="00F777FE"/>
    <w:rsid w:val="00F7783D"/>
    <w:rsid w:val="00F83140"/>
    <w:rsid w:val="00F8334D"/>
    <w:rsid w:val="00F83A28"/>
    <w:rsid w:val="00F83A51"/>
    <w:rsid w:val="00F84F00"/>
    <w:rsid w:val="00F8532E"/>
    <w:rsid w:val="00F8588F"/>
    <w:rsid w:val="00F86024"/>
    <w:rsid w:val="00F8611A"/>
    <w:rsid w:val="00F865C6"/>
    <w:rsid w:val="00F86708"/>
    <w:rsid w:val="00F86787"/>
    <w:rsid w:val="00F8700B"/>
    <w:rsid w:val="00F87F12"/>
    <w:rsid w:val="00F911CC"/>
    <w:rsid w:val="00F9212F"/>
    <w:rsid w:val="00F92EF8"/>
    <w:rsid w:val="00F931BE"/>
    <w:rsid w:val="00F93588"/>
    <w:rsid w:val="00F93ADE"/>
    <w:rsid w:val="00F94BC4"/>
    <w:rsid w:val="00F9600A"/>
    <w:rsid w:val="00F97D78"/>
    <w:rsid w:val="00FA05E8"/>
    <w:rsid w:val="00FA0A80"/>
    <w:rsid w:val="00FA0FA3"/>
    <w:rsid w:val="00FA1F50"/>
    <w:rsid w:val="00FA2205"/>
    <w:rsid w:val="00FA2604"/>
    <w:rsid w:val="00FA2EB5"/>
    <w:rsid w:val="00FA3205"/>
    <w:rsid w:val="00FA3557"/>
    <w:rsid w:val="00FA4459"/>
    <w:rsid w:val="00FA50A8"/>
    <w:rsid w:val="00FA5128"/>
    <w:rsid w:val="00FA5552"/>
    <w:rsid w:val="00FA6D8E"/>
    <w:rsid w:val="00FA733A"/>
    <w:rsid w:val="00FB267F"/>
    <w:rsid w:val="00FB401D"/>
    <w:rsid w:val="00FB42D4"/>
    <w:rsid w:val="00FB53C8"/>
    <w:rsid w:val="00FB546C"/>
    <w:rsid w:val="00FB565B"/>
    <w:rsid w:val="00FB5906"/>
    <w:rsid w:val="00FB5EFD"/>
    <w:rsid w:val="00FB6886"/>
    <w:rsid w:val="00FB762F"/>
    <w:rsid w:val="00FB7F7F"/>
    <w:rsid w:val="00FC1932"/>
    <w:rsid w:val="00FC2562"/>
    <w:rsid w:val="00FC2847"/>
    <w:rsid w:val="00FC2A10"/>
    <w:rsid w:val="00FC2AED"/>
    <w:rsid w:val="00FC4A0F"/>
    <w:rsid w:val="00FC50D1"/>
    <w:rsid w:val="00FC58C4"/>
    <w:rsid w:val="00FC5EA6"/>
    <w:rsid w:val="00FC605A"/>
    <w:rsid w:val="00FC6141"/>
    <w:rsid w:val="00FC7A0F"/>
    <w:rsid w:val="00FD0C73"/>
    <w:rsid w:val="00FD1DD9"/>
    <w:rsid w:val="00FD2760"/>
    <w:rsid w:val="00FD27DF"/>
    <w:rsid w:val="00FD368A"/>
    <w:rsid w:val="00FD36B3"/>
    <w:rsid w:val="00FD3753"/>
    <w:rsid w:val="00FD3D1E"/>
    <w:rsid w:val="00FD3DD3"/>
    <w:rsid w:val="00FD459D"/>
    <w:rsid w:val="00FD470C"/>
    <w:rsid w:val="00FD4C00"/>
    <w:rsid w:val="00FD52C7"/>
    <w:rsid w:val="00FD635D"/>
    <w:rsid w:val="00FE0B7F"/>
    <w:rsid w:val="00FE0C96"/>
    <w:rsid w:val="00FE1393"/>
    <w:rsid w:val="00FE1A8E"/>
    <w:rsid w:val="00FE2B04"/>
    <w:rsid w:val="00FE2DD1"/>
    <w:rsid w:val="00FE3A4F"/>
    <w:rsid w:val="00FE449D"/>
    <w:rsid w:val="00FE489B"/>
    <w:rsid w:val="00FE6D85"/>
    <w:rsid w:val="00FE7441"/>
    <w:rsid w:val="00FE79AB"/>
    <w:rsid w:val="00FF0B7C"/>
    <w:rsid w:val="00FF0DFB"/>
    <w:rsid w:val="00FF48A8"/>
    <w:rsid w:val="00FF52F5"/>
    <w:rsid w:val="00FF5373"/>
    <w:rsid w:val="00FF57B6"/>
    <w:rsid w:val="00FF5B4F"/>
    <w:rsid w:val="00FF67F0"/>
    <w:rsid w:val="00FF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00D21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633014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E761B5"/>
    <w:pPr>
      <w:autoSpaceDE w:val="0"/>
      <w:autoSpaceDN w:val="0"/>
      <w:adjustRightInd w:val="0"/>
      <w:spacing w:before="12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E761B5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E761B5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Normalny"/>
    <w:link w:val="OpiswskanikaZnak"/>
    <w:qFormat/>
    <w:rsid w:val="00E761B5"/>
    <w:pPr>
      <w:spacing w:after="0" w:line="240" w:lineRule="auto"/>
    </w:pPr>
    <w:rPr>
      <w:rFonts w:ascii="Fira Sans" w:hAnsi="Fira Sans"/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E761B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E761B5"/>
    <w:rPr>
      <w:rFonts w:ascii="Fira Sans" w:hAnsi="Fira Sans"/>
      <w:color w:val="FFFFFF" w:themeColor="background1"/>
      <w:sz w:val="20"/>
    </w:rPr>
  </w:style>
  <w:style w:type="table" w:customStyle="1" w:styleId="Tabela-Siatka1">
    <w:name w:val="Tabela - Siatka1"/>
    <w:basedOn w:val="Standardowy"/>
    <w:next w:val="Tabela-Siatka"/>
    <w:uiPriority w:val="39"/>
    <w:rsid w:val="00FF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404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04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04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04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0437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941EF9"/>
  </w:style>
  <w:style w:type="character" w:customStyle="1" w:styleId="LIDZnak">
    <w:name w:val="LID Znak"/>
    <w:basedOn w:val="Domylnaczcionkaakapitu"/>
    <w:link w:val="LID"/>
    <w:rsid w:val="00E70683"/>
    <w:rPr>
      <w:rFonts w:ascii="Fira Sans" w:hAnsi="Fira Sans"/>
      <w:b/>
      <w:noProof/>
      <w:sz w:val="19"/>
      <w:szCs w:val="19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742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5.xml"/><Relationship Id="rId26" Type="http://schemas.openxmlformats.org/officeDocument/2006/relationships/hyperlink" Target="mailto:obslugaprasowa@stat.gov.pl" TargetMode="External"/><Relationship Id="rId39" Type="http://schemas.openxmlformats.org/officeDocument/2006/relationships/header" Target="header3.xml"/><Relationship Id="rId21" Type="http://schemas.openxmlformats.org/officeDocument/2006/relationships/chart" Target="charts/chart8.xml"/><Relationship Id="rId34" Type="http://schemas.openxmlformats.org/officeDocument/2006/relationships/hyperlink" Target="https://stat.gov.pl/obszary-tematyczne/koniunktura/" TargetMode="External"/><Relationship Id="rId42" Type="http://schemas.openxmlformats.org/officeDocument/2006/relationships/theme" Target="theme/theme1.xml"/><Relationship Id="rId47" Type="http://schemas.microsoft.com/office/2016/09/relationships/commentsIds" Target="commentsIds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chart" Target="charts/chart7.xml"/><Relationship Id="rId29" Type="http://schemas.openxmlformats.org/officeDocument/2006/relationships/image" Target="media/image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chart" Target="charts/chart11.xml"/><Relationship Id="rId32" Type="http://schemas.openxmlformats.org/officeDocument/2006/relationships/image" Target="media/image11.png"/><Relationship Id="rId37" Type="http://schemas.openxmlformats.org/officeDocument/2006/relationships/hyperlink" Target="http://stat.gov.pl/metainformacje/slownik-pojec/pojecia-stosowane-w-statystyce-publicznej/2076,pojecie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chart" Target="charts/chart10.xml"/><Relationship Id="rId28" Type="http://schemas.openxmlformats.org/officeDocument/2006/relationships/image" Target="media/image7.png"/><Relationship Id="rId36" Type="http://schemas.openxmlformats.org/officeDocument/2006/relationships/hyperlink" Target="http://stat.gov.pl/metainformacje/slownik-pojec/pojecia-stosowane-w-statystyce-publicznej/1064,pojecie.html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31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chart" Target="charts/chart9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http://stat.gov.pl/metainformacje/slownik-pojec/pojecia-stosowane-w-statystyce-publicznej/3137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chart" Target="charts/chart12.xml"/><Relationship Id="rId33" Type="http://schemas.openxmlformats.org/officeDocument/2006/relationships/hyperlink" Target="https://stat.gov.pl/obszary-tematyczne/rolnictwo-lesnictwo/rolnictwo/koniunktura-w-gospodarstwach-rolnych-w-pierwszym-polroczu-2022-roku,10,20.html" TargetMode="External"/><Relationship Id="rId38" Type="http://schemas.openxmlformats.org/officeDocument/2006/relationships/hyperlink" Target="http://stat.gov.pl/metainformacje/slownik-pojec/pojecia-stosowane-w-statystyce-publicznej/313,pojecie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18060228487616E-2"/>
          <c:y val="0.15160454534124368"/>
          <c:w val="0.91190996168582372"/>
          <c:h val="0.57602116305933582"/>
        </c:manualLayout>
      </c:layout>
      <c:lineChart>
        <c:grouping val="standard"/>
        <c:varyColors val="0"/>
        <c:ser>
          <c:idx val="0"/>
          <c:order val="0"/>
          <c:tx>
            <c:strRef>
              <c:f>WSK_P!$P$3</c:f>
              <c:strCache>
                <c:ptCount val="1"/>
                <c:pt idx="0">
                  <c:v>Wskaźnik zmiany sytuacji ogólnej gospodarstwa rolnego POLSKA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Pt>
            <c:idx val="19"/>
            <c:marker>
              <c:symbol val="circle"/>
              <c:size val="5"/>
              <c:spPr>
                <a:solidFill>
                  <a:schemeClr val="accent6"/>
                </a:solidFill>
                <a:ln w="9525">
                  <a:solidFill>
                    <a:schemeClr val="accent6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69BE28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A4-414F-9182-039215A30DFC}"/>
              </c:ext>
            </c:extLst>
          </c:dPt>
          <c:dLbls>
            <c:dLbl>
              <c:idx val="1"/>
              <c:layout>
                <c:manualLayout>
                  <c:x val="-3.6624568451814492E-2"/>
                  <c:y val="4.0339216135686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4524655225088307E-2"/>
                  <c:y val="-5.13408205363282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3449955051639371E-2"/>
                  <c:y val="-2.842081136832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7329813598514018E-2"/>
                  <c:y val="3.667201466880502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2859750377985943E-2"/>
                  <c:y val="4.0339216135686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7189736742185818E-2"/>
                  <c:y val="-3.7588815035526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1214777029777191E-2"/>
                  <c:y val="-2.8420811368324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8150990773130652E-2"/>
                  <c:y val="-1.874449359213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7.6778242065223435E-4"/>
                  <c:y val="-1.21187292569405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3.0089195937774271E-2"/>
                  <c:y val="4.074643530922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3.958715833633477E-2"/>
                  <c:y val="-3.7588815035526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3.7430222672519227E-2"/>
                  <c:y val="4.0339216135686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4.724799879747283E-2"/>
                  <c:y val="-3.7588815035526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-2.0286400607510434E-2"/>
                  <c:y val="-3.3004813201925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9"/>
              <c:layout>
                <c:manualLayout>
                  <c:x val="-5.0601363634087723E-2"/>
                  <c:y val="2.66959403750099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2"/>
              <c:layout>
                <c:manualLayout>
                  <c:x val="-3.9835081975853802E-2"/>
                  <c:y val="4.03392161356863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3"/>
              <c:layout>
                <c:manualLayout>
                  <c:x val="-1.6983745384374369E-3"/>
                  <c:y val="4.4923217969287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77A4-414F-9182-039215A30DF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WSK_P!$A$5:$B$28</c:f>
              <c:multiLvlStrCache>
                <c:ptCount val="24"/>
                <c:lvl>
                  <c:pt idx="0">
                    <c:v>01-06</c:v>
                  </c:pt>
                  <c:pt idx="1">
                    <c:v>07-12</c:v>
                  </c:pt>
                  <c:pt idx="2">
                    <c:v>01-06</c:v>
                  </c:pt>
                  <c:pt idx="3">
                    <c:v>07-12</c:v>
                  </c:pt>
                  <c:pt idx="4">
                    <c:v>01-06</c:v>
                  </c:pt>
                  <c:pt idx="5">
                    <c:v>07-12</c:v>
                  </c:pt>
                  <c:pt idx="6">
                    <c:v>01-06</c:v>
                  </c:pt>
                  <c:pt idx="7">
                    <c:v>07-12</c:v>
                  </c:pt>
                  <c:pt idx="8">
                    <c:v>01-06</c:v>
                  </c:pt>
                  <c:pt idx="9">
                    <c:v>07-12</c:v>
                  </c:pt>
                  <c:pt idx="10">
                    <c:v>01-06</c:v>
                  </c:pt>
                  <c:pt idx="11">
                    <c:v>07-12</c:v>
                  </c:pt>
                  <c:pt idx="12">
                    <c:v>01-06</c:v>
                  </c:pt>
                  <c:pt idx="13">
                    <c:v>07-12</c:v>
                  </c:pt>
                  <c:pt idx="14">
                    <c:v>01-06</c:v>
                  </c:pt>
                  <c:pt idx="15">
                    <c:v>07-12</c:v>
                  </c:pt>
                  <c:pt idx="16">
                    <c:v>01-06</c:v>
                  </c:pt>
                  <c:pt idx="17">
                    <c:v>07-12</c:v>
                  </c:pt>
                  <c:pt idx="18">
                    <c:v>01-06</c:v>
                  </c:pt>
                  <c:pt idx="19">
                    <c:v>07-12</c:v>
                  </c:pt>
                  <c:pt idx="20">
                    <c:v>01-06</c:v>
                  </c:pt>
                  <c:pt idx="21">
                    <c:v>07-12</c:v>
                  </c:pt>
                  <c:pt idx="22">
                    <c:v>01-06</c:v>
                  </c:pt>
                  <c:pt idx="23">
                    <c:v>07-12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  <c:pt idx="8">
                    <c:v>2016</c:v>
                  </c:pt>
                  <c:pt idx="10">
                    <c:v>2017</c:v>
                  </c:pt>
                  <c:pt idx="12">
                    <c:v>2018</c:v>
                  </c:pt>
                  <c:pt idx="14">
                    <c:v>2019</c:v>
                  </c:pt>
                  <c:pt idx="16">
                    <c:v>2020</c:v>
                  </c:pt>
                  <c:pt idx="18">
                    <c:v>2021</c:v>
                  </c:pt>
                  <c:pt idx="20">
                    <c:v>2022</c:v>
                  </c:pt>
                  <c:pt idx="22">
                    <c:v>2023</c:v>
                  </c:pt>
                </c:lvl>
              </c:multiLvlStrCache>
            </c:multiLvlStrRef>
          </c:cat>
          <c:val>
            <c:numRef>
              <c:f>WSK_P!$P$5:$P$28</c:f>
              <c:numCache>
                <c:formatCode>0.0</c:formatCode>
                <c:ptCount val="24"/>
                <c:pt idx="0">
                  <c:v>-16</c:v>
                </c:pt>
                <c:pt idx="1">
                  <c:v>-16.95</c:v>
                </c:pt>
                <c:pt idx="2">
                  <c:v>-14.600000000000001</c:v>
                </c:pt>
                <c:pt idx="3">
                  <c:v>-10.25</c:v>
                </c:pt>
                <c:pt idx="4">
                  <c:v>-8.25</c:v>
                </c:pt>
                <c:pt idx="5">
                  <c:v>-23.75</c:v>
                </c:pt>
                <c:pt idx="6">
                  <c:v>-30.9</c:v>
                </c:pt>
                <c:pt idx="7">
                  <c:v>-23.85</c:v>
                </c:pt>
                <c:pt idx="8">
                  <c:v>-19.7</c:v>
                </c:pt>
                <c:pt idx="9">
                  <c:v>-5.95</c:v>
                </c:pt>
                <c:pt idx="10">
                  <c:v>-4.45</c:v>
                </c:pt>
                <c:pt idx="11">
                  <c:v>-6.55</c:v>
                </c:pt>
                <c:pt idx="12">
                  <c:v>-27.650000000000002</c:v>
                </c:pt>
                <c:pt idx="13">
                  <c:v>-16.899999999999999</c:v>
                </c:pt>
                <c:pt idx="14">
                  <c:v>-24.45</c:v>
                </c:pt>
                <c:pt idx="15">
                  <c:v>-18.600000000000001</c:v>
                </c:pt>
                <c:pt idx="16">
                  <c:v>-15.850000000000001</c:v>
                </c:pt>
                <c:pt idx="17">
                  <c:v>-17.5</c:v>
                </c:pt>
                <c:pt idx="18">
                  <c:v>-20.3</c:v>
                </c:pt>
                <c:pt idx="19">
                  <c:v>-42.25</c:v>
                </c:pt>
                <c:pt idx="20">
                  <c:v>-42.8</c:v>
                </c:pt>
                <c:pt idx="21">
                  <c:v>-36.25</c:v>
                </c:pt>
                <c:pt idx="22">
                  <c:v>-39.15</c:v>
                </c:pt>
                <c:pt idx="23">
                  <c:v>-35.549999999999997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30D-4BC1-B04D-BEC2C60B4D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4924640"/>
        <c:axId val="384926272"/>
        <c:extLst xmlns:c16r2="http://schemas.microsoft.com/office/drawing/2015/06/chart"/>
      </c:lineChart>
      <c:catAx>
        <c:axId val="38492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4926272"/>
        <c:crosses val="autoZero"/>
        <c:auto val="1"/>
        <c:lblAlgn val="ctr"/>
        <c:lblOffset val="100"/>
        <c:noMultiLvlLbl val="0"/>
      </c:catAx>
      <c:valAx>
        <c:axId val="384926272"/>
        <c:scaling>
          <c:orientation val="minMax"/>
          <c:max val="20"/>
          <c:min val="-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49246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447746279324671"/>
          <c:y val="6.1597640962019563E-2"/>
          <c:w val="0.79935984536228999"/>
          <c:h val="0.6645902595508894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czynniki_w!$X$4</c:f>
              <c:strCache>
                <c:ptCount val="1"/>
                <c:pt idx="0">
                  <c:v>możliwość korzystania ze wsparcia unijnego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czynniki_w!$W$5:$W$8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czynniki_w!$X$5:$X$8</c:f>
              <c:numCache>
                <c:formatCode>0.0</c:formatCode>
                <c:ptCount val="4"/>
                <c:pt idx="0">
                  <c:v>51.1</c:v>
                </c:pt>
                <c:pt idx="1">
                  <c:v>52.2</c:v>
                </c:pt>
                <c:pt idx="2">
                  <c:v>51</c:v>
                </c:pt>
                <c:pt idx="3">
                  <c:v>49.3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D6-4F69-A3F7-F64BA086B8D6}"/>
            </c:ext>
          </c:extLst>
        </c:ser>
        <c:ser>
          <c:idx val="1"/>
          <c:order val="1"/>
          <c:tx>
            <c:strRef>
              <c:f>czynniki_w!$Y$4</c:f>
              <c:strCache>
                <c:ptCount val="1"/>
                <c:pt idx="0">
                  <c:v>kredyty preferencyjne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cat>
            <c:strRef>
              <c:f>czynniki_w!$W$5:$W$8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czynniki_w!$Y$5:$Y$8</c:f>
              <c:numCache>
                <c:formatCode>0.0</c:formatCode>
                <c:ptCount val="4"/>
                <c:pt idx="0">
                  <c:v>11.9</c:v>
                </c:pt>
                <c:pt idx="1">
                  <c:v>11.1</c:v>
                </c:pt>
                <c:pt idx="2">
                  <c:v>11.9</c:v>
                </c:pt>
                <c:pt idx="3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D6-4F69-A3F7-F64BA086B8D6}"/>
            </c:ext>
          </c:extLst>
        </c:ser>
        <c:ser>
          <c:idx val="2"/>
          <c:order val="2"/>
          <c:tx>
            <c:strRef>
              <c:f>czynniki_w!$Z$4</c:f>
              <c:strCache>
                <c:ptCount val="1"/>
                <c:pt idx="0">
                  <c:v>korzystne ceny sprzedawanych produktów rolnych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cat>
            <c:strRef>
              <c:f>czynniki_w!$W$5:$W$8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czynniki_w!$Z$5:$Z$8</c:f>
              <c:numCache>
                <c:formatCode>0.0</c:formatCode>
                <c:ptCount val="4"/>
                <c:pt idx="0">
                  <c:v>10.3</c:v>
                </c:pt>
                <c:pt idx="1">
                  <c:v>10</c:v>
                </c:pt>
                <c:pt idx="2">
                  <c:v>13.5</c:v>
                </c:pt>
                <c:pt idx="3">
                  <c:v>10.1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D6-4F69-A3F7-F64BA086B8D6}"/>
            </c:ext>
          </c:extLst>
        </c:ser>
        <c:ser>
          <c:idx val="3"/>
          <c:order val="3"/>
          <c:tx>
            <c:strRef>
              <c:f>czynniki_w!$AA$4</c:f>
              <c:strCache>
                <c:ptCount val="1"/>
                <c:pt idx="0">
                  <c:v>umowy kontraktacyjne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cat>
            <c:strRef>
              <c:f>czynniki_w!$W$5:$W$8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czynniki_w!$AA$5:$AA$8</c:f>
              <c:numCache>
                <c:formatCode>0.0</c:formatCode>
                <c:ptCount val="4"/>
                <c:pt idx="0" formatCode="General">
                  <c:v>4.3</c:v>
                </c:pt>
                <c:pt idx="1">
                  <c:v>4</c:v>
                </c:pt>
                <c:pt idx="2">
                  <c:v>5.3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8D6-4F69-A3F7-F64BA086B8D6}"/>
            </c:ext>
          </c:extLst>
        </c:ser>
        <c:ser>
          <c:idx val="4"/>
          <c:order val="4"/>
          <c:tx>
            <c:strRef>
              <c:f>czynniki_w!$AB$4</c:f>
              <c:strCache>
                <c:ptCount val="1"/>
                <c:pt idx="0">
                  <c:v>ubezpieczenia zwiazane z prowadzeniem działalności rolniczej</c:v>
                </c:pt>
              </c:strCache>
            </c:strRef>
          </c:tx>
          <c:spPr>
            <a:solidFill>
              <a:srgbClr val="DCE6F2"/>
            </a:solidFill>
            <a:ln>
              <a:solidFill>
                <a:srgbClr val="DCE6F2"/>
              </a:solidFill>
            </a:ln>
            <a:effectLst/>
          </c:spPr>
          <c:invertIfNegative val="0"/>
          <c:cat>
            <c:strRef>
              <c:f>czynniki_w!$W$5:$W$8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czynniki_w!$AB$5:$AB$8</c:f>
              <c:numCache>
                <c:formatCode>0.0</c:formatCode>
                <c:ptCount val="4"/>
                <c:pt idx="0">
                  <c:v>4.0999999999999996</c:v>
                </c:pt>
                <c:pt idx="1">
                  <c:v>4.0999999999999996</c:v>
                </c:pt>
                <c:pt idx="2">
                  <c:v>2.4</c:v>
                </c:pt>
                <c:pt idx="3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8D6-4F69-A3F7-F64BA086B8D6}"/>
            </c:ext>
          </c:extLst>
        </c:ser>
        <c:ser>
          <c:idx val="5"/>
          <c:order val="5"/>
          <c:tx>
            <c:strRef>
              <c:f>czynniki_w!$AC$4</c:f>
              <c:strCache>
                <c:ptCount val="1"/>
                <c:pt idx="0">
                  <c:v>   inne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cat>
            <c:strRef>
              <c:f>czynniki_w!$W$5:$W$8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czynniki_w!$AC$5:$AC$8</c:f>
              <c:numCache>
                <c:formatCode>0.0</c:formatCode>
                <c:ptCount val="4"/>
                <c:pt idx="0">
                  <c:v>18.3</c:v>
                </c:pt>
                <c:pt idx="1">
                  <c:v>18.600000000000001</c:v>
                </c:pt>
                <c:pt idx="2">
                  <c:v>15.9</c:v>
                </c:pt>
                <c:pt idx="3">
                  <c:v>18.2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8D6-4F69-A3F7-F64BA086B8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0875296"/>
        <c:axId val="640872576"/>
      </c:barChart>
      <c:catAx>
        <c:axId val="6408752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0872576"/>
        <c:crosses val="autoZero"/>
        <c:auto val="1"/>
        <c:lblAlgn val="ctr"/>
        <c:lblOffset val="100"/>
        <c:noMultiLvlLbl val="0"/>
      </c:catAx>
      <c:valAx>
        <c:axId val="640872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087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0046109702388901"/>
          <c:w val="0.96493349668681205"/>
          <c:h val="0.19800447083945016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81250042703382"/>
          <c:y val="1.5437317807017138E-2"/>
          <c:w val="0.79935984536228999"/>
          <c:h val="0.6645902595508894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czynniki_w!$R$45</c:f>
              <c:strCache>
                <c:ptCount val="1"/>
                <c:pt idx="0">
                  <c:v>zbyt niskie ceny zbytu 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czynniki_w!$Q$46:$Q$49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czynniki_w!$R$46:$R$49</c:f>
              <c:numCache>
                <c:formatCode>0.0</c:formatCode>
                <c:ptCount val="4"/>
                <c:pt idx="0">
                  <c:v>21.7</c:v>
                </c:pt>
                <c:pt idx="1">
                  <c:v>21.3</c:v>
                </c:pt>
                <c:pt idx="2">
                  <c:v>22.8</c:v>
                </c:pt>
                <c:pt idx="3">
                  <c:v>22.1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73-48C8-A974-C4EB67819007}"/>
            </c:ext>
          </c:extLst>
        </c:ser>
        <c:ser>
          <c:idx val="1"/>
          <c:order val="1"/>
          <c:tx>
            <c:strRef>
              <c:f>czynniki_w!$S$45</c:f>
              <c:strCache>
                <c:ptCount val="1"/>
                <c:pt idx="0">
                  <c:v>zbyt wysokie koszty produkcji 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cat>
            <c:strRef>
              <c:f>czynniki_w!$Q$46:$Q$49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czynniki_w!$S$46:$S$49</c:f>
              <c:numCache>
                <c:formatCode>0.0</c:formatCode>
                <c:ptCount val="4"/>
                <c:pt idx="0">
                  <c:v>21.1</c:v>
                </c:pt>
                <c:pt idx="1">
                  <c:v>20.7</c:v>
                </c:pt>
                <c:pt idx="2">
                  <c:v>23.2</c:v>
                </c:pt>
                <c:pt idx="3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73-48C8-A974-C4EB67819007}"/>
            </c:ext>
          </c:extLst>
        </c:ser>
        <c:ser>
          <c:idx val="2"/>
          <c:order val="2"/>
          <c:tx>
            <c:strRef>
              <c:f>czynniki_w!$T$45</c:f>
              <c:strCache>
                <c:ptCount val="1"/>
                <c:pt idx="0">
                  <c:v>niekorzystne warunki atmosferyczne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cat>
            <c:strRef>
              <c:f>czynniki_w!$Q$46:$Q$49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czynniki_w!$T$46:$T$49</c:f>
              <c:numCache>
                <c:formatCode>0.0</c:formatCode>
                <c:ptCount val="4"/>
                <c:pt idx="0">
                  <c:v>9.1999999999999993</c:v>
                </c:pt>
                <c:pt idx="1">
                  <c:v>9.3000000000000007</c:v>
                </c:pt>
                <c:pt idx="2">
                  <c:v>7.8</c:v>
                </c:pt>
                <c:pt idx="3">
                  <c:v>9.1999999999999993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173-48C8-A974-C4EB67819007}"/>
            </c:ext>
          </c:extLst>
        </c:ser>
        <c:ser>
          <c:idx val="3"/>
          <c:order val="3"/>
          <c:tx>
            <c:strRef>
              <c:f>czynniki_w!$U$45</c:f>
              <c:strCache>
                <c:ptCount val="1"/>
                <c:pt idx="0">
                  <c:v>brak środków finansowych 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D9DADA"/>
              </a:solidFill>
            </a:ln>
            <a:effectLst/>
          </c:spPr>
          <c:invertIfNegative val="0"/>
          <c:cat>
            <c:strRef>
              <c:f>czynniki_w!$Q$46:$Q$49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czynniki_w!$U$46:$U$49</c:f>
              <c:numCache>
                <c:formatCode>0.0</c:formatCode>
                <c:ptCount val="4"/>
                <c:pt idx="0">
                  <c:v>8.1</c:v>
                </c:pt>
                <c:pt idx="1">
                  <c:v>7.7</c:v>
                </c:pt>
                <c:pt idx="2">
                  <c:v>9.4</c:v>
                </c:pt>
                <c:pt idx="3">
                  <c:v>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173-48C8-A974-C4EB67819007}"/>
            </c:ext>
          </c:extLst>
        </c:ser>
        <c:ser>
          <c:idx val="4"/>
          <c:order val="4"/>
          <c:tx>
            <c:strRef>
              <c:f>czynniki_w!$V$45</c:f>
              <c:strCache>
                <c:ptCount val="1"/>
                <c:pt idx="0">
                  <c:v>niepewność ogólnej sytuacji gospodarczej</c:v>
                </c:pt>
              </c:strCache>
            </c:strRef>
          </c:tx>
          <c:spPr>
            <a:solidFill>
              <a:srgbClr val="DCE6F2"/>
            </a:solidFill>
            <a:ln>
              <a:noFill/>
            </a:ln>
            <a:effectLst/>
          </c:spPr>
          <c:invertIfNegative val="0"/>
          <c:cat>
            <c:strRef>
              <c:f>czynniki_w!$Q$46:$Q$49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czynniki_w!$V$46:$V$49</c:f>
              <c:numCache>
                <c:formatCode>0.0</c:formatCode>
                <c:ptCount val="4"/>
                <c:pt idx="0">
                  <c:v>7.9</c:v>
                </c:pt>
                <c:pt idx="1">
                  <c:v>7.6</c:v>
                </c:pt>
                <c:pt idx="2">
                  <c:v>8.8000000000000007</c:v>
                </c:pt>
                <c:pt idx="3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173-48C8-A974-C4EB67819007}"/>
            </c:ext>
          </c:extLst>
        </c:ser>
        <c:ser>
          <c:idx val="5"/>
          <c:order val="5"/>
          <c:tx>
            <c:strRef>
              <c:f>czynniki_w!$W$45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cat>
            <c:strRef>
              <c:f>czynniki_w!$Q$46:$Q$49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czynniki_w!$W$46:$W$49</c:f>
              <c:numCache>
                <c:formatCode>0.0</c:formatCode>
                <c:ptCount val="4"/>
                <c:pt idx="0">
                  <c:v>32</c:v>
                </c:pt>
                <c:pt idx="1">
                  <c:v>33.406937575341075</c:v>
                </c:pt>
                <c:pt idx="2">
                  <c:v>28</c:v>
                </c:pt>
                <c:pt idx="3">
                  <c:v>30.5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173-48C8-A974-C4EB678190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0873120"/>
        <c:axId val="640868224"/>
      </c:barChart>
      <c:catAx>
        <c:axId val="6408731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0868224"/>
        <c:crosses val="autoZero"/>
        <c:auto val="1"/>
        <c:lblAlgn val="ctr"/>
        <c:lblOffset val="100"/>
        <c:noMultiLvlLbl val="0"/>
      </c:catAx>
      <c:valAx>
        <c:axId val="640868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087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14683872957680216"/>
          <c:y val="0.77611430251836677"/>
          <c:w val="0.81984365193473163"/>
          <c:h val="0.1413983359198028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1576696739613E-2"/>
          <c:y val="6.4274040272218474E-2"/>
          <c:w val="0.88117468953420619"/>
          <c:h val="0.6645902595508894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ukraina!$Q$2</c:f>
              <c:strCache>
                <c:ptCount val="1"/>
                <c:pt idx="0">
                  <c:v> zagrażające stabilności gospodarstwa rolnego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ukraina!$P$3:$P$6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ukraina!$Q$3:$Q$6</c:f>
              <c:numCache>
                <c:formatCode>0.0</c:formatCode>
                <c:ptCount val="4"/>
                <c:pt idx="0">
                  <c:v>21</c:v>
                </c:pt>
                <c:pt idx="1">
                  <c:v>22.6</c:v>
                </c:pt>
                <c:pt idx="2">
                  <c:v>12.9</c:v>
                </c:pt>
                <c:pt idx="3">
                  <c:v>20.3</c:v>
                </c:pt>
              </c:numCache>
            </c:numRef>
          </c:val>
        </c:ser>
        <c:ser>
          <c:idx val="1"/>
          <c:order val="1"/>
          <c:tx>
            <c:strRef>
              <c:f>ukraina!$R$2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cat>
            <c:strRef>
              <c:f>ukraina!$P$3:$P$6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ukraina!$R$3:$R$6</c:f>
              <c:numCache>
                <c:formatCode>0.0</c:formatCode>
                <c:ptCount val="4"/>
                <c:pt idx="0">
                  <c:v>30.7</c:v>
                </c:pt>
                <c:pt idx="1">
                  <c:v>31.6</c:v>
                </c:pt>
                <c:pt idx="2">
                  <c:v>23.5</c:v>
                </c:pt>
                <c:pt idx="3">
                  <c:v>30.8</c:v>
                </c:pt>
              </c:numCache>
            </c:numRef>
          </c:val>
        </c:ser>
        <c:ser>
          <c:idx val="2"/>
          <c:order val="2"/>
          <c:tx>
            <c:strRef>
              <c:f>ukraina!$S$2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cat>
            <c:strRef>
              <c:f>ukraina!$P$3:$P$6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ukraina!$S$3:$S$6</c:f>
              <c:numCache>
                <c:formatCode>0.0</c:formatCode>
                <c:ptCount val="4"/>
                <c:pt idx="0">
                  <c:v>30.6</c:v>
                </c:pt>
                <c:pt idx="1">
                  <c:v>29.7</c:v>
                </c:pt>
                <c:pt idx="2">
                  <c:v>35.5</c:v>
                </c:pt>
                <c:pt idx="3">
                  <c:v>31</c:v>
                </c:pt>
              </c:numCache>
            </c:numRef>
          </c:val>
        </c:ser>
        <c:ser>
          <c:idx val="3"/>
          <c:order val="3"/>
          <c:tx>
            <c:strRef>
              <c:f>ukraina!$T$2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cat>
            <c:strRef>
              <c:f>ukraina!$P$3:$P$6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ukraina!$T$3:$T$6</c:f>
              <c:numCache>
                <c:formatCode>0.0</c:formatCode>
                <c:ptCount val="4"/>
                <c:pt idx="0">
                  <c:v>17.7</c:v>
                </c:pt>
                <c:pt idx="1">
                  <c:v>16.100000000000001</c:v>
                </c:pt>
                <c:pt idx="2">
                  <c:v>28.1</c:v>
                </c:pt>
                <c:pt idx="3">
                  <c:v>17.899999999999999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0868768"/>
        <c:axId val="640870944"/>
      </c:barChart>
      <c:catAx>
        <c:axId val="640868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0870944"/>
        <c:crosses val="autoZero"/>
        <c:auto val="1"/>
        <c:lblAlgn val="ctr"/>
        <c:lblOffset val="100"/>
        <c:noMultiLvlLbl val="0"/>
      </c:catAx>
      <c:valAx>
        <c:axId val="64087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0868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501673484566753E-2"/>
          <c:y val="0.89120615206747633"/>
          <c:w val="0.8999999023922679"/>
          <c:h val="6.3697371532674102E-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550015666041009E-2"/>
          <c:y val="0.13284128375429552"/>
          <c:w val="0.94276165460723138"/>
          <c:h val="0.53738186462752091"/>
        </c:manualLayout>
      </c:layout>
      <c:lineChart>
        <c:grouping val="standard"/>
        <c:varyColors val="0"/>
        <c:ser>
          <c:idx val="0"/>
          <c:order val="0"/>
          <c:tx>
            <c:strRef>
              <c:f>'wykres2-4-5'!$A$32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ln w="2540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'wykres2-4-5'!$P$30:$Y$31</c:f>
              <c:multiLvlStrCache>
                <c:ptCount val="10"/>
                <c:lvl>
                  <c:pt idx="0">
                    <c:v>01-06</c:v>
                  </c:pt>
                  <c:pt idx="1">
                    <c:v>07-12</c:v>
                  </c:pt>
                  <c:pt idx="2">
                    <c:v>01-06</c:v>
                  </c:pt>
                  <c:pt idx="3">
                    <c:v>07-12</c:v>
                  </c:pt>
                  <c:pt idx="4">
                    <c:v>01-06</c:v>
                  </c:pt>
                  <c:pt idx="5">
                    <c:v>07-12</c:v>
                  </c:pt>
                  <c:pt idx="6">
                    <c:v>01-06</c:v>
                  </c:pt>
                  <c:pt idx="7">
                    <c:v>07-12</c:v>
                  </c:pt>
                  <c:pt idx="8">
                    <c:v>01-06</c:v>
                  </c:pt>
                  <c:pt idx="9">
                    <c:v>07-12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'wykres2-4-5'!$P$32:$Y$32</c:f>
              <c:numCache>
                <c:formatCode>General</c:formatCode>
                <c:ptCount val="10"/>
                <c:pt idx="0">
                  <c:v>-29.400000000000002</c:v>
                </c:pt>
                <c:pt idx="1">
                  <c:v>-25.5</c:v>
                </c:pt>
                <c:pt idx="2">
                  <c:v>-23.8</c:v>
                </c:pt>
                <c:pt idx="3">
                  <c:v>-25.9</c:v>
                </c:pt>
                <c:pt idx="4" formatCode="0.0">
                  <c:v>-25.2</c:v>
                </c:pt>
                <c:pt idx="5" formatCode="0.0">
                  <c:v>-37.300000000000004</c:v>
                </c:pt>
                <c:pt idx="6">
                  <c:v>-46.199999999999996</c:v>
                </c:pt>
                <c:pt idx="7">
                  <c:v>-37.700000000000003</c:v>
                </c:pt>
                <c:pt idx="8">
                  <c:v>-48.9</c:v>
                </c:pt>
                <c:pt idx="9" formatCode="0.0">
                  <c:v>-45.5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'wykres2-4-5'!$A$33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ln w="25400">
              <a:solidFill>
                <a:srgbClr val="9D9E9E"/>
              </a:solidFill>
            </a:ln>
          </c:spPr>
          <c:marker>
            <c:symbol val="none"/>
          </c:marker>
          <c:cat>
            <c:multiLvlStrRef>
              <c:f>'wykres2-4-5'!$P$30:$Y$31</c:f>
              <c:multiLvlStrCache>
                <c:ptCount val="10"/>
                <c:lvl>
                  <c:pt idx="0">
                    <c:v>01-06</c:v>
                  </c:pt>
                  <c:pt idx="1">
                    <c:v>07-12</c:v>
                  </c:pt>
                  <c:pt idx="2">
                    <c:v>01-06</c:v>
                  </c:pt>
                  <c:pt idx="3">
                    <c:v>07-12</c:v>
                  </c:pt>
                  <c:pt idx="4">
                    <c:v>01-06</c:v>
                  </c:pt>
                  <c:pt idx="5">
                    <c:v>07-12</c:v>
                  </c:pt>
                  <c:pt idx="6">
                    <c:v>01-06</c:v>
                  </c:pt>
                  <c:pt idx="7">
                    <c:v>07-12</c:v>
                  </c:pt>
                  <c:pt idx="8">
                    <c:v>01-06</c:v>
                  </c:pt>
                  <c:pt idx="9">
                    <c:v>07-12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'wykres2-4-5'!$P$33:$Y$33</c:f>
              <c:numCache>
                <c:formatCode>0.0</c:formatCode>
                <c:ptCount val="10"/>
                <c:pt idx="0">
                  <c:v>-12.100000000000001</c:v>
                </c:pt>
                <c:pt idx="1">
                  <c:v>-9.4</c:v>
                </c:pt>
                <c:pt idx="2">
                  <c:v>-16.100000000000001</c:v>
                </c:pt>
                <c:pt idx="3">
                  <c:v>-15.7</c:v>
                </c:pt>
                <c:pt idx="4">
                  <c:v>-7.3999999999999986</c:v>
                </c:pt>
                <c:pt idx="5">
                  <c:v>-6</c:v>
                </c:pt>
                <c:pt idx="6">
                  <c:v>-9.5</c:v>
                </c:pt>
                <c:pt idx="7">
                  <c:v>-23.3</c:v>
                </c:pt>
                <c:pt idx="8">
                  <c:v>-33.4</c:v>
                </c:pt>
                <c:pt idx="9">
                  <c:v>-30.3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'wykres2-4-5'!$A$34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ln w="25400">
              <a:solidFill>
                <a:srgbClr val="A5D87E"/>
              </a:solidFill>
              <a:prstDash val="solid"/>
            </a:ln>
          </c:spPr>
          <c:marker>
            <c:symbol val="none"/>
          </c:marker>
          <c:cat>
            <c:multiLvlStrRef>
              <c:f>'wykres2-4-5'!$P$30:$Y$31</c:f>
              <c:multiLvlStrCache>
                <c:ptCount val="10"/>
                <c:lvl>
                  <c:pt idx="0">
                    <c:v>01-06</c:v>
                  </c:pt>
                  <c:pt idx="1">
                    <c:v>07-12</c:v>
                  </c:pt>
                  <c:pt idx="2">
                    <c:v>01-06</c:v>
                  </c:pt>
                  <c:pt idx="3">
                    <c:v>07-12</c:v>
                  </c:pt>
                  <c:pt idx="4">
                    <c:v>01-06</c:v>
                  </c:pt>
                  <c:pt idx="5">
                    <c:v>07-12</c:v>
                  </c:pt>
                  <c:pt idx="6">
                    <c:v>01-06</c:v>
                  </c:pt>
                  <c:pt idx="7">
                    <c:v>07-12</c:v>
                  </c:pt>
                  <c:pt idx="8">
                    <c:v>01-06</c:v>
                  </c:pt>
                  <c:pt idx="9">
                    <c:v>07-12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'wykres2-4-5'!$P$34:$Y$34</c:f>
              <c:numCache>
                <c:formatCode>0.0</c:formatCode>
                <c:ptCount val="10"/>
                <c:pt idx="0">
                  <c:v>-40</c:v>
                </c:pt>
                <c:pt idx="1">
                  <c:v>-34.300000000000004</c:v>
                </c:pt>
                <c:pt idx="2">
                  <c:v>-36.5</c:v>
                </c:pt>
                <c:pt idx="3">
                  <c:v>-35.1</c:v>
                </c:pt>
                <c:pt idx="4">
                  <c:v>-38.6</c:v>
                </c:pt>
                <c:pt idx="5">
                  <c:v>-47</c:v>
                </c:pt>
                <c:pt idx="6">
                  <c:v>-54.4</c:v>
                </c:pt>
                <c:pt idx="7">
                  <c:v>-51.3</c:v>
                </c:pt>
                <c:pt idx="8">
                  <c:v>-66.599999999999994</c:v>
                </c:pt>
                <c:pt idx="9">
                  <c:v>-61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4928448"/>
        <c:axId val="384930624"/>
      </c:lineChart>
      <c:catAx>
        <c:axId val="384928448"/>
        <c:scaling>
          <c:orientation val="minMax"/>
        </c:scaling>
        <c:delete val="0"/>
        <c:axPos val="b"/>
        <c:numFmt formatCode="General" sourceLinked="1"/>
        <c:majorTickMark val="out"/>
        <c:minorTickMark val="out"/>
        <c:tickLblPos val="low"/>
        <c:spPr>
          <a:noFill/>
          <a:ln/>
          <a:effectLst/>
        </c:spPr>
        <c:txPr>
          <a:bodyPr rot="-60000000" spcFirstLastPara="1" vertOverflow="ellipsis" vert="horz" wrap="square" anchor="t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itchFamily="34" charset="0"/>
                <a:ea typeface="+mn-ea"/>
                <a:cs typeface="+mn-cs"/>
              </a:defRPr>
            </a:pPr>
            <a:endParaRPr lang="pl-PL"/>
          </a:p>
        </c:txPr>
        <c:crossAx val="384930624"/>
        <c:crosses val="autoZero"/>
        <c:auto val="1"/>
        <c:lblAlgn val="ctr"/>
        <c:lblOffset val="100"/>
        <c:noMultiLvlLbl val="0"/>
      </c:catAx>
      <c:valAx>
        <c:axId val="384930624"/>
        <c:scaling>
          <c:orientation val="minMax"/>
          <c:max val="10"/>
          <c:min val="-80"/>
        </c:scaling>
        <c:delete val="0"/>
        <c:axPos val="l"/>
        <c:majorGridlines>
          <c:spPr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itchFamily="34" charset="0"/>
                <a:ea typeface="Fira Sans" pitchFamily="34" charset="0"/>
                <a:cs typeface="+mn-cs"/>
              </a:defRPr>
            </a:pPr>
            <a:endParaRPr lang="pl-PL"/>
          </a:p>
        </c:txPr>
        <c:crossAx val="38492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453631934907359E-2"/>
          <c:y val="0.83956995478033802"/>
          <c:w val="0.94806526833829674"/>
          <c:h val="0.122145506065473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915459991078647E-2"/>
          <c:y val="0.11259220886862827"/>
          <c:w val="0.7391257197501474"/>
          <c:h val="0.698865174747893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cat>
            <c:strRef>
              <c:f>Wykres_3!$A$4:$A$7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Wykres_3!$B$4:$B$7</c:f>
              <c:numCache>
                <c:formatCode>0.0</c:formatCode>
                <c:ptCount val="4"/>
                <c:pt idx="0">
                  <c:v>-45.5</c:v>
                </c:pt>
                <c:pt idx="1">
                  <c:v>-48</c:v>
                </c:pt>
                <c:pt idx="2">
                  <c:v>-37.1</c:v>
                </c:pt>
                <c:pt idx="3">
                  <c:v>-43.5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0A-4E20-BFE6-6D7B9BE0C852}"/>
            </c:ext>
          </c:extLst>
        </c:ser>
        <c:ser>
          <c:idx val="1"/>
          <c:order val="1"/>
          <c:tx>
            <c:strRef>
              <c:f>Wykres_3!$C$3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A5D87E"/>
            </a:solidFill>
            <a:ln>
              <a:solidFill>
                <a:srgbClr val="A5D87E"/>
              </a:solidFill>
            </a:ln>
          </c:spPr>
          <c:invertIfNegative val="0"/>
          <c:cat>
            <c:strRef>
              <c:f>Wykres_3!$A$4:$A$7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Wykres_3!$C$4:$C$7</c:f>
              <c:numCache>
                <c:formatCode>0.0</c:formatCode>
                <c:ptCount val="4"/>
                <c:pt idx="0">
                  <c:v>-61</c:v>
                </c:pt>
                <c:pt idx="1">
                  <c:v>-63</c:v>
                </c:pt>
                <c:pt idx="2">
                  <c:v>-50.4</c:v>
                </c:pt>
                <c:pt idx="3">
                  <c:v>-60.4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0A-4E20-BFE6-6D7B9BE0C852}"/>
            </c:ext>
          </c:extLst>
        </c:ser>
        <c:ser>
          <c:idx val="2"/>
          <c:order val="2"/>
          <c:tx>
            <c:strRef>
              <c:f>Wykres_3!$D$3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</c:spPr>
          <c:invertIfNegative val="0"/>
          <c:cat>
            <c:strRef>
              <c:f>Wykres_3!$A$4:$A$7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Wykres_3!$D$4:$D$7</c:f>
              <c:numCache>
                <c:formatCode>0.0</c:formatCode>
                <c:ptCount val="4"/>
                <c:pt idx="0">
                  <c:v>-30.3</c:v>
                </c:pt>
                <c:pt idx="1">
                  <c:v>-34.9</c:v>
                </c:pt>
                <c:pt idx="2">
                  <c:v>-14.4</c:v>
                </c:pt>
                <c:pt idx="3">
                  <c:v>-26.2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90A-4E20-BFE6-6D7B9BE0C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4929536"/>
        <c:axId val="384931168"/>
      </c:barChart>
      <c:catAx>
        <c:axId val="384929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700" b="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384931168"/>
        <c:crosses val="autoZero"/>
        <c:auto val="1"/>
        <c:lblAlgn val="ctr"/>
        <c:lblOffset val="0"/>
        <c:noMultiLvlLbl val="0"/>
      </c:catAx>
      <c:valAx>
        <c:axId val="384931168"/>
        <c:scaling>
          <c:orientation val="minMax"/>
          <c:max val="0"/>
          <c:min val="-7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384929536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82569289288820302"/>
          <c:y val="0.1059988600254617"/>
          <c:w val="0.17169859457026379"/>
          <c:h val="0.71263426271976094"/>
        </c:manualLayout>
      </c:layout>
      <c:overlay val="0"/>
      <c:txPr>
        <a:bodyPr/>
        <a:lstStyle/>
        <a:p>
          <a:pPr>
            <a:defRPr sz="7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625228968749838E-2"/>
          <c:y val="0.11563735523745391"/>
          <c:w val="0.85598841030731465"/>
          <c:h val="0.53738186462752091"/>
        </c:manualLayout>
      </c:layout>
      <c:lineChart>
        <c:grouping val="standard"/>
        <c:varyColors val="0"/>
        <c:ser>
          <c:idx val="0"/>
          <c:order val="0"/>
          <c:tx>
            <c:strRef>
              <c:f>'wykres2-3-4-5'!$A$5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ln w="2540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'wykres2-3-4-5'!$P$3:$Y$4</c:f>
              <c:multiLvlStrCache>
                <c:ptCount val="10"/>
                <c:lvl>
                  <c:pt idx="0">
                    <c:v>01-06</c:v>
                  </c:pt>
                  <c:pt idx="1">
                    <c:v>07-12</c:v>
                  </c:pt>
                  <c:pt idx="2">
                    <c:v>01-06</c:v>
                  </c:pt>
                  <c:pt idx="3">
                    <c:v>07-12</c:v>
                  </c:pt>
                  <c:pt idx="4">
                    <c:v>01-06</c:v>
                  </c:pt>
                  <c:pt idx="5">
                    <c:v>07-12</c:v>
                  </c:pt>
                  <c:pt idx="6">
                    <c:v>01-06</c:v>
                  </c:pt>
                  <c:pt idx="7">
                    <c:v>07-12</c:v>
                  </c:pt>
                  <c:pt idx="8">
                    <c:v>01-06</c:v>
                  </c:pt>
                  <c:pt idx="9">
                    <c:v>07-12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'wykres2-3-4-5'!$P$5:$Y$5</c:f>
              <c:numCache>
                <c:formatCode>General</c:formatCode>
                <c:ptCount val="10"/>
                <c:pt idx="0">
                  <c:v>-27.5</c:v>
                </c:pt>
                <c:pt idx="1">
                  <c:v>-8.4</c:v>
                </c:pt>
                <c:pt idx="2">
                  <c:v>-10.3</c:v>
                </c:pt>
                <c:pt idx="3">
                  <c:v>-12.5</c:v>
                </c:pt>
                <c:pt idx="4" formatCode="0.0">
                  <c:v>-9</c:v>
                </c:pt>
                <c:pt idx="5" formatCode="0.0">
                  <c:v>-18</c:v>
                </c:pt>
                <c:pt idx="6">
                  <c:v>-24.9</c:v>
                </c:pt>
                <c:pt idx="7">
                  <c:v>-16.2</c:v>
                </c:pt>
                <c:pt idx="8">
                  <c:v>-31.1</c:v>
                </c:pt>
                <c:pt idx="9">
                  <c:v>-24.2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369-4EAF-971B-172B8107534F}"/>
            </c:ext>
          </c:extLst>
        </c:ser>
        <c:ser>
          <c:idx val="1"/>
          <c:order val="1"/>
          <c:tx>
            <c:strRef>
              <c:f>'wykres2-3-4-5'!$A$6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ln w="25400">
              <a:solidFill>
                <a:srgbClr val="A5D87E"/>
              </a:solidFill>
            </a:ln>
          </c:spPr>
          <c:marker>
            <c:symbol val="none"/>
          </c:marker>
          <c:cat>
            <c:multiLvlStrRef>
              <c:f>'wykres2-3-4-5'!$P$3:$Y$4</c:f>
              <c:multiLvlStrCache>
                <c:ptCount val="10"/>
                <c:lvl>
                  <c:pt idx="0">
                    <c:v>01-06</c:v>
                  </c:pt>
                  <c:pt idx="1">
                    <c:v>07-12</c:v>
                  </c:pt>
                  <c:pt idx="2">
                    <c:v>01-06</c:v>
                  </c:pt>
                  <c:pt idx="3">
                    <c:v>07-12</c:v>
                  </c:pt>
                  <c:pt idx="4">
                    <c:v>01-06</c:v>
                  </c:pt>
                  <c:pt idx="5">
                    <c:v>07-12</c:v>
                  </c:pt>
                  <c:pt idx="6">
                    <c:v>01-06</c:v>
                  </c:pt>
                  <c:pt idx="7">
                    <c:v>07-12</c:v>
                  </c:pt>
                  <c:pt idx="8">
                    <c:v>01-06</c:v>
                  </c:pt>
                  <c:pt idx="9">
                    <c:v>07-12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'wykres2-3-4-5'!$P$6:$Y$6</c:f>
              <c:numCache>
                <c:formatCode>0.0</c:formatCode>
                <c:ptCount val="10"/>
                <c:pt idx="0" formatCode="General">
                  <c:v>-16.399999999999999</c:v>
                </c:pt>
                <c:pt idx="1">
                  <c:v>-7</c:v>
                </c:pt>
                <c:pt idx="2" formatCode="General">
                  <c:v>-7.3</c:v>
                </c:pt>
                <c:pt idx="3" formatCode="General">
                  <c:v>-7.1</c:v>
                </c:pt>
                <c:pt idx="4">
                  <c:v>-11.6</c:v>
                </c:pt>
                <c:pt idx="5">
                  <c:v>-18.7</c:v>
                </c:pt>
                <c:pt idx="6" formatCode="General">
                  <c:v>-18.899999999999999</c:v>
                </c:pt>
                <c:pt idx="7" formatCode="General">
                  <c:v>-14.3</c:v>
                </c:pt>
                <c:pt idx="8" formatCode="General">
                  <c:v>-30.8</c:v>
                </c:pt>
                <c:pt idx="9" formatCode="General">
                  <c:v>-28.7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369-4EAF-971B-172B8107534F}"/>
            </c:ext>
          </c:extLst>
        </c:ser>
        <c:ser>
          <c:idx val="2"/>
          <c:order val="2"/>
          <c:tx>
            <c:strRef>
              <c:f>'wykres2-3-4-5'!$A$7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ln w="25400">
              <a:solidFill>
                <a:srgbClr val="9D9E9E"/>
              </a:solidFill>
              <a:prstDash val="solid"/>
            </a:ln>
          </c:spPr>
          <c:marker>
            <c:symbol val="none"/>
          </c:marker>
          <c:cat>
            <c:multiLvlStrRef>
              <c:f>'wykres2-3-4-5'!$P$3:$Y$4</c:f>
              <c:multiLvlStrCache>
                <c:ptCount val="10"/>
                <c:lvl>
                  <c:pt idx="0">
                    <c:v>01-06</c:v>
                  </c:pt>
                  <c:pt idx="1">
                    <c:v>07-12</c:v>
                  </c:pt>
                  <c:pt idx="2">
                    <c:v>01-06</c:v>
                  </c:pt>
                  <c:pt idx="3">
                    <c:v>07-12</c:v>
                  </c:pt>
                  <c:pt idx="4">
                    <c:v>01-06</c:v>
                  </c:pt>
                  <c:pt idx="5">
                    <c:v>07-12</c:v>
                  </c:pt>
                  <c:pt idx="6">
                    <c:v>01-06</c:v>
                  </c:pt>
                  <c:pt idx="7">
                    <c:v>07-12</c:v>
                  </c:pt>
                  <c:pt idx="8">
                    <c:v>01-06</c:v>
                  </c:pt>
                  <c:pt idx="9">
                    <c:v>07-12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'wykres2-3-4-5'!$P$7:$Y$7</c:f>
              <c:numCache>
                <c:formatCode>0.0</c:formatCode>
                <c:ptCount val="10"/>
                <c:pt idx="0" formatCode="General">
                  <c:v>-32.700000000000003</c:v>
                </c:pt>
                <c:pt idx="1">
                  <c:v>-28</c:v>
                </c:pt>
                <c:pt idx="2" formatCode="General">
                  <c:v>-29.3</c:v>
                </c:pt>
                <c:pt idx="3" formatCode="General">
                  <c:v>-29.8</c:v>
                </c:pt>
                <c:pt idx="4">
                  <c:v>-25.4</c:v>
                </c:pt>
                <c:pt idx="5">
                  <c:v>-25.1</c:v>
                </c:pt>
                <c:pt idx="6" formatCode="General">
                  <c:v>-27.8</c:v>
                </c:pt>
                <c:pt idx="7" formatCode="General">
                  <c:v>-36.9</c:v>
                </c:pt>
                <c:pt idx="8" formatCode="General">
                  <c:v>-45.4</c:v>
                </c:pt>
                <c:pt idx="9" formatCode="General">
                  <c:v>-44.3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369-4EAF-971B-172B81075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4920288"/>
        <c:axId val="384932800"/>
      </c:lineChart>
      <c:catAx>
        <c:axId val="384920288"/>
        <c:scaling>
          <c:orientation val="minMax"/>
        </c:scaling>
        <c:delete val="0"/>
        <c:axPos val="b"/>
        <c:numFmt formatCode="General" sourceLinked="1"/>
        <c:majorTickMark val="out"/>
        <c:minorTickMark val="out"/>
        <c:tickLblPos val="low"/>
        <c:spPr>
          <a:noFill/>
          <a:ln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itchFamily="34" charset="0"/>
                <a:ea typeface="+mn-ea"/>
                <a:cs typeface="+mn-cs"/>
              </a:defRPr>
            </a:pPr>
            <a:endParaRPr lang="pl-PL"/>
          </a:p>
        </c:txPr>
        <c:crossAx val="384932800"/>
        <c:crosses val="autoZero"/>
        <c:auto val="1"/>
        <c:lblAlgn val="ctr"/>
        <c:lblOffset val="100"/>
        <c:tickMarkSkip val="1"/>
        <c:noMultiLvlLbl val="0"/>
      </c:catAx>
      <c:valAx>
        <c:axId val="384932800"/>
        <c:scaling>
          <c:orientation val="minMax"/>
          <c:max val="10"/>
          <c:min val="-70"/>
        </c:scaling>
        <c:delete val="0"/>
        <c:axPos val="l"/>
        <c:majorGridlines>
          <c:spPr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itchFamily="34" charset="0"/>
                <a:ea typeface="Fira Sans" pitchFamily="34" charset="0"/>
                <a:cs typeface="+mn-cs"/>
              </a:defRPr>
            </a:pPr>
            <a:endParaRPr lang="pl-PL"/>
          </a:p>
        </c:txPr>
        <c:crossAx val="3849202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2148216176610802E-2"/>
          <c:y val="0.84850494974301849"/>
          <c:w val="0.88149270060171736"/>
          <c:h val="0.118367315141753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915459991078647E-2"/>
          <c:y val="0.11259220886862827"/>
          <c:w val="0.7391257197501474"/>
          <c:h val="0.698865174747893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'wykres2-4-5'!$B$58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cat>
            <c:strRef>
              <c:f>'wykres2-4-5'!$A$59:$A$62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'wykres2-4-5'!$B$59:$B$62</c:f>
              <c:numCache>
                <c:formatCode>0.0</c:formatCode>
                <c:ptCount val="4"/>
                <c:pt idx="0">
                  <c:v>-24.2</c:v>
                </c:pt>
                <c:pt idx="1">
                  <c:v>-26.4</c:v>
                </c:pt>
                <c:pt idx="2">
                  <c:v>-16.899999999999999</c:v>
                </c:pt>
                <c:pt idx="3">
                  <c:v>-22.5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0A-4E20-BFE6-6D7B9BE0C852}"/>
            </c:ext>
          </c:extLst>
        </c:ser>
        <c:ser>
          <c:idx val="1"/>
          <c:order val="1"/>
          <c:tx>
            <c:strRef>
              <c:f>'wykres2-4-5'!$C$58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A5D87E"/>
            </a:solidFill>
            <a:ln>
              <a:solidFill>
                <a:srgbClr val="A5D87E"/>
              </a:solidFill>
            </a:ln>
          </c:spPr>
          <c:invertIfNegative val="0"/>
          <c:cat>
            <c:strRef>
              <c:f>'wykres2-4-5'!$A$59:$A$62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'wykres2-4-5'!$C$59:$C$62</c:f>
              <c:numCache>
                <c:formatCode>0.0</c:formatCode>
                <c:ptCount val="4"/>
                <c:pt idx="0">
                  <c:v>-28.7</c:v>
                </c:pt>
                <c:pt idx="1">
                  <c:v>-33</c:v>
                </c:pt>
                <c:pt idx="2">
                  <c:v>-11.7</c:v>
                </c:pt>
                <c:pt idx="3">
                  <c:v>-25.4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0A-4E20-BFE6-6D7B9BE0C852}"/>
            </c:ext>
          </c:extLst>
        </c:ser>
        <c:ser>
          <c:idx val="2"/>
          <c:order val="2"/>
          <c:tx>
            <c:strRef>
              <c:f>'wykres2-4-5'!$D$58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</c:spPr>
          <c:invertIfNegative val="0"/>
          <c:cat>
            <c:strRef>
              <c:f>'wykres2-4-5'!$A$59:$A$62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'wykres2-4-5'!$D$59:$D$62</c:f>
              <c:numCache>
                <c:formatCode>0.0</c:formatCode>
                <c:ptCount val="4"/>
                <c:pt idx="0">
                  <c:v>-44.3</c:v>
                </c:pt>
                <c:pt idx="1">
                  <c:v>-47.7</c:v>
                </c:pt>
                <c:pt idx="2">
                  <c:v>-31.7</c:v>
                </c:pt>
                <c:pt idx="3">
                  <c:v>-41.7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90A-4E20-BFE6-6D7B9BE0C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518176"/>
        <c:axId val="317510560"/>
      </c:barChart>
      <c:catAx>
        <c:axId val="317518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700" b="0" baseline="0">
                <a:solidFill>
                  <a:sysClr val="windowText" lastClr="000000"/>
                </a:solidFill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317510560"/>
        <c:crosses val="autoZero"/>
        <c:auto val="1"/>
        <c:lblAlgn val="ctr"/>
        <c:lblOffset val="0"/>
        <c:noMultiLvlLbl val="0"/>
      </c:catAx>
      <c:valAx>
        <c:axId val="317510560"/>
        <c:scaling>
          <c:orientation val="minMax"/>
          <c:max val="0"/>
          <c:min val="-6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317518176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82569289288820302"/>
          <c:y val="0.11033349374891208"/>
          <c:w val="0.17169859457026379"/>
          <c:h val="0.71696889644321116"/>
        </c:manualLayout>
      </c:layout>
      <c:overlay val="0"/>
      <c:txPr>
        <a:bodyPr/>
        <a:lstStyle/>
        <a:p>
          <a:pPr>
            <a:defRPr sz="700" b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06968272880151"/>
          <c:y val="3.6290882147659798E-2"/>
          <c:w val="0.67589132692937492"/>
          <c:h val="0.466980917741403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'batony (2)'!$B$3</c:f>
              <c:strCache>
                <c:ptCount val="1"/>
                <c:pt idx="0">
                  <c:v>poprawi się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(2)'!$A$4:$A$5</c:f>
              <c:strCache>
                <c:ptCount val="2"/>
                <c:pt idx="0">
                  <c:v>opłacalność produkcji rolniczej</c:v>
                </c:pt>
                <c:pt idx="1">
                  <c:v>ogólna sytuacja gospodarstwa rolnego</c:v>
                </c:pt>
              </c:strCache>
            </c:strRef>
          </c:cat>
          <c:val>
            <c:numRef>
              <c:f>'batony (2)'!$B$4:$B$5</c:f>
              <c:numCache>
                <c:formatCode>0.0</c:formatCode>
                <c:ptCount val="2"/>
                <c:pt idx="0">
                  <c:v>4.5999999999999996</c:v>
                </c:pt>
                <c:pt idx="1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13-4068-9338-7564C2878F71}"/>
            </c:ext>
          </c:extLst>
        </c:ser>
        <c:ser>
          <c:idx val="1"/>
          <c:order val="1"/>
          <c:tx>
            <c:strRef>
              <c:f>'batony (2)'!$C$3</c:f>
              <c:strCache>
                <c:ptCount val="1"/>
                <c:pt idx="0">
                  <c:v>pozostanie bez zmian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(2)'!$A$4:$A$5</c:f>
              <c:strCache>
                <c:ptCount val="2"/>
                <c:pt idx="0">
                  <c:v>opłacalność produkcji rolniczej</c:v>
                </c:pt>
                <c:pt idx="1">
                  <c:v>ogólna sytuacja gospodarstwa rolnego</c:v>
                </c:pt>
              </c:strCache>
            </c:strRef>
          </c:cat>
          <c:val>
            <c:numRef>
              <c:f>'batony (2)'!$C$4:$C$5</c:f>
              <c:numCache>
                <c:formatCode>0.0</c:formatCode>
                <c:ptCount val="2"/>
                <c:pt idx="0">
                  <c:v>57.1</c:v>
                </c:pt>
                <c:pt idx="1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13-4068-9338-7564C2878F71}"/>
            </c:ext>
          </c:extLst>
        </c:ser>
        <c:ser>
          <c:idx val="2"/>
          <c:order val="2"/>
          <c:tx>
            <c:strRef>
              <c:f>'batony (2)'!$D$3</c:f>
              <c:strCache>
                <c:ptCount val="1"/>
                <c:pt idx="0">
                  <c:v>pogorszy się</c:v>
                </c:pt>
              </c:strCache>
            </c:strRef>
          </c:tx>
          <c:spPr>
            <a:solidFill>
              <a:srgbClr val="9D9E9E"/>
            </a:solidFill>
            <a:ln w="9525">
              <a:solidFill>
                <a:srgbClr val="9D9E9E"/>
              </a:solidFill>
            </a:ln>
            <a:effectLst/>
          </c:spPr>
          <c:invertIfNegative val="0"/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(2)'!$A$4:$A$5</c:f>
              <c:strCache>
                <c:ptCount val="2"/>
                <c:pt idx="0">
                  <c:v>opłacalność produkcji rolniczej</c:v>
                </c:pt>
                <c:pt idx="1">
                  <c:v>ogólna sytuacja gospodarstwa rolnego</c:v>
                </c:pt>
              </c:strCache>
            </c:strRef>
          </c:cat>
          <c:val>
            <c:numRef>
              <c:f>'batony (2)'!$D$4:$D$5</c:f>
              <c:numCache>
                <c:formatCode>0.0</c:formatCode>
                <c:ptCount val="2"/>
                <c:pt idx="0">
                  <c:v>38.299999999999997</c:v>
                </c:pt>
                <c:pt idx="1">
                  <c:v>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413-4068-9338-7564C2878F7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17509472"/>
        <c:axId val="548082928"/>
      </c:barChart>
      <c:catAx>
        <c:axId val="317509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8082928"/>
        <c:crosses val="autoZero"/>
        <c:auto val="1"/>
        <c:lblAlgn val="ctr"/>
        <c:lblOffset val="100"/>
        <c:noMultiLvlLbl val="0"/>
      </c:catAx>
      <c:valAx>
        <c:axId val="548082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50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90408283382577"/>
          <c:y val="0.59830238922240253"/>
          <c:w val="0.53565834951181501"/>
          <c:h val="6.36496581021939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310210113611462"/>
          <c:y val="6.7828351506451071E-2"/>
          <c:w val="0.62972862850403022"/>
          <c:h val="0.5089189549886200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'batony (2)'!$B$26</c:f>
              <c:strCache>
                <c:ptCount val="1"/>
                <c:pt idx="0">
                  <c:v>zwiększy się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198-4058-8993-983F9585A3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(2)'!$A$27</c:f>
              <c:strCache>
                <c:ptCount val="1"/>
                <c:pt idx="0">
                  <c:v>popyt na produkty rolne</c:v>
                </c:pt>
              </c:strCache>
            </c:strRef>
          </c:cat>
          <c:val>
            <c:numRef>
              <c:f>'batony (2)'!$B$27</c:f>
              <c:numCache>
                <c:formatCode>General</c:formatCode>
                <c:ptCount val="1"/>
                <c:pt idx="0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198-4058-8993-983F9585A3FE}"/>
            </c:ext>
          </c:extLst>
        </c:ser>
        <c:ser>
          <c:idx val="1"/>
          <c:order val="1"/>
          <c:tx>
            <c:strRef>
              <c:f>'batony (2)'!$C$26</c:f>
              <c:strCache>
                <c:ptCount val="1"/>
                <c:pt idx="0">
                  <c:v>pozostanie bez zmian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(2)'!$A$27</c:f>
              <c:strCache>
                <c:ptCount val="1"/>
                <c:pt idx="0">
                  <c:v>popyt na produkty rolne</c:v>
                </c:pt>
              </c:strCache>
            </c:strRef>
          </c:cat>
          <c:val>
            <c:numRef>
              <c:f>'batony (2)'!$C$27</c:f>
              <c:numCache>
                <c:formatCode>General</c:formatCode>
                <c:ptCount val="1"/>
                <c:pt idx="0">
                  <c:v>73.2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198-4058-8993-983F9585A3FE}"/>
            </c:ext>
          </c:extLst>
        </c:ser>
        <c:ser>
          <c:idx val="2"/>
          <c:order val="2"/>
          <c:tx>
            <c:strRef>
              <c:f>'batony (2)'!$D$26</c:f>
              <c:strCache>
                <c:ptCount val="1"/>
                <c:pt idx="0">
                  <c:v>zmniejszy się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(2)'!$A$27</c:f>
              <c:strCache>
                <c:ptCount val="1"/>
                <c:pt idx="0">
                  <c:v>popyt na produkty rolne</c:v>
                </c:pt>
              </c:strCache>
            </c:strRef>
          </c:cat>
          <c:val>
            <c:numRef>
              <c:f>'batony (2)'!$D$27</c:f>
              <c:numCache>
                <c:formatCode>General</c:formatCode>
                <c:ptCount val="1"/>
                <c:pt idx="0">
                  <c:v>22.7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198-4058-8993-983F9585A3F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48083472"/>
        <c:axId val="318415152"/>
      </c:barChart>
      <c:catAx>
        <c:axId val="548083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415152"/>
        <c:crosses val="autoZero"/>
        <c:auto val="1"/>
        <c:lblAlgn val="ctr"/>
        <c:lblOffset val="100"/>
        <c:noMultiLvlLbl val="0"/>
      </c:catAx>
      <c:valAx>
        <c:axId val="318415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808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844110474059025"/>
          <c:y val="0.80298729264430591"/>
          <c:w val="0.58198864041213894"/>
          <c:h val="0.142042482893944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915459991078647E-2"/>
          <c:y val="0.11259220886862827"/>
          <c:w val="0.77879354890977037"/>
          <c:h val="0.698865174747893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7'!$B$3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cat>
            <c:strRef>
              <c:f>'wykres 7'!$A$4:$A$7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 7'!$B$4:$B$7</c:f>
              <c:numCache>
                <c:formatCode>0.0</c:formatCode>
                <c:ptCount val="4"/>
                <c:pt idx="0">
                  <c:v>-25.6</c:v>
                </c:pt>
                <c:pt idx="1">
                  <c:v>-25.5</c:v>
                </c:pt>
                <c:pt idx="2">
                  <c:v>-21.2</c:v>
                </c:pt>
                <c:pt idx="3">
                  <c:v>-26.9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0A-4E20-BFE6-6D7B9BE0C852}"/>
            </c:ext>
          </c:extLst>
        </c:ser>
        <c:ser>
          <c:idx val="1"/>
          <c:order val="1"/>
          <c:tx>
            <c:strRef>
              <c:f>'wykres 7'!$C$3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A5D87E"/>
            </a:solidFill>
            <a:ln>
              <a:solidFill>
                <a:srgbClr val="A5D87E"/>
              </a:solidFill>
            </a:ln>
          </c:spPr>
          <c:invertIfNegative val="0"/>
          <c:cat>
            <c:strRef>
              <c:f>'wykres 7'!$A$4:$A$7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 7'!$C$4:$C$7</c:f>
              <c:numCache>
                <c:formatCode>0.0</c:formatCode>
                <c:ptCount val="4"/>
                <c:pt idx="0">
                  <c:v>-33.700000000000003</c:v>
                </c:pt>
                <c:pt idx="1">
                  <c:v>-34.1</c:v>
                </c:pt>
                <c:pt idx="2">
                  <c:v>-27.6</c:v>
                </c:pt>
                <c:pt idx="3">
                  <c:v>-34.700000000000003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0A-4E20-BFE6-6D7B9BE0C852}"/>
            </c:ext>
          </c:extLst>
        </c:ser>
        <c:ser>
          <c:idx val="2"/>
          <c:order val="2"/>
          <c:tx>
            <c:strRef>
              <c:f>'wykres 7'!$D$3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</c:spPr>
          <c:invertIfNegative val="0"/>
          <c:cat>
            <c:strRef>
              <c:f>'wykres 7'!$A$4:$A$7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 7'!$D$4:$D$7</c:f>
              <c:numCache>
                <c:formatCode>0.0</c:formatCode>
                <c:ptCount val="4"/>
                <c:pt idx="0">
                  <c:v>-18.600000000000001</c:v>
                </c:pt>
                <c:pt idx="1">
                  <c:v>-19.8</c:v>
                </c:pt>
                <c:pt idx="2">
                  <c:v>-10.7</c:v>
                </c:pt>
                <c:pt idx="3">
                  <c:v>-18.7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90A-4E20-BFE6-6D7B9BE0C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0869312"/>
        <c:axId val="640872032"/>
      </c:barChart>
      <c:catAx>
        <c:axId val="640869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700" b="0" baseline="0">
                <a:solidFill>
                  <a:sysClr val="windowText" lastClr="000000"/>
                </a:solidFill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640872032"/>
        <c:crosses val="autoZero"/>
        <c:auto val="1"/>
        <c:lblAlgn val="ctr"/>
        <c:lblOffset val="0"/>
        <c:noMultiLvlLbl val="0"/>
      </c:catAx>
      <c:valAx>
        <c:axId val="640872032"/>
        <c:scaling>
          <c:orientation val="minMax"/>
          <c:max val="0"/>
          <c:min val="-6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>
                <a:solidFill>
                  <a:sysClr val="windowText" lastClr="000000"/>
                </a:solidFill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640869312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86040220242086718"/>
          <c:y val="9.7631175365106446E-2"/>
          <c:w val="0.13698932854665016"/>
          <c:h val="0.63461076980761433"/>
        </c:manualLayout>
      </c:layout>
      <c:overlay val="0"/>
      <c:txPr>
        <a:bodyPr/>
        <a:lstStyle/>
        <a:p>
          <a:pPr>
            <a:defRPr sz="7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01222048805818"/>
          <c:y val="6.8577026696056823E-2"/>
          <c:w val="0.81995316781014127"/>
          <c:h val="0.752244084845749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wykres9!$B$3</c:f>
              <c:strCache>
                <c:ptCount val="1"/>
                <c:pt idx="0">
                  <c:v>środki własne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wykres9!$A$4:$A$13</c:f>
              <c:strCache>
                <c:ptCount val="10"/>
                <c:pt idx="0">
                  <c:v>100 i więcej</c:v>
                </c:pt>
                <c:pt idx="1">
                  <c:v>50-99,99</c:v>
                </c:pt>
                <c:pt idx="2">
                  <c:v>30-49,99</c:v>
                </c:pt>
                <c:pt idx="3">
                  <c:v>20-29,99</c:v>
                </c:pt>
                <c:pt idx="4">
                  <c:v>15-19,99</c:v>
                </c:pt>
                <c:pt idx="5">
                  <c:v>10-14,99</c:v>
                </c:pt>
                <c:pt idx="6">
                  <c:v>5-9,99</c:v>
                </c:pt>
                <c:pt idx="7">
                  <c:v>2-4,99</c:v>
                </c:pt>
                <c:pt idx="8">
                  <c:v>do 1,99</c:v>
                </c:pt>
                <c:pt idx="9">
                  <c:v>ogółem </c:v>
                </c:pt>
              </c:strCache>
            </c:strRef>
          </c:cat>
          <c:val>
            <c:numRef>
              <c:f>wykres9!$B$4:$B$13</c:f>
              <c:numCache>
                <c:formatCode>0.0</c:formatCode>
                <c:ptCount val="10"/>
                <c:pt idx="0">
                  <c:v>45.9</c:v>
                </c:pt>
                <c:pt idx="1">
                  <c:v>46.8</c:v>
                </c:pt>
                <c:pt idx="2">
                  <c:v>49.4</c:v>
                </c:pt>
                <c:pt idx="3">
                  <c:v>52.3</c:v>
                </c:pt>
                <c:pt idx="4">
                  <c:v>53.3</c:v>
                </c:pt>
                <c:pt idx="5">
                  <c:v>54.2</c:v>
                </c:pt>
                <c:pt idx="6">
                  <c:v>54.6</c:v>
                </c:pt>
                <c:pt idx="7">
                  <c:v>56.7</c:v>
                </c:pt>
                <c:pt idx="8">
                  <c:v>60.6</c:v>
                </c:pt>
                <c:pt idx="9">
                  <c:v>53.6</c:v>
                </c:pt>
              </c:numCache>
            </c:numRef>
          </c:val>
        </c:ser>
        <c:ser>
          <c:idx val="1"/>
          <c:order val="1"/>
          <c:tx>
            <c:strRef>
              <c:f>wykres9!$C$3</c:f>
              <c:strCache>
                <c:ptCount val="1"/>
                <c:pt idx="0">
                  <c:v>kredyty razem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cat>
            <c:strRef>
              <c:f>wykres9!$A$4:$A$13</c:f>
              <c:strCache>
                <c:ptCount val="10"/>
                <c:pt idx="0">
                  <c:v>100 i więcej</c:v>
                </c:pt>
                <c:pt idx="1">
                  <c:v>50-99,99</c:v>
                </c:pt>
                <c:pt idx="2">
                  <c:v>30-49,99</c:v>
                </c:pt>
                <c:pt idx="3">
                  <c:v>20-29,99</c:v>
                </c:pt>
                <c:pt idx="4">
                  <c:v>15-19,99</c:v>
                </c:pt>
                <c:pt idx="5">
                  <c:v>10-14,99</c:v>
                </c:pt>
                <c:pt idx="6">
                  <c:v>5-9,99</c:v>
                </c:pt>
                <c:pt idx="7">
                  <c:v>2-4,99</c:v>
                </c:pt>
                <c:pt idx="8">
                  <c:v>do 1,99</c:v>
                </c:pt>
                <c:pt idx="9">
                  <c:v>ogółem </c:v>
                </c:pt>
              </c:strCache>
            </c:strRef>
          </c:cat>
          <c:val>
            <c:numRef>
              <c:f>wykres9!$C$4:$C$13</c:f>
              <c:numCache>
                <c:formatCode>0.0</c:formatCode>
                <c:ptCount val="10"/>
                <c:pt idx="0">
                  <c:v>19.899999999999999</c:v>
                </c:pt>
                <c:pt idx="1">
                  <c:v>18.399999999999999</c:v>
                </c:pt>
                <c:pt idx="2">
                  <c:v>14.9</c:v>
                </c:pt>
                <c:pt idx="3">
                  <c:v>10.5</c:v>
                </c:pt>
                <c:pt idx="4">
                  <c:v>7.4</c:v>
                </c:pt>
                <c:pt idx="5">
                  <c:v>5.0999999999999996</c:v>
                </c:pt>
                <c:pt idx="6">
                  <c:v>2.8</c:v>
                </c:pt>
                <c:pt idx="7">
                  <c:v>2.2999999999999998</c:v>
                </c:pt>
                <c:pt idx="8">
                  <c:v>2.7</c:v>
                </c:pt>
                <c:pt idx="9">
                  <c:v>6.6</c:v>
                </c:pt>
              </c:numCache>
            </c:numRef>
          </c:val>
        </c:ser>
        <c:ser>
          <c:idx val="2"/>
          <c:order val="2"/>
          <c:tx>
            <c:strRef>
              <c:f>wykres9!$D$3</c:f>
              <c:strCache>
                <c:ptCount val="1"/>
                <c:pt idx="0">
                  <c:v>pomoc unijna razem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cat>
            <c:strRef>
              <c:f>wykres9!$A$4:$A$13</c:f>
              <c:strCache>
                <c:ptCount val="10"/>
                <c:pt idx="0">
                  <c:v>100 i więcej</c:v>
                </c:pt>
                <c:pt idx="1">
                  <c:v>50-99,99</c:v>
                </c:pt>
                <c:pt idx="2">
                  <c:v>30-49,99</c:v>
                </c:pt>
                <c:pt idx="3">
                  <c:v>20-29,99</c:v>
                </c:pt>
                <c:pt idx="4">
                  <c:v>15-19,99</c:v>
                </c:pt>
                <c:pt idx="5">
                  <c:v>10-14,99</c:v>
                </c:pt>
                <c:pt idx="6">
                  <c:v>5-9,99</c:v>
                </c:pt>
                <c:pt idx="7">
                  <c:v>2-4,99</c:v>
                </c:pt>
                <c:pt idx="8">
                  <c:v>do 1,99</c:v>
                </c:pt>
                <c:pt idx="9">
                  <c:v>ogółem </c:v>
                </c:pt>
              </c:strCache>
            </c:strRef>
          </c:cat>
          <c:val>
            <c:numRef>
              <c:f>wykres9!$D$4:$D$13</c:f>
              <c:numCache>
                <c:formatCode>General</c:formatCode>
                <c:ptCount val="10"/>
                <c:pt idx="0">
                  <c:v>34.200000000000003</c:v>
                </c:pt>
                <c:pt idx="1">
                  <c:v>34.799999999999997</c:v>
                </c:pt>
                <c:pt idx="2">
                  <c:v>35.6</c:v>
                </c:pt>
                <c:pt idx="3">
                  <c:v>37.200000000000003</c:v>
                </c:pt>
                <c:pt idx="4">
                  <c:v>39.299999999999997</c:v>
                </c:pt>
                <c:pt idx="5">
                  <c:v>40.700000000000003</c:v>
                </c:pt>
                <c:pt idx="6">
                  <c:v>42.6</c:v>
                </c:pt>
                <c:pt idx="7" formatCode="0.0">
                  <c:v>41</c:v>
                </c:pt>
                <c:pt idx="8">
                  <c:v>36.799999999999997</c:v>
                </c:pt>
                <c:pt idx="9">
                  <c:v>39.799999999999997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0873664"/>
        <c:axId val="640874752"/>
      </c:barChart>
      <c:catAx>
        <c:axId val="640873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0874752"/>
        <c:crossesAt val="0"/>
        <c:auto val="1"/>
        <c:lblAlgn val="ctr"/>
        <c:lblOffset val="100"/>
        <c:noMultiLvlLbl val="0"/>
      </c:catAx>
      <c:valAx>
        <c:axId val="64087475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rgbClr val="6677AD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0873664"/>
        <c:crosses val="autoZero"/>
        <c:crossBetween val="between"/>
        <c:dispUnits>
          <c:builtInUnit val="hundreds"/>
        </c:dispUnits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0.00992</cdr:x>
      <cdr:y>0.01834</cdr:y>
    </cdr:from>
    <cdr:to>
      <cdr:x>0.12713</cdr:x>
      <cdr:y>0.08709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0800" y="50800"/>
          <a:ext cx="600429" cy="1904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</a:rPr>
            <a:t>p.proc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0.01087</cdr:x>
      <cdr:y>0.02333</cdr:y>
    </cdr:from>
    <cdr:to>
      <cdr:x>0.09298</cdr:x>
      <cdr:y>0.09747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5659" y="63610"/>
          <a:ext cx="420660" cy="202151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0.01302</cdr:x>
      <cdr:y>0</cdr:y>
    </cdr:from>
    <cdr:to>
      <cdr:x>0.15061</cdr:x>
      <cdr:y>0.10324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6675" y="0"/>
          <a:ext cx="704850" cy="2537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p. proc</a:t>
          </a:r>
          <a:r>
            <a:rPr lang="pl-PL" sz="1100"/>
            <a:t>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0.0956</cdr:x>
      <cdr:y>0.06986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0"/>
          <a:ext cx="476235" cy="2175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p.proc</a:t>
          </a:r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.</a:t>
          </a:r>
        </a:p>
        <a:p xmlns:a="http://schemas.openxmlformats.org/drawingml/2006/main"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0.01302</cdr:x>
      <cdr:y>0</cdr:y>
    </cdr:from>
    <cdr:to>
      <cdr:x>0.15061</cdr:x>
      <cdr:y>0.10324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6675" y="0"/>
          <a:ext cx="704850" cy="2537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</a:rPr>
            <a:t>p. proc</a:t>
          </a:r>
          <a:r>
            <a:rPr lang="pl-PL" sz="1100"/>
            <a:t>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0.01302</cdr:x>
      <cdr:y>0</cdr:y>
    </cdr:from>
    <cdr:to>
      <cdr:x>0.15061</cdr:x>
      <cdr:y>0.10324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6675" y="0"/>
          <a:ext cx="704850" cy="2537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</a:rPr>
            <a:t>p. proc.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0.04967</cdr:x>
      <cdr:y>0</cdr:y>
    </cdr:from>
    <cdr:to>
      <cdr:x>0.09133</cdr:x>
      <cdr:y>0.07525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54437" y="-1081377"/>
          <a:ext cx="213405" cy="217751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0x00B44136ADD9233645AF9E7D0EADDEB824</ContentTypeId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NazwaPliku xmlns="1E9983FF-DC4B-4F4E-A072-0441E2B88E6D">Koniunktura w gospodarstwach rolnym w drugim półroczu 2023 roku.docx</NazwaPliku>
    <Osoba xmlns="1E9983FF-DC4B-4F4E-A072-0441E2B88E6D">STAT\JANKOWSKAA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B3A4B-C846-453B-8075-D0DEDB75DCF7}"/>
</file>

<file path=customXml/itemProps2.xml><?xml version="1.0" encoding="utf-8"?>
<ds:datastoreItem xmlns:ds="http://schemas.openxmlformats.org/officeDocument/2006/customXml" ds:itemID="{13F373B0-EED0-4D7A-8F82-AEEE10E26278}"/>
</file>

<file path=customXml/itemProps3.xml><?xml version="1.0" encoding="utf-8"?>
<ds:datastoreItem xmlns:ds="http://schemas.openxmlformats.org/officeDocument/2006/customXml" ds:itemID="{23532FB7-5CB6-4A75-9DB4-AFE59612A8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2673</Words>
  <Characters>16038</Characters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2024-03-27T06:54:00Z</cp:lastPrinted>
  <dcterms:created xsi:type="dcterms:W3CDTF">2024-03-27T07:11:00Z</dcterms:created>
  <dcterms:modified xsi:type="dcterms:W3CDTF">2024-03-27T08:36:00Z</dcterms:modified>
</cp:coreProperties>
</file>